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
        <w:rPr>
          <w:sz w:val="16"/>
        </w:rPr>
      </w:pPr>
    </w:p>
    <w:p>
      <w:pPr>
        <w:spacing w:line="362" w:lineRule="auto" w:before="63"/>
        <w:ind w:left="2268" w:right="375" w:firstLine="0"/>
        <w:jc w:val="center"/>
        <w:rPr>
          <w:b/>
          <w:sz w:val="28"/>
        </w:rPr>
      </w:pPr>
      <w:r>
        <w:rPr/>
        <w:drawing>
          <wp:anchor distT="0" distB="0" distL="0" distR="0" allowOverlap="1" layoutInCell="1" locked="0" behindDoc="0" simplePos="0" relativeHeight="0">
            <wp:simplePos x="0" y="0"/>
            <wp:positionH relativeFrom="page">
              <wp:posOffset>914400</wp:posOffset>
            </wp:positionH>
            <wp:positionV relativeFrom="paragraph">
              <wp:posOffset>257559</wp:posOffset>
            </wp:positionV>
            <wp:extent cx="1103376" cy="1008888"/>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103376" cy="1008888"/>
                    </a:xfrm>
                    <a:prstGeom prst="rect">
                      <a:avLst/>
                    </a:prstGeom>
                  </pic:spPr>
                </pic:pic>
              </a:graphicData>
            </a:graphic>
          </wp:anchor>
        </w:drawing>
      </w:r>
      <w:r>
        <w:rPr>
          <w:b/>
          <w:sz w:val="28"/>
        </w:rPr>
        <w:t>UNIVERSIDAD AUTÓNOMA DEL ESTADO DE MÉXICO</w:t>
      </w:r>
    </w:p>
    <w:p>
      <w:pPr>
        <w:pStyle w:val="BodyText"/>
        <w:rPr>
          <w:b/>
          <w:sz w:val="28"/>
        </w:rPr>
      </w:pPr>
    </w:p>
    <w:p>
      <w:pPr>
        <w:spacing w:before="163"/>
        <w:ind w:left="3874" w:right="75" w:firstLine="0"/>
        <w:jc w:val="left"/>
        <w:rPr>
          <w:b/>
          <w:sz w:val="28"/>
        </w:rPr>
      </w:pPr>
      <w:r>
        <w:rPr>
          <w:b/>
          <w:sz w:val="28"/>
        </w:rPr>
        <w:t>FACULTAD DE QUÍMICA</w:t>
      </w:r>
    </w:p>
    <w:p>
      <w:pPr>
        <w:pStyle w:val="BodyText"/>
        <w:rPr>
          <w:b/>
          <w:sz w:val="28"/>
        </w:rPr>
      </w:pPr>
    </w:p>
    <w:p>
      <w:pPr>
        <w:pStyle w:val="BodyText"/>
        <w:spacing w:before="10"/>
        <w:rPr>
          <w:b/>
          <w:sz w:val="27"/>
        </w:rPr>
      </w:pPr>
    </w:p>
    <w:p>
      <w:pPr>
        <w:spacing w:line="360" w:lineRule="auto" w:before="0"/>
        <w:ind w:left="2002" w:right="328" w:firstLine="14"/>
        <w:jc w:val="center"/>
        <w:rPr>
          <w:b/>
          <w:sz w:val="28"/>
        </w:rPr>
      </w:pPr>
      <w:r>
        <w:rPr/>
        <w:pict>
          <v:group style="position:absolute;margin-left:111.599998pt;margin-top:1.000332pt;width:11.05pt;height:351.15pt;mso-position-horizontal-relative:page;mso-position-vertical-relative:paragraph;z-index:1072" coordorigin="2232,20" coordsize="221,7023">
            <v:shape style="position:absolute;left:2232;top:20;width:221;height:7022" type="#_x0000_t75" stroked="false">
              <v:imagedata r:id="rId6" o:title=""/>
            </v:shape>
            <v:line style="position:absolute" from="2374,58" to="2374,6898" stroked="true" strokeweight=".64pt" strokecolor="#000000"/>
            <v:line style="position:absolute" from="2342,58" to="2342,6898" stroked="true" strokeweight="1.28pt" strokecolor="#000000"/>
            <v:line style="position:absolute" from="2310,58" to="2310,6898" stroked="true" strokeweight=".64pt" strokecolor="#000000"/>
            <w10:wrap type="none"/>
          </v:group>
        </w:pict>
      </w:r>
      <w:r>
        <w:rPr/>
        <w:pict>
          <v:group style="position:absolute;margin-left:130.559998pt;margin-top:29.560331pt;width:9.4pt;height:283.7pt;mso-position-horizontal-relative:page;mso-position-vertical-relative:paragraph;z-index:1096" coordorigin="2611,591" coordsize="188,5674">
            <v:shape style="position:absolute;left:2611;top:591;width:187;height:5674" type="#_x0000_t75" stroked="false">
              <v:imagedata r:id="rId7" o:title=""/>
            </v:shape>
            <v:line style="position:absolute" from="2705,632" to="2705,6142" stroked="true" strokeweight="2.16pt" strokecolor="#000000"/>
            <w10:wrap type="none"/>
          </v:group>
        </w:pict>
      </w:r>
      <w:r>
        <w:rPr/>
        <w:pict>
          <v:group style="position:absolute;margin-left:94.559998pt;margin-top:29.560331pt;width:9.4pt;height:283.7pt;mso-position-horizontal-relative:page;mso-position-vertical-relative:paragraph;z-index:1120" coordorigin="1891,591" coordsize="188,5674">
            <v:shape style="position:absolute;left:1891;top:591;width:187;height:5674" type="#_x0000_t75" stroked="false">
              <v:imagedata r:id="rId7" o:title=""/>
            </v:shape>
            <v:line style="position:absolute" from="1985,632" to="1985,6142" stroked="true" strokeweight="2.16pt" strokecolor="#000000"/>
            <w10:wrap type="none"/>
          </v:group>
        </w:pict>
      </w:r>
      <w:r>
        <w:rPr>
          <w:b/>
          <w:sz w:val="28"/>
        </w:rPr>
        <w:t>“ESTUDIO TERMODINÁMICO Y TÉRMICO- OXIDATIVO DE MICROCÁPSULAS DE ACEITE DE CHÍA MICROENCAPSULADAS MEDIANTE</w:t>
      </w:r>
      <w:r>
        <w:rPr>
          <w:b/>
          <w:spacing w:val="-21"/>
          <w:sz w:val="28"/>
        </w:rPr>
        <w:t> </w:t>
      </w:r>
      <w:r>
        <w:rPr>
          <w:b/>
          <w:sz w:val="28"/>
        </w:rPr>
        <w:t>SECADO POR</w:t>
      </w:r>
      <w:r>
        <w:rPr>
          <w:b/>
          <w:spacing w:val="-8"/>
          <w:sz w:val="28"/>
        </w:rPr>
        <w:t> </w:t>
      </w:r>
      <w:r>
        <w:rPr>
          <w:b/>
          <w:sz w:val="28"/>
        </w:rPr>
        <w:t>ASPERSIÓN”</w:t>
      </w:r>
    </w:p>
    <w:p>
      <w:pPr>
        <w:pStyle w:val="BodyText"/>
        <w:rPr>
          <w:b/>
          <w:sz w:val="28"/>
        </w:rPr>
      </w:pPr>
    </w:p>
    <w:p>
      <w:pPr>
        <w:pStyle w:val="BodyText"/>
        <w:rPr>
          <w:b/>
          <w:sz w:val="28"/>
        </w:rPr>
      </w:pPr>
    </w:p>
    <w:p>
      <w:pPr>
        <w:pStyle w:val="BodyText"/>
        <w:spacing w:before="189"/>
        <w:ind w:left="2260" w:right="581"/>
        <w:jc w:val="center"/>
      </w:pPr>
      <w:r>
        <w:rPr/>
        <w:t>TESIS PARA OBTENER EL GRADO DE:</w:t>
      </w:r>
    </w:p>
    <w:p>
      <w:pPr>
        <w:spacing w:before="149"/>
        <w:ind w:left="2268" w:right="581" w:firstLine="0"/>
        <w:jc w:val="center"/>
        <w:rPr>
          <w:b/>
          <w:sz w:val="36"/>
        </w:rPr>
      </w:pPr>
      <w:r>
        <w:rPr>
          <w:b/>
          <w:sz w:val="36"/>
        </w:rPr>
        <w:t>MAESTRÍA EN CIENCIAS QUÍMICAS</w:t>
      </w:r>
    </w:p>
    <w:p>
      <w:pPr>
        <w:pStyle w:val="BodyText"/>
        <w:rPr>
          <w:b/>
          <w:sz w:val="36"/>
        </w:rPr>
      </w:pPr>
    </w:p>
    <w:p>
      <w:pPr>
        <w:pStyle w:val="BodyText"/>
        <w:spacing w:before="11"/>
        <w:rPr>
          <w:b/>
          <w:sz w:val="52"/>
        </w:rPr>
      </w:pPr>
    </w:p>
    <w:p>
      <w:pPr>
        <w:pStyle w:val="BodyText"/>
        <w:ind w:left="2263" w:right="581"/>
        <w:jc w:val="center"/>
      </w:pPr>
      <w:r>
        <w:rPr/>
        <w:t>PRESENTA:</w:t>
      </w:r>
    </w:p>
    <w:p>
      <w:pPr>
        <w:spacing w:before="142"/>
        <w:ind w:left="2707" w:right="75" w:firstLine="0"/>
        <w:jc w:val="left"/>
        <w:rPr>
          <w:b/>
          <w:sz w:val="28"/>
        </w:rPr>
      </w:pPr>
      <w:r>
        <w:rPr>
          <w:b/>
          <w:sz w:val="28"/>
        </w:rPr>
        <w:t>I. Q. LUIS ANTONIO ESCALONA GARCÍA</w:t>
      </w:r>
    </w:p>
    <w:p>
      <w:pPr>
        <w:pStyle w:val="BodyText"/>
        <w:rPr>
          <w:b/>
          <w:sz w:val="28"/>
        </w:rPr>
      </w:pPr>
    </w:p>
    <w:p>
      <w:pPr>
        <w:pStyle w:val="BodyText"/>
        <w:rPr>
          <w:b/>
          <w:sz w:val="28"/>
        </w:rPr>
      </w:pPr>
    </w:p>
    <w:p>
      <w:pPr>
        <w:pStyle w:val="BodyText"/>
        <w:spacing w:before="10"/>
        <w:rPr>
          <w:b/>
          <w:sz w:val="29"/>
        </w:rPr>
      </w:pPr>
    </w:p>
    <w:p>
      <w:pPr>
        <w:pStyle w:val="BodyText"/>
        <w:ind w:left="2268" w:right="580"/>
        <w:jc w:val="center"/>
      </w:pPr>
      <w:r>
        <w:rPr/>
        <w:t>DIRIGIDO POR:</w:t>
      </w:r>
    </w:p>
    <w:p>
      <w:pPr>
        <w:spacing w:line="362" w:lineRule="auto" w:before="138"/>
        <w:ind w:left="3255" w:right="1247" w:firstLine="331"/>
        <w:jc w:val="left"/>
        <w:rPr>
          <w:b/>
          <w:sz w:val="28"/>
        </w:rPr>
      </w:pPr>
      <w:r>
        <w:rPr/>
        <w:drawing>
          <wp:anchor distT="0" distB="0" distL="0" distR="0" allowOverlap="1" layoutInCell="1" locked="0" behindDoc="0" simplePos="0" relativeHeight="1048">
            <wp:simplePos x="0" y="0"/>
            <wp:positionH relativeFrom="page">
              <wp:posOffset>914400</wp:posOffset>
            </wp:positionH>
            <wp:positionV relativeFrom="paragraph">
              <wp:posOffset>553597</wp:posOffset>
            </wp:positionV>
            <wp:extent cx="1146048" cy="1103376"/>
            <wp:effectExtent l="0" t="0" r="0" b="0"/>
            <wp:wrapNone/>
            <wp:docPr id="3" name="image4.jpeg" descr=""/>
            <wp:cNvGraphicFramePr>
              <a:graphicFrameLocks noChangeAspect="1"/>
            </wp:cNvGraphicFramePr>
            <a:graphic>
              <a:graphicData uri="http://schemas.openxmlformats.org/drawingml/2006/picture">
                <pic:pic>
                  <pic:nvPicPr>
                    <pic:cNvPr id="4" name="image4.jpeg"/>
                    <pic:cNvPicPr/>
                  </pic:nvPicPr>
                  <pic:blipFill>
                    <a:blip r:embed="rId8" cstate="print"/>
                    <a:stretch>
                      <a:fillRect/>
                    </a:stretch>
                  </pic:blipFill>
                  <pic:spPr>
                    <a:xfrm>
                      <a:off x="0" y="0"/>
                      <a:ext cx="1146048" cy="1103376"/>
                    </a:xfrm>
                    <a:prstGeom prst="rect">
                      <a:avLst/>
                    </a:prstGeom>
                  </pic:spPr>
                </pic:pic>
              </a:graphicData>
            </a:graphic>
          </wp:anchor>
        </w:drawing>
      </w:r>
      <w:r>
        <w:rPr>
          <w:b/>
          <w:sz w:val="28"/>
        </w:rPr>
        <w:t>DR. CÉSAR PÉREZ ALONSO DRA. REYNA NATIVIDAD RANGEL</w:t>
      </w:r>
    </w:p>
    <w:p>
      <w:pPr>
        <w:spacing w:before="0"/>
        <w:ind w:left="3668" w:right="75" w:firstLine="0"/>
        <w:jc w:val="left"/>
        <w:rPr>
          <w:b/>
          <w:sz w:val="28"/>
        </w:rPr>
      </w:pPr>
      <w:r>
        <w:rPr>
          <w:b/>
          <w:sz w:val="28"/>
        </w:rPr>
        <w:t>DRA. RUTH PEDROZA ISLAS</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6"/>
        </w:rPr>
      </w:pPr>
    </w:p>
    <w:p>
      <w:pPr>
        <w:pStyle w:val="BodyText"/>
        <w:ind w:left="6136" w:right="75"/>
      </w:pPr>
      <w:r>
        <w:rPr/>
        <w:t>Toluca, México. Junio de 2016</w:t>
      </w:r>
    </w:p>
    <w:p>
      <w:pPr>
        <w:spacing w:after="0"/>
        <w:sectPr>
          <w:type w:val="continuous"/>
          <w:pgSz w:w="11900" w:h="16840"/>
          <w:pgMar w:top="1580" w:bottom="280" w:left="1340" w:right="1320"/>
        </w:sectPr>
      </w:pPr>
    </w:p>
    <w:p>
      <w:pPr>
        <w:spacing w:before="35"/>
        <w:ind w:left="3397" w:right="3397" w:firstLine="0"/>
        <w:jc w:val="center"/>
        <w:rPr>
          <w:b/>
          <w:sz w:val="28"/>
        </w:rPr>
      </w:pPr>
      <w:r>
        <w:rPr>
          <w:b/>
          <w:sz w:val="28"/>
        </w:rPr>
        <w:t>ÍNDICE GENERAL</w:t>
      </w:r>
    </w:p>
    <w:p>
      <w:pPr>
        <w:pStyle w:val="BodyText"/>
        <w:rPr>
          <w:b/>
          <w:sz w:val="20"/>
        </w:rPr>
      </w:pPr>
    </w:p>
    <w:p>
      <w:pPr>
        <w:pStyle w:val="BodyText"/>
        <w:rPr>
          <w:b/>
          <w:sz w:val="20"/>
        </w:rPr>
      </w:pPr>
    </w:p>
    <w:p>
      <w:pPr>
        <w:pStyle w:val="BodyText"/>
        <w:spacing w:before="3"/>
        <w:rPr>
          <w:b/>
          <w:sz w:val="25"/>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07"/>
        <w:gridCol w:w="5099"/>
        <w:gridCol w:w="2478"/>
      </w:tblGrid>
      <w:tr>
        <w:trPr>
          <w:trHeight w:val="321" w:hRule="exact"/>
        </w:trPr>
        <w:tc>
          <w:tcPr>
            <w:tcW w:w="1507" w:type="dxa"/>
            <w:tcBorders>
              <w:bottom w:val="single" w:sz="8" w:space="0" w:color="000000"/>
            </w:tcBorders>
          </w:tcPr>
          <w:p>
            <w:pPr>
              <w:pStyle w:val="TableParagraph"/>
              <w:spacing w:before="70"/>
              <w:ind w:left="35"/>
              <w:jc w:val="left"/>
              <w:rPr>
                <w:rFonts w:ascii="Cambria"/>
                <w:b/>
                <w:sz w:val="22"/>
              </w:rPr>
            </w:pPr>
            <w:r>
              <w:rPr>
                <w:rFonts w:ascii="Cambria"/>
                <w:b/>
                <w:sz w:val="22"/>
              </w:rPr>
              <w:t>PARTE 1:</w:t>
            </w:r>
          </w:p>
        </w:tc>
        <w:tc>
          <w:tcPr>
            <w:tcW w:w="5099" w:type="dxa"/>
            <w:tcBorders>
              <w:bottom w:val="single" w:sz="8" w:space="0" w:color="000000"/>
            </w:tcBorders>
          </w:tcPr>
          <w:p>
            <w:pPr>
              <w:pStyle w:val="TableParagraph"/>
              <w:spacing w:before="70"/>
              <w:ind w:left="376"/>
              <w:jc w:val="left"/>
              <w:rPr>
                <w:rFonts w:ascii="Cambria" w:hAnsi="Cambria"/>
                <w:b/>
                <w:sz w:val="22"/>
              </w:rPr>
            </w:pPr>
            <w:r>
              <w:rPr>
                <w:rFonts w:ascii="Cambria" w:hAnsi="Cambria"/>
                <w:b/>
                <w:sz w:val="22"/>
              </w:rPr>
              <w:t>“PROTOCOLO DE TESIS”</w:t>
            </w:r>
          </w:p>
        </w:tc>
        <w:tc>
          <w:tcPr>
            <w:tcW w:w="2478" w:type="dxa"/>
            <w:tcBorders>
              <w:bottom w:val="single" w:sz="8" w:space="0" w:color="000000"/>
            </w:tcBorders>
          </w:tcPr>
          <w:p>
            <w:pPr>
              <w:pStyle w:val="TableParagraph"/>
              <w:spacing w:before="70"/>
              <w:ind w:right="33"/>
              <w:jc w:val="right"/>
              <w:rPr>
                <w:rFonts w:ascii="Cambria"/>
                <w:b/>
                <w:sz w:val="22"/>
              </w:rPr>
            </w:pPr>
            <w:r>
              <w:rPr>
                <w:rFonts w:ascii="Cambria"/>
                <w:b/>
                <w:w w:val="100"/>
                <w:sz w:val="22"/>
              </w:rPr>
              <w:t>1</w:t>
            </w:r>
          </w:p>
        </w:tc>
      </w:tr>
      <w:tr>
        <w:trPr>
          <w:trHeight w:val="624" w:hRule="exact"/>
        </w:trPr>
        <w:tc>
          <w:tcPr>
            <w:tcW w:w="1507" w:type="dxa"/>
            <w:tcBorders>
              <w:top w:val="single" w:sz="8" w:space="0" w:color="000000"/>
              <w:bottom w:val="single" w:sz="8" w:space="0" w:color="000000"/>
            </w:tcBorders>
          </w:tcPr>
          <w:p>
            <w:pPr>
              <w:pStyle w:val="TableParagraph"/>
              <w:spacing w:before="0"/>
              <w:jc w:val="left"/>
              <w:rPr>
                <w:b/>
                <w:sz w:val="22"/>
              </w:rPr>
            </w:pPr>
          </w:p>
          <w:p>
            <w:pPr>
              <w:pStyle w:val="TableParagraph"/>
              <w:spacing w:before="133"/>
              <w:ind w:left="35"/>
              <w:jc w:val="left"/>
              <w:rPr>
                <w:rFonts w:ascii="Cambria"/>
                <w:b/>
                <w:sz w:val="22"/>
              </w:rPr>
            </w:pPr>
            <w:r>
              <w:rPr>
                <w:rFonts w:ascii="Cambria"/>
                <w:b/>
                <w:sz w:val="22"/>
              </w:rPr>
              <w:t>RESUMEN</w:t>
            </w:r>
          </w:p>
        </w:tc>
        <w:tc>
          <w:tcPr>
            <w:tcW w:w="5099" w:type="dxa"/>
            <w:tcBorders>
              <w:top w:val="single" w:sz="8" w:space="0" w:color="000000"/>
              <w:bottom w:val="single" w:sz="8" w:space="0" w:color="000000"/>
            </w:tcBorders>
          </w:tcPr>
          <w:p>
            <w:pPr/>
          </w:p>
        </w:tc>
        <w:tc>
          <w:tcPr>
            <w:tcW w:w="2478" w:type="dxa"/>
            <w:tcBorders>
              <w:top w:val="single" w:sz="8" w:space="0" w:color="000000"/>
              <w:bottom w:val="single" w:sz="8" w:space="0" w:color="000000"/>
            </w:tcBorders>
          </w:tcPr>
          <w:p>
            <w:pPr>
              <w:pStyle w:val="TableParagraph"/>
              <w:spacing w:before="0"/>
              <w:jc w:val="left"/>
              <w:rPr>
                <w:b/>
                <w:sz w:val="22"/>
              </w:rPr>
            </w:pPr>
          </w:p>
          <w:p>
            <w:pPr>
              <w:pStyle w:val="TableParagraph"/>
              <w:spacing w:before="133"/>
              <w:ind w:right="33"/>
              <w:jc w:val="right"/>
              <w:rPr>
                <w:rFonts w:ascii="Cambria"/>
                <w:b/>
                <w:sz w:val="22"/>
              </w:rPr>
            </w:pPr>
            <w:r>
              <w:rPr>
                <w:rFonts w:ascii="Cambria"/>
                <w:b/>
                <w:w w:val="100"/>
                <w:sz w:val="22"/>
              </w:rPr>
              <w:t>2</w:t>
            </w:r>
          </w:p>
        </w:tc>
      </w:tr>
      <w:tr>
        <w:trPr>
          <w:trHeight w:val="606" w:hRule="exact"/>
        </w:trPr>
        <w:tc>
          <w:tcPr>
            <w:tcW w:w="1507" w:type="dxa"/>
            <w:tcBorders>
              <w:top w:val="single" w:sz="8" w:space="0" w:color="000000"/>
              <w:bottom w:val="single" w:sz="8" w:space="0" w:color="000000"/>
            </w:tcBorders>
          </w:tcPr>
          <w:p>
            <w:pPr>
              <w:pStyle w:val="TableParagraph"/>
              <w:spacing w:before="0"/>
              <w:jc w:val="left"/>
              <w:rPr>
                <w:b/>
                <w:sz w:val="22"/>
              </w:rPr>
            </w:pPr>
          </w:p>
          <w:p>
            <w:pPr>
              <w:pStyle w:val="TableParagraph"/>
              <w:spacing w:before="138"/>
              <w:ind w:left="35"/>
              <w:jc w:val="left"/>
              <w:rPr>
                <w:rFonts w:ascii="Cambria"/>
                <w:b/>
                <w:sz w:val="22"/>
              </w:rPr>
            </w:pPr>
            <w:r>
              <w:rPr>
                <w:rFonts w:ascii="Cambria"/>
                <w:b/>
                <w:sz w:val="22"/>
              </w:rPr>
              <w:t>ABSTRACT</w:t>
            </w:r>
          </w:p>
        </w:tc>
        <w:tc>
          <w:tcPr>
            <w:tcW w:w="5099" w:type="dxa"/>
            <w:tcBorders>
              <w:top w:val="single" w:sz="8" w:space="0" w:color="000000"/>
              <w:bottom w:val="single" w:sz="8" w:space="0" w:color="000000"/>
            </w:tcBorders>
          </w:tcPr>
          <w:p>
            <w:pPr/>
          </w:p>
        </w:tc>
        <w:tc>
          <w:tcPr>
            <w:tcW w:w="2478" w:type="dxa"/>
            <w:tcBorders>
              <w:top w:val="single" w:sz="8" w:space="0" w:color="000000"/>
              <w:bottom w:val="single" w:sz="8" w:space="0" w:color="000000"/>
            </w:tcBorders>
          </w:tcPr>
          <w:p>
            <w:pPr>
              <w:pStyle w:val="TableParagraph"/>
              <w:spacing w:before="0"/>
              <w:jc w:val="left"/>
              <w:rPr>
                <w:b/>
                <w:sz w:val="22"/>
              </w:rPr>
            </w:pPr>
          </w:p>
          <w:p>
            <w:pPr>
              <w:pStyle w:val="TableParagraph"/>
              <w:spacing w:before="138"/>
              <w:ind w:right="33"/>
              <w:jc w:val="right"/>
              <w:rPr>
                <w:rFonts w:ascii="Cambria"/>
                <w:b/>
                <w:sz w:val="22"/>
              </w:rPr>
            </w:pPr>
            <w:r>
              <w:rPr>
                <w:rFonts w:ascii="Cambria"/>
                <w:b/>
                <w:w w:val="100"/>
                <w:sz w:val="22"/>
              </w:rPr>
              <w:t>3</w:t>
            </w:r>
          </w:p>
        </w:tc>
      </w:tr>
    </w:tbl>
    <w:p>
      <w:pPr>
        <w:pStyle w:val="BodyText"/>
        <w:spacing w:before="1"/>
        <w:rPr>
          <w:b/>
          <w:sz w:val="27"/>
        </w:rPr>
      </w:pPr>
    </w:p>
    <w:p>
      <w:pPr>
        <w:pStyle w:val="ListParagraph"/>
        <w:numPr>
          <w:ilvl w:val="0"/>
          <w:numId w:val="1"/>
        </w:numPr>
        <w:tabs>
          <w:tab w:pos="563" w:val="left" w:leader="none"/>
          <w:tab w:pos="564" w:val="left" w:leader="none"/>
          <w:tab w:pos="9155" w:val="right" w:leader="none"/>
        </w:tabs>
        <w:spacing w:line="240" w:lineRule="auto" w:before="70" w:after="0"/>
        <w:ind w:left="563" w:right="0" w:hanging="423"/>
        <w:jc w:val="left"/>
        <w:rPr>
          <w:rFonts w:ascii="Cambria"/>
          <w:b/>
          <w:sz w:val="22"/>
        </w:rPr>
      </w:pPr>
      <w:r>
        <w:rPr/>
        <w:pict>
          <v:line style="position:absolute;mso-position-horizontal-relative:page;mso-position-vertical-relative:paragraph;z-index:-76312" from="93.167999pt,14.91215pt" to="522.697999pt,14.91215pt" stroked="true" strokeweight=".96001pt" strokecolor="#000000">
            <w10:wrap type="none"/>
          </v:line>
        </w:pict>
      </w:r>
      <w:r>
        <w:rPr>
          <w:rFonts w:ascii="Cambria"/>
          <w:b/>
          <w:sz w:val="22"/>
        </w:rPr>
        <w:t>ANTECEDENTES</w:t>
        <w:tab/>
        <w:t>4</w:t>
      </w:r>
    </w:p>
    <w:p>
      <w:pPr>
        <w:pStyle w:val="ListParagraph"/>
        <w:numPr>
          <w:ilvl w:val="1"/>
          <w:numId w:val="1"/>
        </w:numPr>
        <w:tabs>
          <w:tab w:pos="692" w:val="left" w:leader="none"/>
          <w:tab w:pos="693" w:val="left" w:leader="none"/>
          <w:tab w:pos="9155" w:val="right" w:leader="none"/>
        </w:tabs>
        <w:spacing w:line="240" w:lineRule="auto" w:before="246" w:after="0"/>
        <w:ind w:left="692" w:right="0" w:hanging="552"/>
        <w:jc w:val="left"/>
        <w:rPr>
          <w:rFonts w:ascii="Cambria"/>
          <w:b/>
          <w:sz w:val="22"/>
        </w:rPr>
      </w:pPr>
      <w:r>
        <w:rPr>
          <w:rFonts w:ascii="Cambria"/>
          <w:b/>
          <w:sz w:val="22"/>
        </w:rPr>
        <w:t>CHIA (</w:t>
      </w:r>
      <w:r>
        <w:rPr>
          <w:rFonts w:ascii="Cambria"/>
          <w:b/>
          <w:i/>
          <w:sz w:val="22"/>
        </w:rPr>
        <w:t>S</w:t>
      </w:r>
      <w:r>
        <w:rPr>
          <w:rFonts w:ascii="Cambria"/>
          <w:b/>
          <w:i/>
          <w:sz w:val="18"/>
        </w:rPr>
        <w:t>ALVIA</w:t>
      </w:r>
      <w:r>
        <w:rPr>
          <w:rFonts w:ascii="Cambria"/>
          <w:b/>
          <w:i/>
          <w:spacing w:val="-14"/>
          <w:sz w:val="18"/>
        </w:rPr>
        <w:t> </w:t>
      </w:r>
      <w:r>
        <w:rPr>
          <w:rFonts w:ascii="Cambria"/>
          <w:b/>
          <w:i/>
          <w:sz w:val="18"/>
        </w:rPr>
        <w:t>HISPANICA</w:t>
      </w:r>
      <w:r>
        <w:rPr>
          <w:rFonts w:ascii="Cambria"/>
          <w:b/>
          <w:i/>
          <w:spacing w:val="-1"/>
          <w:sz w:val="18"/>
        </w:rPr>
        <w:t> </w:t>
      </w:r>
      <w:r>
        <w:rPr>
          <w:rFonts w:ascii="Cambria"/>
          <w:b/>
          <w:sz w:val="22"/>
        </w:rPr>
        <w:t>L.)</w:t>
        <w:tab/>
        <w:t>4</w:t>
      </w:r>
    </w:p>
    <w:p>
      <w:pPr>
        <w:pStyle w:val="ListParagraph"/>
        <w:numPr>
          <w:ilvl w:val="2"/>
          <w:numId w:val="1"/>
        </w:numPr>
        <w:tabs>
          <w:tab w:pos="2128" w:val="left" w:leader="none"/>
          <w:tab w:pos="2129" w:val="left" w:leader="none"/>
          <w:tab w:pos="9156" w:val="right" w:leader="none"/>
        </w:tabs>
        <w:spacing w:line="240" w:lineRule="auto" w:before="131" w:after="0"/>
        <w:ind w:left="2128" w:right="0" w:hanging="1291"/>
        <w:jc w:val="left"/>
        <w:rPr>
          <w:rFonts w:ascii="Cambria" w:hAnsi="Cambria"/>
          <w:sz w:val="22"/>
        </w:rPr>
      </w:pPr>
      <w:r>
        <w:rPr>
          <w:rFonts w:ascii="Cambria" w:hAnsi="Cambria"/>
          <w:sz w:val="22"/>
        </w:rPr>
        <w:t>Á</w:t>
      </w:r>
      <w:r>
        <w:rPr>
          <w:rFonts w:ascii="Cambria" w:hAnsi="Cambria"/>
          <w:sz w:val="18"/>
        </w:rPr>
        <w:t>CIDOS </w:t>
      </w:r>
      <w:r>
        <w:rPr>
          <w:rFonts w:ascii="Cambria" w:hAnsi="Cambria"/>
          <w:spacing w:val="-3"/>
          <w:sz w:val="18"/>
        </w:rPr>
        <w:t>GRASOS</w:t>
      </w:r>
      <w:r>
        <w:rPr>
          <w:rFonts w:ascii="Cambria" w:hAnsi="Cambria"/>
          <w:spacing w:val="-2"/>
          <w:sz w:val="18"/>
        </w:rPr>
        <w:t> </w:t>
      </w:r>
      <w:r>
        <w:rPr>
          <w:rFonts w:ascii="Cambria" w:hAnsi="Cambria"/>
          <w:sz w:val="18"/>
        </w:rPr>
        <w:t>ESENCIALES</w:t>
      </w:r>
      <w:r>
        <w:rPr>
          <w:rFonts w:ascii="Cambria" w:hAnsi="Cambria"/>
          <w:spacing w:val="-6"/>
          <w:sz w:val="18"/>
        </w:rPr>
        <w:t> </w:t>
      </w:r>
      <w:r>
        <w:rPr>
          <w:rFonts w:ascii="Cambria" w:hAnsi="Cambria"/>
          <w:sz w:val="22"/>
        </w:rPr>
        <w:t>(AGE)</w:t>
        <w:tab/>
        <w:t>4</w:t>
      </w:r>
    </w:p>
    <w:p>
      <w:pPr>
        <w:pStyle w:val="ListParagraph"/>
        <w:numPr>
          <w:ilvl w:val="1"/>
          <w:numId w:val="1"/>
        </w:numPr>
        <w:tabs>
          <w:tab w:pos="692" w:val="left" w:leader="none"/>
          <w:tab w:pos="693" w:val="left" w:leader="none"/>
          <w:tab w:pos="9155" w:val="right" w:leader="none"/>
        </w:tabs>
        <w:spacing w:line="240" w:lineRule="auto" w:before="126" w:after="0"/>
        <w:ind w:left="692" w:right="0" w:hanging="552"/>
        <w:jc w:val="left"/>
        <w:rPr>
          <w:rFonts w:ascii="Cambria"/>
          <w:b/>
          <w:sz w:val="22"/>
        </w:rPr>
      </w:pPr>
      <w:r>
        <w:rPr>
          <w:rFonts w:ascii="Cambria"/>
          <w:b/>
          <w:sz w:val="22"/>
        </w:rPr>
        <w:t>EMULSIONES</w:t>
        <w:tab/>
        <w:t>5</w:t>
      </w:r>
    </w:p>
    <w:p>
      <w:pPr>
        <w:pStyle w:val="ListParagraph"/>
        <w:numPr>
          <w:ilvl w:val="2"/>
          <w:numId w:val="1"/>
        </w:numPr>
        <w:tabs>
          <w:tab w:pos="2128" w:val="left" w:leader="none"/>
          <w:tab w:pos="2129" w:val="left" w:leader="none"/>
          <w:tab w:pos="9156" w:val="right" w:leader="none"/>
        </w:tabs>
        <w:spacing w:line="240" w:lineRule="auto" w:before="131" w:after="0"/>
        <w:ind w:left="2128" w:right="0" w:hanging="1291"/>
        <w:jc w:val="left"/>
        <w:rPr>
          <w:rFonts w:ascii="Cambria"/>
          <w:sz w:val="22"/>
        </w:rPr>
      </w:pPr>
      <w:r>
        <w:rPr>
          <w:rFonts w:ascii="Cambria"/>
          <w:sz w:val="22"/>
        </w:rPr>
        <w:t>E</w:t>
      </w:r>
      <w:r>
        <w:rPr>
          <w:rFonts w:ascii="Cambria"/>
          <w:sz w:val="18"/>
        </w:rPr>
        <w:t>MULSIONANTES</w:t>
      </w:r>
      <w:r>
        <w:rPr>
          <w:rFonts w:ascii="Cambria"/>
          <w:sz w:val="22"/>
        </w:rPr>
        <w:tab/>
        <w:t>6</w:t>
      </w:r>
    </w:p>
    <w:p>
      <w:pPr>
        <w:pStyle w:val="ListParagraph"/>
        <w:numPr>
          <w:ilvl w:val="2"/>
          <w:numId w:val="1"/>
        </w:numPr>
        <w:tabs>
          <w:tab w:pos="2128" w:val="left" w:leader="none"/>
          <w:tab w:pos="2129" w:val="left" w:leader="none"/>
          <w:tab w:pos="9156" w:val="right" w:leader="none"/>
        </w:tabs>
        <w:spacing w:line="240" w:lineRule="auto" w:before="131" w:after="0"/>
        <w:ind w:left="2128" w:right="0" w:hanging="1291"/>
        <w:jc w:val="left"/>
        <w:rPr>
          <w:rFonts w:ascii="Cambria"/>
          <w:sz w:val="22"/>
        </w:rPr>
      </w:pPr>
      <w:r>
        <w:rPr>
          <w:rFonts w:ascii="Cambria"/>
          <w:sz w:val="22"/>
        </w:rPr>
        <w:t>F</w:t>
      </w:r>
      <w:r>
        <w:rPr>
          <w:rFonts w:ascii="Cambria"/>
          <w:sz w:val="18"/>
        </w:rPr>
        <w:t>ACTORES QUE AFECTAN LA ESTABILIDAD DE</w:t>
      </w:r>
      <w:r>
        <w:rPr>
          <w:rFonts w:ascii="Cambria"/>
          <w:spacing w:val="-10"/>
          <w:sz w:val="18"/>
        </w:rPr>
        <w:t> </w:t>
      </w:r>
      <w:r>
        <w:rPr>
          <w:rFonts w:ascii="Cambria"/>
          <w:sz w:val="18"/>
        </w:rPr>
        <w:t>LAS</w:t>
      </w:r>
      <w:r>
        <w:rPr>
          <w:rFonts w:ascii="Cambria"/>
          <w:spacing w:val="-2"/>
          <w:sz w:val="18"/>
        </w:rPr>
        <w:t> </w:t>
      </w:r>
      <w:r>
        <w:rPr>
          <w:rFonts w:ascii="Cambria"/>
          <w:sz w:val="18"/>
        </w:rPr>
        <w:t>EMULSIONES</w:t>
      </w:r>
      <w:r>
        <w:rPr>
          <w:rFonts w:ascii="Cambria"/>
          <w:sz w:val="22"/>
        </w:rPr>
        <w:tab/>
        <w:t>7</w:t>
      </w:r>
    </w:p>
    <w:p>
      <w:pPr>
        <w:pStyle w:val="ListParagraph"/>
        <w:numPr>
          <w:ilvl w:val="1"/>
          <w:numId w:val="1"/>
        </w:numPr>
        <w:tabs>
          <w:tab w:pos="692" w:val="left" w:leader="none"/>
          <w:tab w:pos="693" w:val="left" w:leader="none"/>
          <w:tab w:pos="9155" w:val="right" w:leader="none"/>
        </w:tabs>
        <w:spacing w:line="240" w:lineRule="auto" w:before="126" w:after="0"/>
        <w:ind w:left="692" w:right="0" w:hanging="552"/>
        <w:jc w:val="left"/>
        <w:rPr>
          <w:rFonts w:ascii="Cambria" w:hAnsi="Cambria"/>
          <w:b/>
          <w:sz w:val="22"/>
        </w:rPr>
      </w:pPr>
      <w:r>
        <w:rPr>
          <w:rFonts w:ascii="Cambria" w:hAnsi="Cambria"/>
          <w:b/>
          <w:sz w:val="22"/>
        </w:rPr>
        <w:t>MICROENCAPSULACIÓN</w:t>
        <w:tab/>
        <w:t>7</w:t>
      </w:r>
    </w:p>
    <w:p>
      <w:pPr>
        <w:pStyle w:val="ListParagraph"/>
        <w:numPr>
          <w:ilvl w:val="2"/>
          <w:numId w:val="1"/>
        </w:numPr>
        <w:tabs>
          <w:tab w:pos="2128" w:val="left" w:leader="none"/>
          <w:tab w:pos="2129" w:val="left" w:leader="none"/>
          <w:tab w:pos="9156" w:val="right" w:leader="none"/>
        </w:tabs>
        <w:spacing w:line="240" w:lineRule="auto" w:before="131" w:after="0"/>
        <w:ind w:left="2128" w:right="0" w:hanging="1291"/>
        <w:jc w:val="left"/>
        <w:rPr>
          <w:rFonts w:ascii="Cambria" w:hAnsi="Cambria"/>
          <w:sz w:val="22"/>
        </w:rPr>
      </w:pPr>
      <w:r>
        <w:rPr>
          <w:rFonts w:ascii="Cambria" w:hAnsi="Cambria"/>
          <w:sz w:val="22"/>
        </w:rPr>
        <w:t>S</w:t>
      </w:r>
      <w:r>
        <w:rPr>
          <w:rFonts w:ascii="Cambria" w:hAnsi="Cambria"/>
          <w:sz w:val="18"/>
        </w:rPr>
        <w:t>ECADO </w:t>
      </w:r>
      <w:r>
        <w:rPr>
          <w:rFonts w:ascii="Cambria" w:hAnsi="Cambria"/>
          <w:spacing w:val="-3"/>
          <w:sz w:val="18"/>
        </w:rPr>
        <w:t>POR </w:t>
      </w:r>
      <w:r>
        <w:rPr>
          <w:rFonts w:ascii="Cambria" w:hAnsi="Cambria"/>
          <w:sz w:val="18"/>
        </w:rPr>
        <w:t>ASPERSIÓN </w:t>
      </w:r>
      <w:r>
        <w:rPr>
          <w:rFonts w:ascii="Cambria" w:hAnsi="Cambria"/>
          <w:spacing w:val="-3"/>
          <w:sz w:val="18"/>
        </w:rPr>
        <w:t>COMO </w:t>
      </w:r>
      <w:r>
        <w:rPr>
          <w:rFonts w:ascii="Cambria" w:hAnsi="Cambria"/>
          <w:sz w:val="18"/>
        </w:rPr>
        <w:t>TÉCNICA</w:t>
      </w:r>
      <w:r>
        <w:rPr>
          <w:rFonts w:ascii="Cambria" w:hAnsi="Cambria"/>
          <w:spacing w:val="6"/>
          <w:sz w:val="18"/>
        </w:rPr>
        <w:t> </w:t>
      </w:r>
      <w:r>
        <w:rPr>
          <w:rFonts w:ascii="Cambria" w:hAnsi="Cambria"/>
          <w:spacing w:val="-3"/>
          <w:sz w:val="18"/>
        </w:rPr>
        <w:t>DE</w:t>
      </w:r>
      <w:r>
        <w:rPr>
          <w:rFonts w:ascii="Cambria" w:hAnsi="Cambria"/>
          <w:spacing w:val="-1"/>
          <w:sz w:val="18"/>
        </w:rPr>
        <w:t> </w:t>
      </w:r>
      <w:r>
        <w:rPr>
          <w:rFonts w:ascii="Cambria" w:hAnsi="Cambria"/>
          <w:sz w:val="18"/>
        </w:rPr>
        <w:t>MICROENCAPSULACIÓN</w:t>
      </w:r>
      <w:r>
        <w:rPr>
          <w:rFonts w:ascii="Cambria" w:hAnsi="Cambria"/>
          <w:sz w:val="22"/>
        </w:rPr>
        <w:tab/>
        <w:t>8</w:t>
      </w:r>
    </w:p>
    <w:p>
      <w:pPr>
        <w:pStyle w:val="ListParagraph"/>
        <w:numPr>
          <w:ilvl w:val="2"/>
          <w:numId w:val="1"/>
        </w:numPr>
        <w:tabs>
          <w:tab w:pos="2128" w:val="left" w:leader="none"/>
          <w:tab w:pos="2129" w:val="left" w:leader="none"/>
          <w:tab w:pos="9156" w:val="right" w:leader="none"/>
        </w:tabs>
        <w:spacing w:line="240" w:lineRule="auto" w:before="126" w:after="0"/>
        <w:ind w:left="2128" w:right="0" w:hanging="1291"/>
        <w:jc w:val="left"/>
        <w:rPr>
          <w:rFonts w:ascii="Cambria" w:hAnsi="Cambria"/>
          <w:sz w:val="22"/>
        </w:rPr>
      </w:pPr>
      <w:r>
        <w:rPr>
          <w:rFonts w:ascii="Cambria" w:hAnsi="Cambria"/>
          <w:sz w:val="22"/>
        </w:rPr>
        <w:t>M</w:t>
      </w:r>
      <w:r>
        <w:rPr>
          <w:rFonts w:ascii="Cambria" w:hAnsi="Cambria"/>
          <w:sz w:val="18"/>
        </w:rPr>
        <w:t>ICROENCAPSULACIÓN </w:t>
      </w:r>
      <w:r>
        <w:rPr>
          <w:rFonts w:ascii="Cambria" w:hAnsi="Cambria"/>
          <w:spacing w:val="-3"/>
          <w:sz w:val="18"/>
        </w:rPr>
        <w:t>DE</w:t>
      </w:r>
      <w:r>
        <w:rPr>
          <w:rFonts w:ascii="Cambria" w:hAnsi="Cambria"/>
          <w:spacing w:val="-1"/>
          <w:sz w:val="18"/>
        </w:rPr>
        <w:t> </w:t>
      </w:r>
      <w:r>
        <w:rPr>
          <w:rFonts w:ascii="Cambria" w:hAnsi="Cambria"/>
          <w:sz w:val="18"/>
        </w:rPr>
        <w:t>ACEITES</w:t>
      </w:r>
      <w:r>
        <w:rPr>
          <w:rFonts w:ascii="Cambria" w:hAnsi="Cambria"/>
          <w:spacing w:val="-2"/>
          <w:sz w:val="18"/>
        </w:rPr>
        <w:t> </w:t>
      </w:r>
      <w:r>
        <w:rPr>
          <w:rFonts w:ascii="Cambria" w:hAnsi="Cambria"/>
          <w:sz w:val="18"/>
        </w:rPr>
        <w:t>COMESTIBLES</w:t>
      </w:r>
      <w:r>
        <w:rPr>
          <w:rFonts w:ascii="Cambria" w:hAnsi="Cambria"/>
          <w:sz w:val="22"/>
        </w:rPr>
        <w:tab/>
        <w:t>9</w:t>
      </w:r>
    </w:p>
    <w:p>
      <w:pPr>
        <w:pStyle w:val="ListParagraph"/>
        <w:numPr>
          <w:ilvl w:val="1"/>
          <w:numId w:val="1"/>
        </w:numPr>
        <w:tabs>
          <w:tab w:pos="692" w:val="left" w:leader="none"/>
          <w:tab w:pos="693" w:val="left" w:leader="none"/>
          <w:tab w:pos="9153" w:val="right" w:leader="none"/>
        </w:tabs>
        <w:spacing w:line="240" w:lineRule="auto" w:before="131" w:after="0"/>
        <w:ind w:left="692" w:right="0" w:hanging="552"/>
        <w:jc w:val="left"/>
        <w:rPr>
          <w:rFonts w:ascii="Cambria" w:hAnsi="Cambria"/>
          <w:b/>
          <w:sz w:val="22"/>
        </w:rPr>
      </w:pPr>
      <w:r>
        <w:rPr>
          <w:rFonts w:ascii="Cambria" w:hAnsi="Cambria"/>
          <w:b/>
          <w:sz w:val="22"/>
        </w:rPr>
        <w:t>ADSORCIÓN DE HUMEDAD</w:t>
      </w:r>
      <w:r>
        <w:rPr>
          <w:rFonts w:ascii="Cambria" w:hAnsi="Cambria"/>
          <w:b/>
          <w:spacing w:val="-33"/>
          <w:sz w:val="22"/>
        </w:rPr>
        <w:t> </w:t>
      </w:r>
      <w:r>
        <w:rPr>
          <w:rFonts w:ascii="Cambria" w:hAnsi="Cambria"/>
          <w:b/>
          <w:sz w:val="22"/>
        </w:rPr>
        <w:t>EN</w:t>
      </w:r>
      <w:r>
        <w:rPr>
          <w:rFonts w:ascii="Cambria" w:hAnsi="Cambria"/>
          <w:b/>
          <w:spacing w:val="-13"/>
          <w:sz w:val="22"/>
        </w:rPr>
        <w:t> </w:t>
      </w:r>
      <w:r>
        <w:rPr>
          <w:rFonts w:ascii="Cambria" w:hAnsi="Cambria"/>
          <w:b/>
          <w:sz w:val="22"/>
        </w:rPr>
        <w:t>ALIMENTOS</w:t>
        <w:tab/>
        <w:t>10</w:t>
      </w:r>
    </w:p>
    <w:p>
      <w:pPr>
        <w:pStyle w:val="BodyText"/>
        <w:spacing w:before="2"/>
        <w:rPr>
          <w:rFonts w:ascii="Cambria"/>
          <w:b/>
          <w:sz w:val="5"/>
        </w:rPr>
      </w:pPr>
    </w:p>
    <w:tbl>
      <w:tblPr>
        <w:tblW w:w="0" w:type="auto"/>
        <w:jc w:val="left"/>
        <w:tblInd w:w="8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7"/>
        <w:gridCol w:w="4911"/>
        <w:gridCol w:w="2564"/>
      </w:tblGrid>
      <w:tr>
        <w:trPr>
          <w:trHeight w:val="402" w:hRule="exact"/>
        </w:trPr>
        <w:tc>
          <w:tcPr>
            <w:tcW w:w="907" w:type="dxa"/>
          </w:tcPr>
          <w:p>
            <w:pPr>
              <w:pStyle w:val="TableParagraph"/>
              <w:spacing w:before="70"/>
              <w:ind w:left="35"/>
              <w:jc w:val="left"/>
              <w:rPr>
                <w:rFonts w:ascii="Cambria"/>
                <w:sz w:val="22"/>
              </w:rPr>
            </w:pPr>
            <w:r>
              <w:rPr>
                <w:rFonts w:ascii="Cambria"/>
                <w:sz w:val="22"/>
              </w:rPr>
              <w:t>1.4.1</w:t>
            </w:r>
          </w:p>
        </w:tc>
        <w:tc>
          <w:tcPr>
            <w:tcW w:w="4911" w:type="dxa"/>
          </w:tcPr>
          <w:p>
            <w:pPr>
              <w:pStyle w:val="TableParagraph"/>
              <w:spacing w:before="70"/>
              <w:ind w:left="419"/>
              <w:jc w:val="left"/>
              <w:rPr>
                <w:rFonts w:ascii="Cambria"/>
                <w:sz w:val="18"/>
              </w:rPr>
            </w:pPr>
            <w:r>
              <w:rPr>
                <w:rFonts w:ascii="Cambria"/>
                <w:sz w:val="22"/>
              </w:rPr>
              <w:t>A</w:t>
            </w:r>
            <w:r>
              <w:rPr>
                <w:rFonts w:ascii="Cambria"/>
                <w:sz w:val="18"/>
              </w:rPr>
              <w:t>CTIVIDAD DE AGUA</w:t>
            </w:r>
          </w:p>
        </w:tc>
        <w:tc>
          <w:tcPr>
            <w:tcW w:w="2564" w:type="dxa"/>
          </w:tcPr>
          <w:p>
            <w:pPr>
              <w:pStyle w:val="TableParagraph"/>
              <w:spacing w:before="70"/>
              <w:ind w:right="33"/>
              <w:jc w:val="right"/>
              <w:rPr>
                <w:rFonts w:ascii="Cambria"/>
                <w:sz w:val="22"/>
              </w:rPr>
            </w:pPr>
            <w:r>
              <w:rPr>
                <w:rFonts w:ascii="Cambria"/>
                <w:sz w:val="22"/>
              </w:rPr>
              <w:t>11</w:t>
            </w:r>
          </w:p>
        </w:tc>
      </w:tr>
      <w:tr>
        <w:trPr>
          <w:trHeight w:val="386" w:hRule="exact"/>
        </w:trPr>
        <w:tc>
          <w:tcPr>
            <w:tcW w:w="907" w:type="dxa"/>
          </w:tcPr>
          <w:p>
            <w:pPr>
              <w:pStyle w:val="TableParagraph"/>
              <w:spacing w:before="51"/>
              <w:ind w:left="35"/>
              <w:jc w:val="left"/>
              <w:rPr>
                <w:rFonts w:ascii="Cambria"/>
                <w:sz w:val="22"/>
              </w:rPr>
            </w:pPr>
            <w:r>
              <w:rPr>
                <w:rFonts w:ascii="Cambria"/>
                <w:sz w:val="22"/>
              </w:rPr>
              <w:t>1.4.2</w:t>
            </w:r>
          </w:p>
        </w:tc>
        <w:tc>
          <w:tcPr>
            <w:tcW w:w="4911" w:type="dxa"/>
          </w:tcPr>
          <w:p>
            <w:pPr>
              <w:pStyle w:val="TableParagraph"/>
              <w:spacing w:before="51"/>
              <w:ind w:left="419"/>
              <w:jc w:val="left"/>
              <w:rPr>
                <w:rFonts w:ascii="Cambria" w:hAnsi="Cambria"/>
                <w:sz w:val="18"/>
              </w:rPr>
            </w:pPr>
            <w:r>
              <w:rPr>
                <w:rFonts w:ascii="Cambria" w:hAnsi="Cambria"/>
                <w:sz w:val="22"/>
              </w:rPr>
              <w:t>T</w:t>
            </w:r>
            <w:r>
              <w:rPr>
                <w:rFonts w:ascii="Cambria" w:hAnsi="Cambria"/>
                <w:sz w:val="18"/>
              </w:rPr>
              <w:t>RANSICIÓN </w:t>
            </w:r>
            <w:r>
              <w:rPr>
                <w:rFonts w:ascii="Cambria" w:hAnsi="Cambria"/>
                <w:sz w:val="22"/>
              </w:rPr>
              <w:t>V</w:t>
            </w:r>
            <w:r>
              <w:rPr>
                <w:rFonts w:ascii="Cambria" w:hAnsi="Cambria"/>
                <w:sz w:val="18"/>
              </w:rPr>
              <w:t>ÍTREA</w:t>
            </w:r>
          </w:p>
        </w:tc>
        <w:tc>
          <w:tcPr>
            <w:tcW w:w="2564" w:type="dxa"/>
          </w:tcPr>
          <w:p>
            <w:pPr>
              <w:pStyle w:val="TableParagraph"/>
              <w:spacing w:before="51"/>
              <w:ind w:right="33"/>
              <w:jc w:val="right"/>
              <w:rPr>
                <w:rFonts w:ascii="Cambria"/>
                <w:sz w:val="22"/>
              </w:rPr>
            </w:pPr>
            <w:r>
              <w:rPr>
                <w:rFonts w:ascii="Cambria"/>
                <w:sz w:val="22"/>
              </w:rPr>
              <w:t>12</w:t>
            </w:r>
          </w:p>
        </w:tc>
      </w:tr>
      <w:tr>
        <w:trPr>
          <w:trHeight w:val="387" w:hRule="exact"/>
        </w:trPr>
        <w:tc>
          <w:tcPr>
            <w:tcW w:w="907" w:type="dxa"/>
          </w:tcPr>
          <w:p>
            <w:pPr>
              <w:pStyle w:val="TableParagraph"/>
              <w:spacing w:before="54"/>
              <w:ind w:left="35"/>
              <w:jc w:val="left"/>
              <w:rPr>
                <w:rFonts w:ascii="Cambria"/>
                <w:sz w:val="22"/>
              </w:rPr>
            </w:pPr>
            <w:r>
              <w:rPr>
                <w:rFonts w:ascii="Cambria"/>
                <w:sz w:val="22"/>
              </w:rPr>
              <w:t>1.4.3</w:t>
            </w:r>
          </w:p>
        </w:tc>
        <w:tc>
          <w:tcPr>
            <w:tcW w:w="4911" w:type="dxa"/>
          </w:tcPr>
          <w:p>
            <w:pPr>
              <w:pStyle w:val="TableParagraph"/>
              <w:spacing w:before="54"/>
              <w:ind w:left="419"/>
              <w:jc w:val="left"/>
              <w:rPr>
                <w:rFonts w:ascii="Cambria" w:hAnsi="Cambria"/>
                <w:sz w:val="18"/>
              </w:rPr>
            </w:pPr>
            <w:r>
              <w:rPr>
                <w:rFonts w:ascii="Cambria" w:hAnsi="Cambria"/>
                <w:sz w:val="22"/>
              </w:rPr>
              <w:t>I</w:t>
            </w:r>
            <w:r>
              <w:rPr>
                <w:rFonts w:ascii="Cambria" w:hAnsi="Cambria"/>
                <w:sz w:val="18"/>
              </w:rPr>
              <w:t>SOTERMAS DE ADSORCIÓN</w:t>
            </w:r>
          </w:p>
        </w:tc>
        <w:tc>
          <w:tcPr>
            <w:tcW w:w="2564" w:type="dxa"/>
          </w:tcPr>
          <w:p>
            <w:pPr>
              <w:pStyle w:val="TableParagraph"/>
              <w:spacing w:before="54"/>
              <w:ind w:right="33"/>
              <w:jc w:val="right"/>
              <w:rPr>
                <w:rFonts w:ascii="Cambria"/>
                <w:sz w:val="22"/>
              </w:rPr>
            </w:pPr>
            <w:r>
              <w:rPr>
                <w:rFonts w:ascii="Cambria"/>
                <w:sz w:val="22"/>
              </w:rPr>
              <w:t>12</w:t>
            </w:r>
          </w:p>
        </w:tc>
      </w:tr>
      <w:tr>
        <w:trPr>
          <w:trHeight w:val="403" w:hRule="exact"/>
        </w:trPr>
        <w:tc>
          <w:tcPr>
            <w:tcW w:w="907" w:type="dxa"/>
          </w:tcPr>
          <w:p>
            <w:pPr>
              <w:pStyle w:val="TableParagraph"/>
              <w:spacing w:before="51"/>
              <w:ind w:left="35"/>
              <w:jc w:val="left"/>
              <w:rPr>
                <w:rFonts w:ascii="Cambria"/>
                <w:sz w:val="22"/>
              </w:rPr>
            </w:pPr>
            <w:r>
              <w:rPr>
                <w:rFonts w:ascii="Cambria"/>
                <w:sz w:val="22"/>
              </w:rPr>
              <w:t>1.4.4</w:t>
            </w:r>
          </w:p>
        </w:tc>
        <w:tc>
          <w:tcPr>
            <w:tcW w:w="4911" w:type="dxa"/>
          </w:tcPr>
          <w:p>
            <w:pPr>
              <w:pStyle w:val="TableParagraph"/>
              <w:spacing w:before="51"/>
              <w:ind w:left="419"/>
              <w:jc w:val="left"/>
              <w:rPr>
                <w:rFonts w:ascii="Cambria" w:hAnsi="Cambria"/>
                <w:sz w:val="18"/>
              </w:rPr>
            </w:pPr>
            <w:r>
              <w:rPr>
                <w:rFonts w:ascii="Cambria" w:hAnsi="Cambria"/>
                <w:sz w:val="22"/>
              </w:rPr>
              <w:t>E</w:t>
            </w:r>
            <w:r>
              <w:rPr>
                <w:rFonts w:ascii="Cambria" w:hAnsi="Cambria"/>
                <w:sz w:val="18"/>
              </w:rPr>
              <w:t>NTROPÍA INTEGRAL</w:t>
            </w:r>
          </w:p>
        </w:tc>
        <w:tc>
          <w:tcPr>
            <w:tcW w:w="2564" w:type="dxa"/>
          </w:tcPr>
          <w:p>
            <w:pPr>
              <w:pStyle w:val="TableParagraph"/>
              <w:spacing w:before="51"/>
              <w:ind w:right="33"/>
              <w:jc w:val="right"/>
              <w:rPr>
                <w:rFonts w:ascii="Cambria"/>
                <w:sz w:val="22"/>
              </w:rPr>
            </w:pPr>
            <w:r>
              <w:rPr>
                <w:rFonts w:ascii="Cambria"/>
                <w:sz w:val="22"/>
              </w:rPr>
              <w:t>13</w:t>
            </w:r>
          </w:p>
        </w:tc>
      </w:tr>
    </w:tbl>
    <w:p>
      <w:pPr>
        <w:pStyle w:val="ListParagraph"/>
        <w:numPr>
          <w:ilvl w:val="1"/>
          <w:numId w:val="1"/>
        </w:numPr>
        <w:tabs>
          <w:tab w:pos="692" w:val="left" w:leader="none"/>
          <w:tab w:pos="693" w:val="left" w:leader="none"/>
          <w:tab w:pos="8894" w:val="left" w:leader="none"/>
        </w:tabs>
        <w:spacing w:line="240" w:lineRule="auto" w:before="38" w:after="0"/>
        <w:ind w:left="692" w:right="0" w:hanging="552"/>
        <w:jc w:val="left"/>
        <w:rPr>
          <w:rFonts w:ascii="Cambria" w:hAnsi="Cambria"/>
          <w:b/>
          <w:sz w:val="22"/>
        </w:rPr>
      </w:pPr>
      <w:r>
        <w:rPr>
          <w:rFonts w:ascii="Cambria" w:hAnsi="Cambria"/>
          <w:b/>
          <w:sz w:val="22"/>
        </w:rPr>
        <w:t>OXIDACIÓN DE</w:t>
      </w:r>
      <w:r>
        <w:rPr>
          <w:rFonts w:ascii="Cambria" w:hAnsi="Cambria"/>
          <w:b/>
          <w:spacing w:val="-23"/>
          <w:sz w:val="22"/>
        </w:rPr>
        <w:t> </w:t>
      </w:r>
      <w:r>
        <w:rPr>
          <w:rFonts w:ascii="Cambria" w:hAnsi="Cambria"/>
          <w:b/>
          <w:sz w:val="22"/>
        </w:rPr>
        <w:t>ACEITES</w:t>
      </w:r>
      <w:r>
        <w:rPr>
          <w:rFonts w:ascii="Cambria" w:hAnsi="Cambria"/>
          <w:b/>
          <w:spacing w:val="-9"/>
          <w:sz w:val="22"/>
        </w:rPr>
        <w:t> </w:t>
      </w:r>
      <w:r>
        <w:rPr>
          <w:rFonts w:ascii="Cambria" w:hAnsi="Cambria"/>
          <w:b/>
          <w:sz w:val="22"/>
        </w:rPr>
        <w:t>COMESTIBLES</w:t>
        <w:tab/>
        <w:t>13</w:t>
      </w:r>
    </w:p>
    <w:sdt>
      <w:sdtPr>
        <w:docPartObj>
          <w:docPartGallery w:val="Table of Contents"/>
          <w:docPartUnique/>
        </w:docPartObj>
      </w:sdtPr>
      <w:sdtEndPr/>
      <w:sdtContent>
        <w:p>
          <w:pPr>
            <w:pStyle w:val="TOC2"/>
            <w:numPr>
              <w:ilvl w:val="2"/>
              <w:numId w:val="1"/>
            </w:numPr>
            <w:tabs>
              <w:tab w:pos="2128" w:val="left" w:leader="none"/>
              <w:tab w:pos="2129" w:val="left" w:leader="none"/>
              <w:tab w:pos="9149" w:val="right" w:leader="none"/>
            </w:tabs>
            <w:spacing w:line="240" w:lineRule="auto" w:before="131" w:after="0"/>
            <w:ind w:left="2128" w:right="0" w:hanging="1291"/>
            <w:jc w:val="left"/>
            <w:rPr>
              <w:sz w:val="22"/>
            </w:rPr>
          </w:pPr>
          <w:hyperlink w:history="true" w:anchor="_TOC_250009">
            <w:r>
              <w:rPr>
                <w:sz w:val="22"/>
              </w:rPr>
              <w:t>F</w:t>
            </w:r>
            <w:r>
              <w:rPr/>
              <w:t>ASE</w:t>
            </w:r>
            <w:r>
              <w:rPr>
                <w:spacing w:val="-1"/>
              </w:rPr>
              <w:t> </w:t>
            </w:r>
            <w:r>
              <w:rPr/>
              <w:t>DE</w:t>
            </w:r>
            <w:r>
              <w:rPr>
                <w:spacing w:val="-1"/>
              </w:rPr>
              <w:t> </w:t>
            </w:r>
            <w:r>
              <w:rPr/>
              <w:t>INICIACIÓN</w:t>
            </w:r>
            <w:r>
              <w:rPr>
                <w:sz w:val="22"/>
              </w:rPr>
              <w:tab/>
            </w:r>
            <w:r>
              <w:rPr>
                <w:spacing w:val="-3"/>
                <w:sz w:val="22"/>
              </w:rPr>
              <w:t>14</w:t>
            </w:r>
          </w:hyperlink>
        </w:p>
        <w:p>
          <w:pPr>
            <w:pStyle w:val="TOC2"/>
            <w:numPr>
              <w:ilvl w:val="2"/>
              <w:numId w:val="1"/>
            </w:numPr>
            <w:tabs>
              <w:tab w:pos="2128" w:val="left" w:leader="none"/>
              <w:tab w:pos="2129" w:val="left" w:leader="none"/>
              <w:tab w:pos="9149" w:val="right" w:leader="none"/>
            </w:tabs>
            <w:spacing w:line="240" w:lineRule="auto" w:before="126" w:after="0"/>
            <w:ind w:left="2128" w:right="0" w:hanging="1291"/>
            <w:jc w:val="left"/>
            <w:rPr>
              <w:sz w:val="22"/>
            </w:rPr>
          </w:pPr>
          <w:hyperlink w:history="true" w:anchor="_TOC_250008">
            <w:r>
              <w:rPr>
                <w:sz w:val="22"/>
              </w:rPr>
              <w:t>F</w:t>
            </w:r>
            <w:r>
              <w:rPr/>
              <w:t>ASE</w:t>
            </w:r>
            <w:r>
              <w:rPr>
                <w:spacing w:val="-1"/>
              </w:rPr>
              <w:t> </w:t>
            </w:r>
            <w:r>
              <w:rPr/>
              <w:t>DE</w:t>
            </w:r>
            <w:r>
              <w:rPr>
                <w:spacing w:val="-6"/>
              </w:rPr>
              <w:t> </w:t>
            </w:r>
            <w:r>
              <w:rPr/>
              <w:t>PROPAGACIÓN</w:t>
            </w:r>
            <w:r>
              <w:rPr>
                <w:sz w:val="22"/>
              </w:rPr>
              <w:tab/>
            </w:r>
            <w:r>
              <w:rPr>
                <w:spacing w:val="-3"/>
                <w:sz w:val="22"/>
              </w:rPr>
              <w:t>14</w:t>
            </w:r>
          </w:hyperlink>
        </w:p>
        <w:p>
          <w:pPr>
            <w:pStyle w:val="TOC2"/>
            <w:numPr>
              <w:ilvl w:val="2"/>
              <w:numId w:val="1"/>
            </w:numPr>
            <w:tabs>
              <w:tab w:pos="2128" w:val="left" w:leader="none"/>
              <w:tab w:pos="2129" w:val="left" w:leader="none"/>
              <w:tab w:pos="9149" w:val="right" w:leader="none"/>
            </w:tabs>
            <w:spacing w:line="240" w:lineRule="auto" w:before="131" w:after="0"/>
            <w:ind w:left="2128" w:right="0" w:hanging="1291"/>
            <w:jc w:val="left"/>
            <w:rPr>
              <w:sz w:val="22"/>
            </w:rPr>
          </w:pPr>
          <w:hyperlink w:history="true" w:anchor="_TOC_250007">
            <w:r>
              <w:rPr>
                <w:sz w:val="22"/>
              </w:rPr>
              <w:t>F</w:t>
            </w:r>
            <w:r>
              <w:rPr/>
              <w:t>ASE</w:t>
            </w:r>
            <w:r>
              <w:rPr>
                <w:spacing w:val="-1"/>
              </w:rPr>
              <w:t> </w:t>
            </w:r>
            <w:r>
              <w:rPr/>
              <w:t>DE</w:t>
            </w:r>
            <w:r>
              <w:rPr>
                <w:spacing w:val="-6"/>
              </w:rPr>
              <w:t> </w:t>
            </w:r>
            <w:r>
              <w:rPr/>
              <w:t>TERMINACIÓN</w:t>
            </w:r>
            <w:r>
              <w:rPr>
                <w:sz w:val="22"/>
              </w:rPr>
              <w:tab/>
            </w:r>
            <w:r>
              <w:rPr>
                <w:spacing w:val="-3"/>
                <w:sz w:val="22"/>
              </w:rPr>
              <w:t>15</w:t>
            </w:r>
          </w:hyperlink>
        </w:p>
        <w:p>
          <w:pPr>
            <w:pStyle w:val="TOC2"/>
            <w:numPr>
              <w:ilvl w:val="2"/>
              <w:numId w:val="1"/>
            </w:numPr>
            <w:tabs>
              <w:tab w:pos="2128" w:val="left" w:leader="none"/>
              <w:tab w:pos="2129" w:val="left" w:leader="none"/>
              <w:tab w:pos="9149" w:val="right" w:leader="none"/>
            </w:tabs>
            <w:spacing w:line="240" w:lineRule="auto" w:before="126" w:after="0"/>
            <w:ind w:left="2128" w:right="0" w:hanging="1291"/>
            <w:jc w:val="left"/>
            <w:rPr>
              <w:sz w:val="22"/>
            </w:rPr>
          </w:pPr>
          <w:hyperlink w:history="true" w:anchor="_TOC_250006">
            <w:r>
              <w:rPr>
                <w:sz w:val="22"/>
              </w:rPr>
              <w:t>O</w:t>
            </w:r>
            <w:r>
              <w:rPr/>
              <w:t>XIDACIÓN DE ACEITES</w:t>
            </w:r>
            <w:r>
              <w:rPr>
                <w:spacing w:val="-7"/>
              </w:rPr>
              <w:t> </w:t>
            </w:r>
            <w:r>
              <w:rPr/>
              <w:t>COMESTIBLES</w:t>
            </w:r>
            <w:r>
              <w:rPr>
                <w:spacing w:val="-7"/>
              </w:rPr>
              <w:t> </w:t>
            </w:r>
            <w:r>
              <w:rPr/>
              <w:t>MICROENCAPSULADOS</w:t>
            </w:r>
            <w:r>
              <w:rPr>
                <w:sz w:val="22"/>
              </w:rPr>
              <w:tab/>
            </w:r>
            <w:r>
              <w:rPr>
                <w:spacing w:val="-3"/>
                <w:sz w:val="22"/>
              </w:rPr>
              <w:t>15</w:t>
            </w:r>
          </w:hyperlink>
        </w:p>
        <w:p>
          <w:pPr>
            <w:pStyle w:val="TOC1"/>
            <w:numPr>
              <w:ilvl w:val="0"/>
              <w:numId w:val="2"/>
            </w:numPr>
            <w:tabs>
              <w:tab w:pos="510" w:val="left" w:leader="none"/>
              <w:tab w:pos="511" w:val="left" w:leader="none"/>
              <w:tab w:pos="9153" w:val="right" w:leader="none"/>
            </w:tabs>
            <w:spacing w:line="240" w:lineRule="auto" w:before="371" w:after="0"/>
            <w:ind w:left="510" w:right="0" w:hanging="370"/>
            <w:jc w:val="left"/>
            <w:rPr>
              <w:u w:val="none"/>
            </w:rPr>
          </w:pPr>
          <w:r>
            <w:rPr/>
            <w:pict>
              <v:line style="position:absolute;mso-position-horizontal-relative:page;mso-position-vertical-relative:paragraph;z-index:-76288" from="90.528pt,29.962137pt" to="522.698pt,29.962137pt" stroked="true" strokeweight=".96002pt" strokecolor="#000000">
                <w10:wrap type="none"/>
              </v:line>
            </w:pict>
          </w:r>
          <w:hyperlink w:history="true" w:anchor="_TOC_250005">
            <w:r>
              <w:rPr>
                <w:u w:val="none"/>
              </w:rPr>
              <w:t>JUSTIFICACIÓN</w:t>
              <w:tab/>
              <w:t>17</w:t>
            </w:r>
          </w:hyperlink>
        </w:p>
        <w:p>
          <w:pPr>
            <w:pStyle w:val="TOC1"/>
            <w:numPr>
              <w:ilvl w:val="0"/>
              <w:numId w:val="2"/>
            </w:numPr>
            <w:tabs>
              <w:tab w:pos="510" w:val="left" w:leader="none"/>
              <w:tab w:pos="511" w:val="left" w:leader="none"/>
              <w:tab w:pos="9153" w:val="right" w:leader="none"/>
            </w:tabs>
            <w:spacing w:line="240" w:lineRule="auto" w:before="371" w:after="0"/>
            <w:ind w:left="510" w:right="0" w:hanging="370"/>
            <w:jc w:val="left"/>
            <w:rPr>
              <w:u w:val="none"/>
            </w:rPr>
          </w:pPr>
          <w:r>
            <w:rPr/>
            <w:pict>
              <v:line style="position:absolute;mso-position-horizontal-relative:page;mso-position-vertical-relative:paragraph;z-index:-76264" from="90.528pt,29.962135pt" to="522.698pt,29.962135pt" stroked="true" strokeweight=".96002pt" strokecolor="#000000">
                <w10:wrap type="none"/>
              </v:line>
            </w:pict>
          </w:r>
          <w:hyperlink w:history="true" w:anchor="_TOC_250004">
            <w:r>
              <w:rPr>
                <w:u w:val="none"/>
              </w:rPr>
              <w:t>HIPÓTESIS</w:t>
              <w:tab/>
              <w:t>18</w:t>
            </w:r>
          </w:hyperlink>
        </w:p>
        <w:p>
          <w:pPr>
            <w:pStyle w:val="TOC1"/>
            <w:numPr>
              <w:ilvl w:val="0"/>
              <w:numId w:val="2"/>
            </w:numPr>
            <w:tabs>
              <w:tab w:pos="510" w:val="left" w:leader="none"/>
              <w:tab w:pos="511" w:val="left" w:leader="none"/>
              <w:tab w:pos="9153" w:val="right" w:leader="none"/>
            </w:tabs>
            <w:spacing w:line="240" w:lineRule="auto" w:before="366" w:after="0"/>
            <w:ind w:left="510" w:right="0" w:hanging="370"/>
            <w:jc w:val="left"/>
            <w:rPr>
              <w:u w:val="none"/>
            </w:rPr>
          </w:pPr>
          <w:r>
            <w:rPr/>
            <w:pict>
              <v:line style="position:absolute;mso-position-horizontal-relative:page;mso-position-vertical-relative:paragraph;z-index:-76240" from="90.528pt,29.712133pt" to="522.698pt,29.712133pt" stroked="true" strokeweight=".96002pt" strokecolor="#000000">
                <w10:wrap type="none"/>
              </v:line>
            </w:pict>
          </w:r>
          <w:hyperlink w:history="true" w:anchor="_TOC_250003">
            <w:r>
              <w:rPr>
                <w:u w:val="none"/>
              </w:rPr>
              <w:t>OBJETIVOS</w:t>
              <w:tab/>
              <w:t>19</w:t>
            </w:r>
          </w:hyperlink>
        </w:p>
        <w:p>
          <w:pPr>
            <w:pStyle w:val="TOC1"/>
            <w:numPr>
              <w:ilvl w:val="1"/>
              <w:numId w:val="2"/>
            </w:numPr>
            <w:tabs>
              <w:tab w:pos="692" w:val="left" w:leader="none"/>
              <w:tab w:pos="693" w:val="left" w:leader="none"/>
              <w:tab w:pos="9153" w:val="right" w:leader="none"/>
            </w:tabs>
            <w:spacing w:line="240" w:lineRule="auto" w:before="251" w:after="0"/>
            <w:ind w:left="692" w:right="0" w:hanging="552"/>
            <w:jc w:val="left"/>
            <w:rPr>
              <w:u w:val="none"/>
            </w:rPr>
          </w:pPr>
          <w:hyperlink w:history="true" w:anchor="_TOC_250002">
            <w:r>
              <w:rPr>
                <w:u w:val="none"/>
              </w:rPr>
              <w:t>OBJETIVO</w:t>
            </w:r>
            <w:r>
              <w:rPr>
                <w:spacing w:val="-11"/>
                <w:u w:val="none"/>
              </w:rPr>
              <w:t> </w:t>
            </w:r>
            <w:r>
              <w:rPr>
                <w:u w:val="none"/>
              </w:rPr>
              <w:t>GENERAL</w:t>
              <w:tab/>
              <w:t>19</w:t>
            </w:r>
          </w:hyperlink>
        </w:p>
        <w:p>
          <w:pPr>
            <w:pStyle w:val="TOC1"/>
            <w:numPr>
              <w:ilvl w:val="1"/>
              <w:numId w:val="2"/>
            </w:numPr>
            <w:tabs>
              <w:tab w:pos="692" w:val="left" w:leader="none"/>
              <w:tab w:pos="693" w:val="left" w:leader="none"/>
              <w:tab w:pos="9153" w:val="right" w:leader="none"/>
            </w:tabs>
            <w:spacing w:line="240" w:lineRule="auto" w:before="126" w:after="0"/>
            <w:ind w:left="692" w:right="0" w:hanging="552"/>
            <w:jc w:val="left"/>
            <w:rPr>
              <w:u w:val="none"/>
            </w:rPr>
          </w:pPr>
          <w:hyperlink w:history="true" w:anchor="_TOC_250001">
            <w:r>
              <w:rPr>
                <w:u w:val="none"/>
              </w:rPr>
              <w:t>OBJETIVOS</w:t>
            </w:r>
            <w:r>
              <w:rPr>
                <w:spacing w:val="-13"/>
                <w:u w:val="none"/>
              </w:rPr>
              <w:t> </w:t>
            </w:r>
            <w:r>
              <w:rPr>
                <w:u w:val="none"/>
              </w:rPr>
              <w:t>ESPECÍFICOS</w:t>
              <w:tab/>
              <w:t>19</w:t>
            </w:r>
          </w:hyperlink>
        </w:p>
        <w:p>
          <w:pPr>
            <w:pStyle w:val="TOC1"/>
            <w:numPr>
              <w:ilvl w:val="0"/>
              <w:numId w:val="2"/>
            </w:numPr>
            <w:tabs>
              <w:tab w:pos="510" w:val="left" w:leader="none"/>
              <w:tab w:pos="511" w:val="left" w:leader="none"/>
              <w:tab w:pos="9153" w:val="right" w:leader="none"/>
            </w:tabs>
            <w:spacing w:line="240" w:lineRule="auto" w:before="371" w:after="0"/>
            <w:ind w:left="510" w:right="0" w:hanging="370"/>
            <w:jc w:val="left"/>
            <w:rPr>
              <w:u w:val="none"/>
            </w:rPr>
          </w:pPr>
          <w:r>
            <w:rPr/>
            <w:pict>
              <v:line style="position:absolute;mso-position-horizontal-relative:page;mso-position-vertical-relative:paragraph;z-index:-76216" from="90.528pt,29.962139pt" to="522.698pt,29.962139pt" stroked="true" strokeweight=".96002pt" strokecolor="#000000">
                <w10:wrap type="none"/>
              </v:line>
            </w:pict>
          </w:r>
          <w:hyperlink w:history="true" w:anchor="_TOC_250000">
            <w:r>
              <w:rPr>
                <w:u w:val="none"/>
              </w:rPr>
              <w:t>METODOLOGÍA</w:t>
              <w:tab/>
              <w:t>20</w:t>
            </w:r>
          </w:hyperlink>
        </w:p>
      </w:sdtContent>
    </w:sdt>
    <w:p>
      <w:pPr>
        <w:tabs>
          <w:tab w:pos="8971" w:val="left" w:leader="none"/>
        </w:tabs>
        <w:spacing w:before="341"/>
        <w:ind w:left="4880" w:right="0" w:firstLine="0"/>
        <w:jc w:val="left"/>
        <w:rPr>
          <w:rFonts w:ascii="Calibri" w:hAnsi="Calibri"/>
          <w:b/>
          <w:sz w:val="24"/>
        </w:rPr>
      </w:pPr>
      <w:r>
        <w:rPr/>
        <w:pict>
          <v:line style="position:absolute;mso-position-horizontal-relative:page;mso-position-vertical-relative:paragraph;z-index:-76336" from="507.819977pt,18.173124pt" to="507.819977pt,32.813124pt" stroked="true" strokeweight=".47998pt" strokecolor="#bebebe">
            <w10:wrap type="none"/>
          </v:line>
        </w:pict>
      </w:r>
      <w:r>
        <w:rPr>
          <w:i/>
          <w:color w:val="585858"/>
          <w:w w:val="90"/>
          <w:sz w:val="24"/>
        </w:rPr>
        <w:t>Universidad</w:t>
      </w:r>
      <w:r>
        <w:rPr>
          <w:i/>
          <w:color w:val="585858"/>
          <w:spacing w:val="-13"/>
          <w:w w:val="90"/>
          <w:sz w:val="24"/>
        </w:rPr>
        <w:t> </w:t>
      </w:r>
      <w:r>
        <w:rPr>
          <w:i/>
          <w:color w:val="585858"/>
          <w:w w:val="90"/>
          <w:sz w:val="24"/>
        </w:rPr>
        <w:t>Autónoma</w:t>
      </w:r>
      <w:r>
        <w:rPr>
          <w:i/>
          <w:color w:val="585858"/>
          <w:spacing w:val="-11"/>
          <w:w w:val="90"/>
          <w:sz w:val="24"/>
        </w:rPr>
        <w:t> </w:t>
      </w:r>
      <w:r>
        <w:rPr>
          <w:i/>
          <w:color w:val="585858"/>
          <w:w w:val="90"/>
          <w:sz w:val="24"/>
        </w:rPr>
        <w:t>del</w:t>
      </w:r>
      <w:r>
        <w:rPr>
          <w:i/>
          <w:color w:val="585858"/>
          <w:spacing w:val="-12"/>
          <w:w w:val="90"/>
          <w:sz w:val="24"/>
        </w:rPr>
        <w:t> </w:t>
      </w:r>
      <w:r>
        <w:rPr>
          <w:i/>
          <w:color w:val="585858"/>
          <w:w w:val="90"/>
          <w:sz w:val="24"/>
        </w:rPr>
        <w:t>Estado</w:t>
      </w:r>
      <w:r>
        <w:rPr>
          <w:i/>
          <w:color w:val="585858"/>
          <w:spacing w:val="-11"/>
          <w:w w:val="90"/>
          <w:sz w:val="24"/>
        </w:rPr>
        <w:t> </w:t>
      </w:r>
      <w:r>
        <w:rPr>
          <w:i/>
          <w:color w:val="585858"/>
          <w:w w:val="90"/>
          <w:sz w:val="24"/>
        </w:rPr>
        <w:t>de</w:t>
      </w:r>
      <w:r>
        <w:rPr>
          <w:i/>
          <w:color w:val="585858"/>
          <w:spacing w:val="-12"/>
          <w:w w:val="90"/>
          <w:sz w:val="24"/>
        </w:rPr>
        <w:t> </w:t>
      </w:r>
      <w:r>
        <w:rPr>
          <w:i/>
          <w:color w:val="585858"/>
          <w:w w:val="90"/>
          <w:sz w:val="24"/>
        </w:rPr>
        <w:t>México</w:t>
        <w:tab/>
      </w:r>
      <w:r>
        <w:rPr>
          <w:rFonts w:ascii="Calibri" w:hAnsi="Calibri"/>
          <w:b/>
          <w:color w:val="585858"/>
          <w:spacing w:val="-2"/>
          <w:position w:val="-2"/>
          <w:sz w:val="24"/>
        </w:rPr>
        <w:t>III</w:t>
      </w:r>
    </w:p>
    <w:p>
      <w:pPr>
        <w:spacing w:after="0"/>
        <w:jc w:val="left"/>
        <w:rPr>
          <w:rFonts w:ascii="Calibri" w:hAnsi="Calibri"/>
          <w:sz w:val="24"/>
        </w:rPr>
        <w:sectPr>
          <w:pgSz w:w="11900" w:h="16840"/>
          <w:pgMar w:top="1380" w:bottom="280" w:left="1300" w:right="1300"/>
        </w:sect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69"/>
        <w:gridCol w:w="6306"/>
        <w:gridCol w:w="809"/>
      </w:tblGrid>
      <w:tr>
        <w:trPr>
          <w:trHeight w:val="405" w:hRule="exact"/>
        </w:trPr>
        <w:tc>
          <w:tcPr>
            <w:tcW w:w="1969" w:type="dxa"/>
          </w:tcPr>
          <w:p>
            <w:pPr>
              <w:pStyle w:val="TableParagraph"/>
              <w:tabs>
                <w:tab w:pos="587" w:val="left" w:leader="none"/>
              </w:tabs>
              <w:spacing w:before="70"/>
              <w:ind w:left="35"/>
              <w:jc w:val="left"/>
              <w:rPr>
                <w:rFonts w:ascii="Cambria"/>
                <w:b/>
                <w:sz w:val="22"/>
              </w:rPr>
            </w:pPr>
            <w:r>
              <w:rPr>
                <w:rFonts w:ascii="Cambria"/>
                <w:b/>
                <w:sz w:val="22"/>
              </w:rPr>
              <w:t>5.1</w:t>
              <w:tab/>
              <w:t>MATERIALES</w:t>
            </w:r>
          </w:p>
        </w:tc>
        <w:tc>
          <w:tcPr>
            <w:tcW w:w="6306" w:type="dxa"/>
          </w:tcPr>
          <w:p>
            <w:pPr/>
          </w:p>
        </w:tc>
        <w:tc>
          <w:tcPr>
            <w:tcW w:w="809" w:type="dxa"/>
          </w:tcPr>
          <w:p>
            <w:pPr>
              <w:pStyle w:val="TableParagraph"/>
              <w:spacing w:before="70"/>
              <w:ind w:right="33"/>
              <w:jc w:val="right"/>
              <w:rPr>
                <w:rFonts w:ascii="Cambria"/>
                <w:b/>
                <w:sz w:val="22"/>
              </w:rPr>
            </w:pPr>
            <w:r>
              <w:rPr>
                <w:rFonts w:ascii="Cambria"/>
                <w:b/>
                <w:sz w:val="22"/>
              </w:rPr>
              <w:t>20</w:t>
            </w:r>
          </w:p>
        </w:tc>
      </w:tr>
      <w:tr>
        <w:trPr>
          <w:trHeight w:val="386" w:hRule="exact"/>
        </w:trPr>
        <w:tc>
          <w:tcPr>
            <w:tcW w:w="1969" w:type="dxa"/>
          </w:tcPr>
          <w:p>
            <w:pPr>
              <w:pStyle w:val="TableParagraph"/>
              <w:tabs>
                <w:tab w:pos="587" w:val="left" w:leader="none"/>
              </w:tabs>
              <w:spacing w:before="54"/>
              <w:ind w:left="35"/>
              <w:jc w:val="left"/>
              <w:rPr>
                <w:rFonts w:ascii="Cambria" w:hAnsi="Cambria"/>
                <w:b/>
                <w:sz w:val="22"/>
              </w:rPr>
            </w:pPr>
            <w:r>
              <w:rPr>
                <w:rFonts w:ascii="Cambria" w:hAnsi="Cambria"/>
                <w:b/>
                <w:sz w:val="22"/>
              </w:rPr>
              <w:t>5.2</w:t>
              <w:tab/>
              <w:t>MÉTODOS</w:t>
            </w:r>
          </w:p>
        </w:tc>
        <w:tc>
          <w:tcPr>
            <w:tcW w:w="6306" w:type="dxa"/>
          </w:tcPr>
          <w:p>
            <w:pPr/>
          </w:p>
        </w:tc>
        <w:tc>
          <w:tcPr>
            <w:tcW w:w="809" w:type="dxa"/>
          </w:tcPr>
          <w:p>
            <w:pPr>
              <w:pStyle w:val="TableParagraph"/>
              <w:spacing w:before="54"/>
              <w:ind w:right="33"/>
              <w:jc w:val="right"/>
              <w:rPr>
                <w:rFonts w:ascii="Cambria"/>
                <w:b/>
                <w:sz w:val="22"/>
              </w:rPr>
            </w:pPr>
            <w:r>
              <w:rPr>
                <w:rFonts w:ascii="Cambria"/>
                <w:b/>
                <w:sz w:val="22"/>
              </w:rPr>
              <w:t>20</w:t>
            </w:r>
          </w:p>
        </w:tc>
      </w:tr>
      <w:tr>
        <w:trPr>
          <w:trHeight w:val="387" w:hRule="exact"/>
        </w:trPr>
        <w:tc>
          <w:tcPr>
            <w:tcW w:w="1969" w:type="dxa"/>
          </w:tcPr>
          <w:p>
            <w:pPr>
              <w:pStyle w:val="TableParagraph"/>
              <w:spacing w:before="51"/>
              <w:ind w:left="711" w:right="761"/>
              <w:rPr>
                <w:rFonts w:ascii="Cambria"/>
                <w:sz w:val="22"/>
              </w:rPr>
            </w:pPr>
            <w:r>
              <w:rPr>
                <w:rFonts w:ascii="Cambria"/>
                <w:sz w:val="22"/>
              </w:rPr>
              <w:t>5.2.1</w:t>
            </w:r>
          </w:p>
        </w:tc>
        <w:tc>
          <w:tcPr>
            <w:tcW w:w="6306" w:type="dxa"/>
          </w:tcPr>
          <w:p>
            <w:pPr>
              <w:pStyle w:val="TableParagraph"/>
              <w:spacing w:before="51"/>
              <w:ind w:left="54"/>
              <w:jc w:val="left"/>
              <w:rPr>
                <w:rFonts w:ascii="Cambria" w:hAnsi="Cambria"/>
                <w:sz w:val="18"/>
              </w:rPr>
            </w:pPr>
            <w:r>
              <w:rPr>
                <w:rFonts w:ascii="Cambria" w:hAnsi="Cambria"/>
                <w:sz w:val="22"/>
              </w:rPr>
              <w:t>E</w:t>
            </w:r>
            <w:r>
              <w:rPr>
                <w:rFonts w:ascii="Cambria" w:hAnsi="Cambria"/>
                <w:sz w:val="18"/>
              </w:rPr>
              <w:t>XTRACCIÓN DE ACEITE DE CHÍA</w:t>
            </w:r>
          </w:p>
        </w:tc>
        <w:tc>
          <w:tcPr>
            <w:tcW w:w="809" w:type="dxa"/>
          </w:tcPr>
          <w:p>
            <w:pPr>
              <w:pStyle w:val="TableParagraph"/>
              <w:spacing w:before="51"/>
              <w:ind w:right="37"/>
              <w:jc w:val="right"/>
              <w:rPr>
                <w:rFonts w:ascii="Cambria"/>
                <w:sz w:val="22"/>
              </w:rPr>
            </w:pPr>
            <w:r>
              <w:rPr>
                <w:rFonts w:ascii="Cambria"/>
                <w:sz w:val="22"/>
              </w:rPr>
              <w:t>20</w:t>
            </w:r>
          </w:p>
        </w:tc>
      </w:tr>
      <w:tr>
        <w:trPr>
          <w:trHeight w:val="387" w:hRule="exact"/>
        </w:trPr>
        <w:tc>
          <w:tcPr>
            <w:tcW w:w="1969" w:type="dxa"/>
          </w:tcPr>
          <w:p>
            <w:pPr>
              <w:pStyle w:val="TableParagraph"/>
              <w:spacing w:before="54"/>
              <w:ind w:left="711" w:right="761"/>
              <w:rPr>
                <w:rFonts w:ascii="Cambria"/>
                <w:sz w:val="22"/>
              </w:rPr>
            </w:pPr>
            <w:r>
              <w:rPr>
                <w:rFonts w:ascii="Cambria"/>
                <w:sz w:val="22"/>
              </w:rPr>
              <w:t>5.2.2</w:t>
            </w:r>
          </w:p>
        </w:tc>
        <w:tc>
          <w:tcPr>
            <w:tcW w:w="6306" w:type="dxa"/>
          </w:tcPr>
          <w:p>
            <w:pPr>
              <w:pStyle w:val="TableParagraph"/>
              <w:spacing w:before="54"/>
              <w:ind w:left="54"/>
              <w:jc w:val="left"/>
              <w:rPr>
                <w:rFonts w:ascii="Cambria" w:hAnsi="Cambria"/>
                <w:sz w:val="22"/>
              </w:rPr>
            </w:pPr>
            <w:r>
              <w:rPr>
                <w:rFonts w:ascii="Cambria" w:hAnsi="Cambria"/>
                <w:sz w:val="22"/>
              </w:rPr>
              <w:t>F</w:t>
            </w:r>
            <w:r>
              <w:rPr>
                <w:rFonts w:ascii="Cambria" w:hAnsi="Cambria"/>
                <w:sz w:val="18"/>
              </w:rPr>
              <w:t>ORMULACIÓN DE EMULSIONES ACEITE</w:t>
            </w:r>
            <w:r>
              <w:rPr>
                <w:rFonts w:ascii="Cambria" w:hAnsi="Cambria"/>
                <w:sz w:val="22"/>
              </w:rPr>
              <w:t>-</w:t>
            </w:r>
            <w:r>
              <w:rPr>
                <w:rFonts w:ascii="Cambria" w:hAnsi="Cambria"/>
                <w:sz w:val="18"/>
              </w:rPr>
              <w:t>EN</w:t>
            </w:r>
            <w:r>
              <w:rPr>
                <w:rFonts w:ascii="Cambria" w:hAnsi="Cambria"/>
                <w:sz w:val="22"/>
              </w:rPr>
              <w:t>-</w:t>
            </w:r>
            <w:r>
              <w:rPr>
                <w:rFonts w:ascii="Cambria" w:hAnsi="Cambria"/>
                <w:sz w:val="18"/>
              </w:rPr>
              <w:t>AGUA </w:t>
            </w:r>
            <w:r>
              <w:rPr>
                <w:rFonts w:ascii="Cambria" w:hAnsi="Cambria"/>
                <w:sz w:val="22"/>
              </w:rPr>
              <w:t>(O/W)</w:t>
            </w:r>
          </w:p>
        </w:tc>
        <w:tc>
          <w:tcPr>
            <w:tcW w:w="809" w:type="dxa"/>
          </w:tcPr>
          <w:p>
            <w:pPr>
              <w:pStyle w:val="TableParagraph"/>
              <w:spacing w:before="54"/>
              <w:ind w:right="37"/>
              <w:jc w:val="right"/>
              <w:rPr>
                <w:rFonts w:ascii="Cambria"/>
                <w:sz w:val="22"/>
              </w:rPr>
            </w:pPr>
            <w:r>
              <w:rPr>
                <w:rFonts w:ascii="Cambria"/>
                <w:sz w:val="22"/>
              </w:rPr>
              <w:t>20</w:t>
            </w:r>
          </w:p>
        </w:tc>
      </w:tr>
      <w:tr>
        <w:trPr>
          <w:trHeight w:val="386" w:hRule="exact"/>
        </w:trPr>
        <w:tc>
          <w:tcPr>
            <w:tcW w:w="1969" w:type="dxa"/>
          </w:tcPr>
          <w:p>
            <w:pPr>
              <w:pStyle w:val="TableParagraph"/>
              <w:spacing w:before="51"/>
              <w:ind w:left="711" w:right="761"/>
              <w:rPr>
                <w:rFonts w:ascii="Cambria"/>
                <w:sz w:val="22"/>
              </w:rPr>
            </w:pPr>
            <w:r>
              <w:rPr>
                <w:rFonts w:ascii="Cambria"/>
                <w:sz w:val="22"/>
              </w:rPr>
              <w:t>5.2.3</w:t>
            </w:r>
          </w:p>
        </w:tc>
        <w:tc>
          <w:tcPr>
            <w:tcW w:w="6306" w:type="dxa"/>
          </w:tcPr>
          <w:p>
            <w:pPr>
              <w:pStyle w:val="TableParagraph"/>
              <w:spacing w:before="51"/>
              <w:ind w:left="54"/>
              <w:jc w:val="left"/>
              <w:rPr>
                <w:rFonts w:ascii="Cambria" w:hAnsi="Cambria"/>
                <w:sz w:val="18"/>
              </w:rPr>
            </w:pPr>
            <w:r>
              <w:rPr>
                <w:rFonts w:ascii="Cambria" w:hAnsi="Cambria"/>
                <w:sz w:val="22"/>
              </w:rPr>
              <w:t>O</w:t>
            </w:r>
            <w:r>
              <w:rPr>
                <w:rFonts w:ascii="Cambria" w:hAnsi="Cambria"/>
                <w:sz w:val="18"/>
              </w:rPr>
              <w:t>BTENCIÓN DE MICROCÁPSULAS A TRAVÉS DE SECADO POR ASPERSIÓN</w:t>
            </w:r>
          </w:p>
        </w:tc>
        <w:tc>
          <w:tcPr>
            <w:tcW w:w="809" w:type="dxa"/>
          </w:tcPr>
          <w:p>
            <w:pPr>
              <w:pStyle w:val="TableParagraph"/>
              <w:spacing w:before="51"/>
              <w:ind w:right="37"/>
              <w:jc w:val="right"/>
              <w:rPr>
                <w:rFonts w:ascii="Cambria"/>
                <w:sz w:val="22"/>
              </w:rPr>
            </w:pPr>
            <w:r>
              <w:rPr>
                <w:rFonts w:ascii="Cambria"/>
                <w:sz w:val="22"/>
              </w:rPr>
              <w:t>21</w:t>
            </w:r>
          </w:p>
        </w:tc>
      </w:tr>
      <w:tr>
        <w:trPr>
          <w:trHeight w:val="389" w:hRule="exact"/>
        </w:trPr>
        <w:tc>
          <w:tcPr>
            <w:tcW w:w="1969" w:type="dxa"/>
          </w:tcPr>
          <w:p>
            <w:pPr>
              <w:pStyle w:val="TableParagraph"/>
              <w:spacing w:before="54"/>
              <w:ind w:left="711" w:right="761"/>
              <w:rPr>
                <w:rFonts w:ascii="Cambria"/>
                <w:sz w:val="22"/>
              </w:rPr>
            </w:pPr>
            <w:r>
              <w:rPr>
                <w:rFonts w:ascii="Cambria"/>
                <w:sz w:val="22"/>
              </w:rPr>
              <w:t>5.2.4</w:t>
            </w:r>
          </w:p>
        </w:tc>
        <w:tc>
          <w:tcPr>
            <w:tcW w:w="6306" w:type="dxa"/>
          </w:tcPr>
          <w:p>
            <w:pPr>
              <w:pStyle w:val="TableParagraph"/>
              <w:spacing w:before="54"/>
              <w:ind w:left="54"/>
              <w:jc w:val="left"/>
              <w:rPr>
                <w:rFonts w:ascii="Cambria" w:hAnsi="Cambria"/>
                <w:sz w:val="18"/>
              </w:rPr>
            </w:pPr>
            <w:r>
              <w:rPr>
                <w:rFonts w:ascii="Cambria" w:hAnsi="Cambria"/>
                <w:sz w:val="22"/>
              </w:rPr>
              <w:t>I</w:t>
            </w:r>
            <w:r>
              <w:rPr>
                <w:rFonts w:ascii="Cambria" w:hAnsi="Cambria"/>
                <w:sz w:val="18"/>
              </w:rPr>
              <w:t>SOTERMAS DE ADSORCIÓN DE LAS MICROCÁPSULAS</w:t>
            </w:r>
          </w:p>
        </w:tc>
        <w:tc>
          <w:tcPr>
            <w:tcW w:w="809" w:type="dxa"/>
          </w:tcPr>
          <w:p>
            <w:pPr>
              <w:pStyle w:val="TableParagraph"/>
              <w:spacing w:before="54"/>
              <w:ind w:right="37"/>
              <w:jc w:val="right"/>
              <w:rPr>
                <w:rFonts w:ascii="Cambria"/>
                <w:sz w:val="22"/>
              </w:rPr>
            </w:pPr>
            <w:r>
              <w:rPr>
                <w:rFonts w:ascii="Cambria"/>
                <w:sz w:val="22"/>
              </w:rPr>
              <w:t>21</w:t>
            </w:r>
          </w:p>
        </w:tc>
      </w:tr>
      <w:tr>
        <w:trPr>
          <w:trHeight w:val="386" w:hRule="exact"/>
        </w:trPr>
        <w:tc>
          <w:tcPr>
            <w:tcW w:w="1969" w:type="dxa"/>
          </w:tcPr>
          <w:p>
            <w:pPr>
              <w:pStyle w:val="TableParagraph"/>
              <w:spacing w:before="54"/>
              <w:ind w:left="711" w:right="761"/>
              <w:rPr>
                <w:rFonts w:ascii="Cambria"/>
                <w:sz w:val="22"/>
              </w:rPr>
            </w:pPr>
            <w:r>
              <w:rPr>
                <w:rFonts w:ascii="Cambria"/>
                <w:sz w:val="22"/>
              </w:rPr>
              <w:t>5.2.5</w:t>
            </w:r>
          </w:p>
        </w:tc>
        <w:tc>
          <w:tcPr>
            <w:tcW w:w="6306" w:type="dxa"/>
          </w:tcPr>
          <w:p>
            <w:pPr>
              <w:pStyle w:val="TableParagraph"/>
              <w:spacing w:before="54"/>
              <w:ind w:left="54"/>
              <w:jc w:val="left"/>
              <w:rPr>
                <w:rFonts w:ascii="Cambria" w:hAnsi="Cambria"/>
                <w:sz w:val="18"/>
              </w:rPr>
            </w:pPr>
            <w:r>
              <w:rPr>
                <w:rFonts w:ascii="Cambria" w:hAnsi="Cambria"/>
                <w:sz w:val="22"/>
              </w:rPr>
              <w:t>P</w:t>
            </w:r>
            <w:r>
              <w:rPr>
                <w:rFonts w:ascii="Cambria" w:hAnsi="Cambria"/>
                <w:sz w:val="18"/>
              </w:rPr>
              <w:t>ROPIEDADES TERMODINÁMICAS DE LAS MICROCÁPSULAS</w:t>
            </w:r>
          </w:p>
        </w:tc>
        <w:tc>
          <w:tcPr>
            <w:tcW w:w="809" w:type="dxa"/>
          </w:tcPr>
          <w:p>
            <w:pPr>
              <w:pStyle w:val="TableParagraph"/>
              <w:spacing w:before="54"/>
              <w:ind w:right="37"/>
              <w:jc w:val="right"/>
              <w:rPr>
                <w:rFonts w:ascii="Cambria"/>
                <w:sz w:val="22"/>
              </w:rPr>
            </w:pPr>
            <w:r>
              <w:rPr>
                <w:rFonts w:ascii="Cambria"/>
                <w:sz w:val="22"/>
              </w:rPr>
              <w:t>22</w:t>
            </w:r>
          </w:p>
        </w:tc>
      </w:tr>
      <w:tr>
        <w:trPr>
          <w:trHeight w:val="387" w:hRule="exact"/>
        </w:trPr>
        <w:tc>
          <w:tcPr>
            <w:tcW w:w="1969" w:type="dxa"/>
          </w:tcPr>
          <w:p>
            <w:pPr>
              <w:pStyle w:val="TableParagraph"/>
              <w:spacing w:before="51"/>
              <w:ind w:left="711" w:right="761"/>
              <w:rPr>
                <w:rFonts w:ascii="Cambria"/>
                <w:sz w:val="22"/>
              </w:rPr>
            </w:pPr>
            <w:r>
              <w:rPr>
                <w:rFonts w:ascii="Cambria"/>
                <w:sz w:val="22"/>
              </w:rPr>
              <w:t>5.2.6</w:t>
            </w:r>
          </w:p>
        </w:tc>
        <w:tc>
          <w:tcPr>
            <w:tcW w:w="6306" w:type="dxa"/>
          </w:tcPr>
          <w:p>
            <w:pPr>
              <w:pStyle w:val="TableParagraph"/>
              <w:spacing w:before="51"/>
              <w:ind w:left="54"/>
              <w:jc w:val="left"/>
              <w:rPr>
                <w:rFonts w:ascii="Cambria" w:hAnsi="Cambria"/>
                <w:sz w:val="22"/>
              </w:rPr>
            </w:pPr>
            <w:r>
              <w:rPr>
                <w:rFonts w:ascii="Cambria" w:hAnsi="Cambria"/>
                <w:sz w:val="22"/>
              </w:rPr>
              <w:t>T</w:t>
            </w:r>
            <w:r>
              <w:rPr>
                <w:rFonts w:ascii="Cambria" w:hAnsi="Cambria"/>
                <w:sz w:val="18"/>
              </w:rPr>
              <w:t>EMPERATURA DE TRANSICIÓN VÍTREA </w:t>
            </w:r>
            <w:r>
              <w:rPr>
                <w:rFonts w:ascii="Cambria" w:hAnsi="Cambria"/>
                <w:sz w:val="22"/>
              </w:rPr>
              <w:t>(T</w:t>
            </w:r>
            <w:r>
              <w:rPr>
                <w:rFonts w:ascii="Cambria" w:hAnsi="Cambria"/>
                <w:sz w:val="18"/>
              </w:rPr>
              <w:t>G</w:t>
            </w:r>
            <w:r>
              <w:rPr>
                <w:rFonts w:ascii="Cambria" w:hAnsi="Cambria"/>
                <w:sz w:val="22"/>
              </w:rPr>
              <w:t>)</w:t>
            </w:r>
          </w:p>
        </w:tc>
        <w:tc>
          <w:tcPr>
            <w:tcW w:w="809" w:type="dxa"/>
          </w:tcPr>
          <w:p>
            <w:pPr>
              <w:pStyle w:val="TableParagraph"/>
              <w:spacing w:before="51"/>
              <w:ind w:right="37"/>
              <w:jc w:val="right"/>
              <w:rPr>
                <w:rFonts w:ascii="Cambria"/>
                <w:sz w:val="22"/>
              </w:rPr>
            </w:pPr>
            <w:r>
              <w:rPr>
                <w:rFonts w:ascii="Cambria"/>
                <w:sz w:val="22"/>
              </w:rPr>
              <w:t>23</w:t>
            </w:r>
          </w:p>
        </w:tc>
      </w:tr>
      <w:tr>
        <w:trPr>
          <w:trHeight w:val="387" w:hRule="exact"/>
        </w:trPr>
        <w:tc>
          <w:tcPr>
            <w:tcW w:w="1969" w:type="dxa"/>
          </w:tcPr>
          <w:p>
            <w:pPr>
              <w:pStyle w:val="TableParagraph"/>
              <w:spacing w:before="54"/>
              <w:ind w:left="711" w:right="761"/>
              <w:rPr>
                <w:rFonts w:ascii="Cambria"/>
                <w:sz w:val="22"/>
              </w:rPr>
            </w:pPr>
            <w:r>
              <w:rPr>
                <w:rFonts w:ascii="Cambria"/>
                <w:sz w:val="22"/>
              </w:rPr>
              <w:t>5.2.7</w:t>
            </w:r>
          </w:p>
        </w:tc>
        <w:tc>
          <w:tcPr>
            <w:tcW w:w="6306" w:type="dxa"/>
          </w:tcPr>
          <w:p>
            <w:pPr>
              <w:pStyle w:val="TableParagraph"/>
              <w:spacing w:before="54"/>
              <w:ind w:left="54"/>
              <w:jc w:val="left"/>
              <w:rPr>
                <w:rFonts w:ascii="Cambria" w:hAnsi="Cambria"/>
                <w:sz w:val="18"/>
              </w:rPr>
            </w:pPr>
            <w:r>
              <w:rPr>
                <w:rFonts w:ascii="Cambria" w:hAnsi="Cambria"/>
                <w:sz w:val="22"/>
              </w:rPr>
              <w:t>O</w:t>
            </w:r>
            <w:r>
              <w:rPr>
                <w:rFonts w:ascii="Cambria" w:hAnsi="Cambria"/>
                <w:sz w:val="18"/>
              </w:rPr>
              <w:t>XIDACIÓN DEL ACEITE DE CHÍA EN LAS  MICROCÁPSULAS</w:t>
            </w:r>
          </w:p>
        </w:tc>
        <w:tc>
          <w:tcPr>
            <w:tcW w:w="809" w:type="dxa"/>
          </w:tcPr>
          <w:p>
            <w:pPr>
              <w:pStyle w:val="TableParagraph"/>
              <w:spacing w:before="54"/>
              <w:ind w:right="37"/>
              <w:jc w:val="right"/>
              <w:rPr>
                <w:rFonts w:ascii="Cambria"/>
                <w:sz w:val="22"/>
              </w:rPr>
            </w:pPr>
            <w:r>
              <w:rPr>
                <w:rFonts w:ascii="Cambria"/>
                <w:sz w:val="22"/>
              </w:rPr>
              <w:t>23</w:t>
            </w:r>
          </w:p>
        </w:tc>
      </w:tr>
      <w:tr>
        <w:trPr>
          <w:trHeight w:val="506" w:hRule="exact"/>
        </w:trPr>
        <w:tc>
          <w:tcPr>
            <w:tcW w:w="1969" w:type="dxa"/>
          </w:tcPr>
          <w:p>
            <w:pPr>
              <w:pStyle w:val="TableParagraph"/>
              <w:spacing w:before="51"/>
              <w:ind w:left="711" w:right="761"/>
              <w:rPr>
                <w:rFonts w:ascii="Cambria"/>
                <w:sz w:val="22"/>
              </w:rPr>
            </w:pPr>
            <w:r>
              <w:rPr>
                <w:rFonts w:ascii="Cambria"/>
                <w:sz w:val="22"/>
              </w:rPr>
              <w:t>5.2.8</w:t>
            </w:r>
          </w:p>
        </w:tc>
        <w:tc>
          <w:tcPr>
            <w:tcW w:w="6306" w:type="dxa"/>
          </w:tcPr>
          <w:p>
            <w:pPr>
              <w:pStyle w:val="TableParagraph"/>
              <w:spacing w:before="51"/>
              <w:ind w:left="54"/>
              <w:jc w:val="left"/>
              <w:rPr>
                <w:rFonts w:ascii="Cambria" w:hAnsi="Cambria"/>
                <w:sz w:val="18"/>
              </w:rPr>
            </w:pPr>
            <w:r>
              <w:rPr>
                <w:rFonts w:ascii="Cambria" w:hAnsi="Cambria"/>
                <w:sz w:val="22"/>
              </w:rPr>
              <w:t>M</w:t>
            </w:r>
            <w:r>
              <w:rPr>
                <w:rFonts w:ascii="Cambria" w:hAnsi="Cambria"/>
                <w:sz w:val="18"/>
              </w:rPr>
              <w:t>ORFOLOGÍA DE LAS MICROCÁPSULAS</w:t>
            </w:r>
          </w:p>
        </w:tc>
        <w:tc>
          <w:tcPr>
            <w:tcW w:w="809" w:type="dxa"/>
          </w:tcPr>
          <w:p>
            <w:pPr>
              <w:pStyle w:val="TableParagraph"/>
              <w:spacing w:before="51"/>
              <w:ind w:right="37"/>
              <w:jc w:val="right"/>
              <w:rPr>
                <w:rFonts w:ascii="Cambria"/>
                <w:sz w:val="22"/>
              </w:rPr>
            </w:pPr>
            <w:r>
              <w:rPr>
                <w:rFonts w:ascii="Cambria"/>
                <w:sz w:val="22"/>
              </w:rPr>
              <w:t>24</w:t>
            </w:r>
          </w:p>
        </w:tc>
      </w:tr>
      <w:tr>
        <w:trPr>
          <w:trHeight w:val="425" w:hRule="exact"/>
        </w:trPr>
        <w:tc>
          <w:tcPr>
            <w:tcW w:w="1969" w:type="dxa"/>
            <w:tcBorders>
              <w:bottom w:val="single" w:sz="8" w:space="0" w:color="000000"/>
            </w:tcBorders>
          </w:tcPr>
          <w:p>
            <w:pPr>
              <w:pStyle w:val="TableParagraph"/>
              <w:spacing w:before="174"/>
              <w:ind w:left="35"/>
              <w:jc w:val="left"/>
              <w:rPr>
                <w:rFonts w:ascii="Cambria"/>
                <w:b/>
                <w:sz w:val="22"/>
              </w:rPr>
            </w:pPr>
            <w:r>
              <w:rPr>
                <w:rFonts w:ascii="Cambria"/>
                <w:b/>
                <w:sz w:val="22"/>
              </w:rPr>
              <w:t>PARTE 2:</w:t>
            </w:r>
          </w:p>
        </w:tc>
        <w:tc>
          <w:tcPr>
            <w:tcW w:w="6306" w:type="dxa"/>
            <w:tcBorders>
              <w:bottom w:val="single" w:sz="8" w:space="0" w:color="000000"/>
            </w:tcBorders>
          </w:tcPr>
          <w:p>
            <w:pPr>
              <w:pStyle w:val="TableParagraph"/>
              <w:spacing w:before="174"/>
              <w:ind w:left="107"/>
              <w:jc w:val="left"/>
              <w:rPr>
                <w:rFonts w:ascii="Cambria" w:hAnsi="Cambria"/>
                <w:b/>
                <w:sz w:val="22"/>
              </w:rPr>
            </w:pPr>
            <w:r>
              <w:rPr>
                <w:rFonts w:ascii="Cambria" w:hAnsi="Cambria"/>
                <w:b/>
                <w:sz w:val="22"/>
              </w:rPr>
              <w:t>“DISCUSIÓN DE RESULTADOS”</w:t>
            </w:r>
          </w:p>
        </w:tc>
        <w:tc>
          <w:tcPr>
            <w:tcW w:w="809" w:type="dxa"/>
            <w:tcBorders>
              <w:bottom w:val="single" w:sz="8" w:space="0" w:color="000000"/>
            </w:tcBorders>
          </w:tcPr>
          <w:p>
            <w:pPr>
              <w:pStyle w:val="TableParagraph"/>
              <w:spacing w:before="174"/>
              <w:ind w:right="33"/>
              <w:jc w:val="right"/>
              <w:rPr>
                <w:rFonts w:ascii="Cambria"/>
                <w:b/>
                <w:sz w:val="22"/>
              </w:rPr>
            </w:pPr>
            <w:r>
              <w:rPr>
                <w:rFonts w:ascii="Cambria"/>
                <w:b/>
                <w:sz w:val="22"/>
              </w:rPr>
              <w:t>25</w:t>
            </w:r>
          </w:p>
        </w:tc>
      </w:tr>
      <w:tr>
        <w:trPr>
          <w:trHeight w:val="629" w:hRule="exact"/>
        </w:trPr>
        <w:tc>
          <w:tcPr>
            <w:tcW w:w="1969" w:type="dxa"/>
            <w:tcBorders>
              <w:top w:val="single" w:sz="8" w:space="0" w:color="000000"/>
              <w:bottom w:val="single" w:sz="8" w:space="0" w:color="000000"/>
            </w:tcBorders>
          </w:tcPr>
          <w:p>
            <w:pPr>
              <w:pStyle w:val="TableParagraph"/>
              <w:spacing w:before="0"/>
              <w:jc w:val="left"/>
              <w:rPr>
                <w:rFonts w:ascii="Calibri"/>
                <w:b/>
                <w:sz w:val="32"/>
              </w:rPr>
            </w:pPr>
          </w:p>
          <w:p>
            <w:pPr>
              <w:pStyle w:val="TableParagraph"/>
              <w:spacing w:before="1"/>
              <w:ind w:left="35"/>
              <w:jc w:val="left"/>
              <w:rPr>
                <w:rFonts w:ascii="Cambria"/>
                <w:b/>
                <w:sz w:val="22"/>
              </w:rPr>
            </w:pPr>
            <w:r>
              <w:rPr>
                <w:rFonts w:ascii="Cambria"/>
                <w:b/>
                <w:sz w:val="22"/>
              </w:rPr>
              <w:t>PARTE 3:</w:t>
            </w:r>
          </w:p>
        </w:tc>
        <w:tc>
          <w:tcPr>
            <w:tcW w:w="6306" w:type="dxa"/>
            <w:tcBorders>
              <w:top w:val="single" w:sz="8" w:space="0" w:color="000000"/>
              <w:bottom w:val="single" w:sz="8" w:space="0" w:color="000000"/>
            </w:tcBorders>
          </w:tcPr>
          <w:p>
            <w:pPr>
              <w:pStyle w:val="TableParagraph"/>
              <w:spacing w:before="0"/>
              <w:jc w:val="left"/>
              <w:rPr>
                <w:rFonts w:ascii="Calibri"/>
                <w:b/>
                <w:sz w:val="32"/>
              </w:rPr>
            </w:pPr>
          </w:p>
          <w:p>
            <w:pPr>
              <w:pStyle w:val="TableParagraph"/>
              <w:spacing w:before="1"/>
              <w:ind w:left="107"/>
              <w:jc w:val="left"/>
              <w:rPr>
                <w:rFonts w:ascii="Cambria" w:hAnsi="Cambria"/>
                <w:b/>
                <w:sz w:val="22"/>
              </w:rPr>
            </w:pPr>
            <w:r>
              <w:rPr>
                <w:rFonts w:ascii="Cambria" w:hAnsi="Cambria"/>
                <w:b/>
                <w:sz w:val="22"/>
              </w:rPr>
              <w:t>“CONCLUSIONES”</w:t>
            </w:r>
          </w:p>
        </w:tc>
        <w:tc>
          <w:tcPr>
            <w:tcW w:w="809" w:type="dxa"/>
            <w:tcBorders>
              <w:top w:val="single" w:sz="8" w:space="0" w:color="000000"/>
              <w:bottom w:val="single" w:sz="8" w:space="0" w:color="000000"/>
            </w:tcBorders>
          </w:tcPr>
          <w:p>
            <w:pPr>
              <w:pStyle w:val="TableParagraph"/>
              <w:spacing w:before="0"/>
              <w:jc w:val="left"/>
              <w:rPr>
                <w:rFonts w:ascii="Calibri"/>
                <w:b/>
                <w:sz w:val="32"/>
              </w:rPr>
            </w:pPr>
          </w:p>
          <w:p>
            <w:pPr>
              <w:pStyle w:val="TableParagraph"/>
              <w:spacing w:before="1"/>
              <w:ind w:right="33"/>
              <w:jc w:val="right"/>
              <w:rPr>
                <w:rFonts w:ascii="Cambria"/>
                <w:b/>
                <w:sz w:val="22"/>
              </w:rPr>
            </w:pPr>
            <w:r>
              <w:rPr>
                <w:rFonts w:ascii="Cambria"/>
                <w:b/>
                <w:sz w:val="22"/>
              </w:rPr>
              <w:t>63</w:t>
            </w:r>
          </w:p>
        </w:tc>
      </w:tr>
      <w:tr>
        <w:trPr>
          <w:trHeight w:val="624" w:hRule="exact"/>
        </w:trPr>
        <w:tc>
          <w:tcPr>
            <w:tcW w:w="1969" w:type="dxa"/>
            <w:tcBorders>
              <w:top w:val="single" w:sz="8" w:space="0" w:color="000000"/>
              <w:bottom w:val="single" w:sz="8" w:space="0" w:color="000000"/>
            </w:tcBorders>
          </w:tcPr>
          <w:p>
            <w:pPr>
              <w:pStyle w:val="TableParagraph"/>
              <w:spacing w:before="7"/>
              <w:jc w:val="left"/>
              <w:rPr>
                <w:rFonts w:ascii="Calibri"/>
                <w:b/>
                <w:sz w:val="31"/>
              </w:rPr>
            </w:pPr>
          </w:p>
          <w:p>
            <w:pPr>
              <w:pStyle w:val="TableParagraph"/>
              <w:spacing w:before="0"/>
              <w:ind w:left="35"/>
              <w:jc w:val="left"/>
              <w:rPr>
                <w:rFonts w:ascii="Cambria"/>
                <w:b/>
                <w:sz w:val="22"/>
              </w:rPr>
            </w:pPr>
            <w:r>
              <w:rPr>
                <w:rFonts w:ascii="Cambria"/>
                <w:b/>
                <w:sz w:val="22"/>
              </w:rPr>
              <w:t>PARTE 4:</w:t>
            </w:r>
          </w:p>
        </w:tc>
        <w:tc>
          <w:tcPr>
            <w:tcW w:w="6306" w:type="dxa"/>
            <w:tcBorders>
              <w:top w:val="single" w:sz="8" w:space="0" w:color="000000"/>
              <w:bottom w:val="single" w:sz="8" w:space="0" w:color="000000"/>
            </w:tcBorders>
          </w:tcPr>
          <w:p>
            <w:pPr>
              <w:pStyle w:val="TableParagraph"/>
              <w:spacing w:before="7"/>
              <w:jc w:val="left"/>
              <w:rPr>
                <w:rFonts w:ascii="Calibri"/>
                <w:b/>
                <w:sz w:val="31"/>
              </w:rPr>
            </w:pPr>
          </w:p>
          <w:p>
            <w:pPr>
              <w:pStyle w:val="TableParagraph"/>
              <w:spacing w:before="0"/>
              <w:ind w:left="107"/>
              <w:jc w:val="left"/>
              <w:rPr>
                <w:rFonts w:ascii="Cambria" w:hAnsi="Cambria"/>
                <w:b/>
                <w:sz w:val="22"/>
              </w:rPr>
            </w:pPr>
            <w:r>
              <w:rPr>
                <w:rFonts w:ascii="Cambria" w:hAnsi="Cambria"/>
                <w:b/>
                <w:sz w:val="22"/>
              </w:rPr>
              <w:t>“BIBLIOGRAFÍA”</w:t>
            </w:r>
          </w:p>
        </w:tc>
        <w:tc>
          <w:tcPr>
            <w:tcW w:w="809" w:type="dxa"/>
            <w:tcBorders>
              <w:top w:val="single" w:sz="8" w:space="0" w:color="000000"/>
              <w:bottom w:val="single" w:sz="8" w:space="0" w:color="000000"/>
            </w:tcBorders>
          </w:tcPr>
          <w:p>
            <w:pPr>
              <w:pStyle w:val="TableParagraph"/>
              <w:spacing w:before="7"/>
              <w:jc w:val="left"/>
              <w:rPr>
                <w:rFonts w:ascii="Calibri"/>
                <w:b/>
                <w:sz w:val="31"/>
              </w:rPr>
            </w:pPr>
          </w:p>
          <w:p>
            <w:pPr>
              <w:pStyle w:val="TableParagraph"/>
              <w:spacing w:before="0"/>
              <w:ind w:right="33"/>
              <w:jc w:val="right"/>
              <w:rPr>
                <w:rFonts w:ascii="Cambria"/>
                <w:b/>
                <w:sz w:val="22"/>
              </w:rPr>
            </w:pPr>
            <w:r>
              <w:rPr>
                <w:rFonts w:ascii="Cambria"/>
                <w:b/>
                <w:sz w:val="22"/>
              </w:rPr>
              <w:t>65</w:t>
            </w:r>
          </w:p>
        </w:tc>
      </w:tr>
      <w:tr>
        <w:trPr>
          <w:trHeight w:val="606" w:hRule="exact"/>
        </w:trPr>
        <w:tc>
          <w:tcPr>
            <w:tcW w:w="1969" w:type="dxa"/>
            <w:tcBorders>
              <w:top w:val="single" w:sz="8" w:space="0" w:color="000000"/>
              <w:bottom w:val="single" w:sz="8" w:space="0" w:color="000000"/>
            </w:tcBorders>
          </w:tcPr>
          <w:p>
            <w:pPr>
              <w:pStyle w:val="TableParagraph"/>
              <w:spacing w:before="0"/>
              <w:jc w:val="left"/>
              <w:rPr>
                <w:rFonts w:ascii="Calibri"/>
                <w:b/>
                <w:sz w:val="32"/>
              </w:rPr>
            </w:pPr>
          </w:p>
          <w:p>
            <w:pPr>
              <w:pStyle w:val="TableParagraph"/>
              <w:spacing w:before="0"/>
              <w:ind w:left="35"/>
              <w:jc w:val="left"/>
              <w:rPr>
                <w:rFonts w:ascii="Cambria"/>
                <w:b/>
                <w:sz w:val="22"/>
              </w:rPr>
            </w:pPr>
            <w:r>
              <w:rPr>
                <w:rFonts w:ascii="Cambria"/>
                <w:b/>
                <w:sz w:val="22"/>
              </w:rPr>
              <w:t>PARTE 5:</w:t>
            </w:r>
          </w:p>
        </w:tc>
        <w:tc>
          <w:tcPr>
            <w:tcW w:w="6306" w:type="dxa"/>
            <w:tcBorders>
              <w:top w:val="single" w:sz="8" w:space="0" w:color="000000"/>
              <w:bottom w:val="single" w:sz="8" w:space="0" w:color="000000"/>
            </w:tcBorders>
          </w:tcPr>
          <w:p>
            <w:pPr>
              <w:pStyle w:val="TableParagraph"/>
              <w:spacing w:before="0"/>
              <w:jc w:val="left"/>
              <w:rPr>
                <w:rFonts w:ascii="Calibri"/>
                <w:b/>
                <w:sz w:val="32"/>
              </w:rPr>
            </w:pPr>
          </w:p>
          <w:p>
            <w:pPr>
              <w:pStyle w:val="TableParagraph"/>
              <w:spacing w:before="0"/>
              <w:ind w:left="107"/>
              <w:jc w:val="left"/>
              <w:rPr>
                <w:rFonts w:ascii="Cambria" w:hAnsi="Cambria"/>
                <w:b/>
                <w:sz w:val="22"/>
              </w:rPr>
            </w:pPr>
            <w:r>
              <w:rPr>
                <w:rFonts w:ascii="Cambria" w:hAnsi="Cambria"/>
                <w:b/>
                <w:sz w:val="22"/>
              </w:rPr>
              <w:t>“ANEXOS”</w:t>
            </w:r>
          </w:p>
        </w:tc>
        <w:tc>
          <w:tcPr>
            <w:tcW w:w="809" w:type="dxa"/>
            <w:tcBorders>
              <w:top w:val="single" w:sz="8" w:space="0" w:color="000000"/>
              <w:bottom w:val="single" w:sz="8" w:space="0" w:color="000000"/>
            </w:tcBorders>
          </w:tcPr>
          <w:p>
            <w:pPr>
              <w:pStyle w:val="TableParagraph"/>
              <w:spacing w:before="0"/>
              <w:jc w:val="left"/>
              <w:rPr>
                <w:rFonts w:ascii="Calibri"/>
                <w:b/>
                <w:sz w:val="32"/>
              </w:rPr>
            </w:pPr>
          </w:p>
          <w:p>
            <w:pPr>
              <w:pStyle w:val="TableParagraph"/>
              <w:spacing w:before="0"/>
              <w:ind w:right="33"/>
              <w:jc w:val="right"/>
              <w:rPr>
                <w:rFonts w:ascii="Cambria"/>
                <w:b/>
                <w:sz w:val="22"/>
              </w:rPr>
            </w:pPr>
            <w:r>
              <w:rPr>
                <w:rFonts w:ascii="Cambria"/>
                <w:b/>
                <w:sz w:val="22"/>
              </w:rPr>
              <w:t>72</w:t>
            </w:r>
          </w:p>
        </w:tc>
      </w:tr>
    </w:tbl>
    <w:p>
      <w:pPr>
        <w:pStyle w:val="BodyText"/>
        <w:spacing w:before="10"/>
        <w:rPr>
          <w:rFonts w:ascii="Calibri"/>
          <w:b/>
          <w:sz w:val="21"/>
        </w:rPr>
      </w:pPr>
    </w:p>
    <w:p>
      <w:pPr>
        <w:tabs>
          <w:tab w:pos="8894" w:val="left" w:leader="none"/>
        </w:tabs>
        <w:spacing w:before="0"/>
        <w:ind w:left="140" w:right="0" w:firstLine="0"/>
        <w:jc w:val="left"/>
        <w:rPr>
          <w:rFonts w:ascii="Cambria" w:hAnsi="Cambria"/>
          <w:b/>
          <w:sz w:val="22"/>
        </w:rPr>
      </w:pPr>
      <w:r>
        <w:rPr>
          <w:rFonts w:ascii="Cambria" w:hAnsi="Cambria"/>
          <w:b/>
          <w:sz w:val="22"/>
        </w:rPr>
        <w:t>ANEXO 1. PROPIEDADES</w:t>
      </w:r>
      <w:r>
        <w:rPr>
          <w:rFonts w:ascii="Cambria" w:hAnsi="Cambria"/>
          <w:b/>
          <w:spacing w:val="-32"/>
          <w:sz w:val="22"/>
        </w:rPr>
        <w:t> </w:t>
      </w:r>
      <w:r>
        <w:rPr>
          <w:rFonts w:ascii="Cambria" w:hAnsi="Cambria"/>
          <w:b/>
          <w:sz w:val="22"/>
        </w:rPr>
        <w:t>DE</w:t>
      </w:r>
      <w:r>
        <w:rPr>
          <w:rFonts w:ascii="Cambria" w:hAnsi="Cambria"/>
          <w:b/>
          <w:spacing w:val="-10"/>
          <w:sz w:val="22"/>
        </w:rPr>
        <w:t> </w:t>
      </w:r>
      <w:r>
        <w:rPr>
          <w:rFonts w:ascii="Cambria" w:hAnsi="Cambria"/>
          <w:b/>
          <w:sz w:val="22"/>
        </w:rPr>
        <w:t>ADSORCIÓN</w:t>
        <w:tab/>
        <w:t>73</w:t>
      </w:r>
    </w:p>
    <w:p>
      <w:pPr>
        <w:tabs>
          <w:tab w:pos="9153" w:val="right" w:leader="none"/>
        </w:tabs>
        <w:spacing w:before="131"/>
        <w:ind w:left="140" w:right="0" w:firstLine="0"/>
        <w:jc w:val="left"/>
        <w:rPr>
          <w:rFonts w:ascii="Cambria" w:hAnsi="Cambria"/>
          <w:b/>
          <w:sz w:val="22"/>
        </w:rPr>
      </w:pPr>
      <w:r>
        <w:rPr>
          <w:rFonts w:ascii="Cambria" w:hAnsi="Cambria"/>
          <w:b/>
          <w:sz w:val="22"/>
        </w:rPr>
        <w:t>ANEXO 2.</w:t>
      </w:r>
      <w:r>
        <w:rPr>
          <w:rFonts w:ascii="Cambria" w:hAnsi="Cambria"/>
          <w:b/>
          <w:spacing w:val="-20"/>
          <w:sz w:val="22"/>
        </w:rPr>
        <w:t> </w:t>
      </w:r>
      <w:r>
        <w:rPr>
          <w:rFonts w:ascii="Cambria" w:hAnsi="Cambria"/>
          <w:b/>
          <w:sz w:val="22"/>
        </w:rPr>
        <w:t>ENTALPÍA</w:t>
      </w:r>
      <w:r>
        <w:rPr>
          <w:rFonts w:ascii="Cambria" w:hAnsi="Cambria"/>
          <w:b/>
          <w:spacing w:val="-11"/>
          <w:sz w:val="22"/>
        </w:rPr>
        <w:t> </w:t>
      </w:r>
      <w:r>
        <w:rPr>
          <w:rFonts w:ascii="Cambria" w:hAnsi="Cambria"/>
          <w:b/>
          <w:sz w:val="22"/>
        </w:rPr>
        <w:t>DIFERENCIAL</w:t>
        <w:tab/>
        <w:t>74</w:t>
      </w:r>
    </w:p>
    <w:p>
      <w:pPr>
        <w:tabs>
          <w:tab w:pos="9153" w:val="right" w:leader="none"/>
        </w:tabs>
        <w:spacing w:before="131"/>
        <w:ind w:left="140" w:right="0" w:firstLine="0"/>
        <w:jc w:val="left"/>
        <w:rPr>
          <w:rFonts w:ascii="Cambria" w:hAnsi="Cambria"/>
          <w:b/>
          <w:sz w:val="22"/>
        </w:rPr>
      </w:pPr>
      <w:r>
        <w:rPr>
          <w:rFonts w:ascii="Cambria" w:hAnsi="Cambria"/>
          <w:b/>
          <w:sz w:val="22"/>
        </w:rPr>
        <w:t>ANEXO 3.</w:t>
      </w:r>
      <w:r>
        <w:rPr>
          <w:rFonts w:ascii="Cambria" w:hAnsi="Cambria"/>
          <w:b/>
          <w:spacing w:val="-20"/>
          <w:sz w:val="22"/>
        </w:rPr>
        <w:t> </w:t>
      </w:r>
      <w:r>
        <w:rPr>
          <w:rFonts w:ascii="Cambria" w:hAnsi="Cambria"/>
          <w:b/>
          <w:sz w:val="22"/>
        </w:rPr>
        <w:t>COMPENSACIÓN</w:t>
      </w:r>
      <w:r>
        <w:rPr>
          <w:rFonts w:ascii="Cambria" w:hAnsi="Cambria"/>
          <w:b/>
          <w:spacing w:val="-12"/>
          <w:sz w:val="22"/>
        </w:rPr>
        <w:t> </w:t>
      </w:r>
      <w:r>
        <w:rPr>
          <w:rFonts w:ascii="Cambria" w:hAnsi="Cambria"/>
          <w:b/>
          <w:sz w:val="22"/>
        </w:rPr>
        <w:t>ENTALPÍA-ENTROPÍA</w:t>
        <w:tab/>
        <w:t>75</w:t>
      </w:r>
    </w:p>
    <w:p>
      <w:pPr>
        <w:spacing w:after="0"/>
        <w:jc w:val="left"/>
        <w:rPr>
          <w:rFonts w:ascii="Cambria" w:hAnsi="Cambria"/>
          <w:sz w:val="22"/>
        </w:rPr>
        <w:sectPr>
          <w:footerReference w:type="default" r:id="rId9"/>
          <w:footerReference w:type="even" r:id="rId10"/>
          <w:pgSz w:w="11900" w:h="16840"/>
          <w:pgMar w:footer="1026" w:header="0" w:top="1340" w:bottom="1220" w:left="1300" w:right="1300"/>
        </w:sectPr>
      </w:pPr>
    </w:p>
    <w:p>
      <w:pPr>
        <w:pStyle w:val="BodyText"/>
        <w:rPr>
          <w:rFonts w:ascii="Cambria"/>
          <w:b/>
          <w:sz w:val="56"/>
        </w:rPr>
      </w:pPr>
    </w:p>
    <w:p>
      <w:pPr>
        <w:pStyle w:val="BodyText"/>
        <w:rPr>
          <w:rFonts w:ascii="Cambria"/>
          <w:b/>
          <w:sz w:val="56"/>
        </w:rPr>
      </w:pPr>
    </w:p>
    <w:p>
      <w:pPr>
        <w:pStyle w:val="BodyText"/>
        <w:rPr>
          <w:rFonts w:ascii="Cambria"/>
          <w:b/>
          <w:sz w:val="56"/>
        </w:rPr>
      </w:pPr>
    </w:p>
    <w:p>
      <w:pPr>
        <w:pStyle w:val="BodyText"/>
        <w:rPr>
          <w:rFonts w:ascii="Cambria"/>
          <w:b/>
          <w:sz w:val="56"/>
        </w:rPr>
      </w:pPr>
    </w:p>
    <w:p>
      <w:pPr>
        <w:pStyle w:val="BodyText"/>
        <w:rPr>
          <w:rFonts w:ascii="Cambria"/>
          <w:b/>
          <w:sz w:val="56"/>
        </w:rPr>
      </w:pPr>
    </w:p>
    <w:p>
      <w:pPr>
        <w:pStyle w:val="BodyText"/>
        <w:rPr>
          <w:rFonts w:ascii="Cambria"/>
          <w:b/>
          <w:sz w:val="56"/>
        </w:rPr>
      </w:pPr>
    </w:p>
    <w:p>
      <w:pPr>
        <w:pStyle w:val="BodyText"/>
        <w:spacing w:before="4"/>
        <w:rPr>
          <w:rFonts w:ascii="Cambria"/>
          <w:b/>
          <w:sz w:val="61"/>
        </w:rPr>
      </w:pPr>
    </w:p>
    <w:p>
      <w:pPr>
        <w:spacing w:line="360" w:lineRule="auto" w:before="0"/>
        <w:ind w:left="845" w:right="1108" w:firstLine="2170"/>
        <w:jc w:val="left"/>
        <w:rPr>
          <w:b/>
          <w:sz w:val="56"/>
        </w:rPr>
      </w:pPr>
      <w:r>
        <w:rPr>
          <w:b/>
          <w:sz w:val="56"/>
        </w:rPr>
        <w:t>PARTE 1: “PROTOCOLO DE TESIS”</w:t>
      </w:r>
    </w:p>
    <w:p>
      <w:pPr>
        <w:spacing w:after="0" w:line="360" w:lineRule="auto"/>
        <w:jc w:val="left"/>
        <w:rPr>
          <w:sz w:val="56"/>
        </w:rPr>
        <w:sectPr>
          <w:pgSz w:w="11900" w:h="16840"/>
          <w:pgMar w:header="0" w:footer="1077" w:top="1580" w:bottom="1260" w:left="1680" w:right="1400"/>
        </w:sectPr>
      </w:pPr>
    </w:p>
    <w:p>
      <w:pPr>
        <w:spacing w:before="35"/>
        <w:ind w:left="561" w:right="581" w:firstLine="0"/>
        <w:jc w:val="center"/>
        <w:rPr>
          <w:b/>
          <w:sz w:val="28"/>
        </w:rPr>
      </w:pPr>
      <w:r>
        <w:rPr>
          <w:b/>
          <w:sz w:val="28"/>
        </w:rPr>
        <w:t>RESUMEN</w:t>
      </w:r>
    </w:p>
    <w:p>
      <w:pPr>
        <w:pStyle w:val="BodyText"/>
        <w:rPr>
          <w:b/>
          <w:sz w:val="28"/>
        </w:rPr>
      </w:pPr>
    </w:p>
    <w:p>
      <w:pPr>
        <w:pStyle w:val="BodyText"/>
        <w:spacing w:before="11"/>
        <w:rPr>
          <w:b/>
          <w:sz w:val="21"/>
        </w:rPr>
      </w:pPr>
    </w:p>
    <w:p>
      <w:pPr>
        <w:pStyle w:val="BodyText"/>
        <w:spacing w:line="360" w:lineRule="auto"/>
        <w:ind w:left="100" w:right="120"/>
        <w:jc w:val="both"/>
      </w:pPr>
      <w:r>
        <w:rPr/>
        <w:t>El objetivo de este trabajo </w:t>
      </w:r>
      <w:r>
        <w:rPr>
          <w:spacing w:val="-3"/>
        </w:rPr>
        <w:t>fue </w:t>
      </w:r>
      <w:r>
        <w:rPr/>
        <w:t>dividido en tres partes principales referentes al aceite de chía microencapsulado: </w:t>
      </w:r>
      <w:r>
        <w:rPr>
          <w:spacing w:val="-5"/>
        </w:rPr>
        <w:t>i) </w:t>
      </w:r>
      <w:r>
        <w:rPr/>
        <w:t>establecer </w:t>
      </w:r>
      <w:r>
        <w:rPr>
          <w:spacing w:val="-3"/>
        </w:rPr>
        <w:t>las </w:t>
      </w:r>
      <w:r>
        <w:rPr/>
        <w:t>condiciones de almacenamiento </w:t>
      </w:r>
      <w:r>
        <w:rPr>
          <w:spacing w:val="-4"/>
        </w:rPr>
        <w:t>más </w:t>
      </w:r>
      <w:r>
        <w:rPr/>
        <w:t>estables  (temperatura y actividad de agua) por </w:t>
      </w:r>
      <w:r>
        <w:rPr>
          <w:spacing w:val="-3"/>
        </w:rPr>
        <w:t>medio </w:t>
      </w:r>
      <w:r>
        <w:rPr/>
        <w:t>de </w:t>
      </w:r>
      <w:r>
        <w:rPr>
          <w:spacing w:val="-5"/>
        </w:rPr>
        <w:t>la </w:t>
      </w:r>
      <w:r>
        <w:rPr/>
        <w:t>entropía integral mínima; </w:t>
      </w:r>
      <w:r>
        <w:rPr>
          <w:spacing w:val="-4"/>
        </w:rPr>
        <w:t>ii) </w:t>
      </w:r>
      <w:r>
        <w:rPr/>
        <w:t>a partir de </w:t>
      </w:r>
      <w:r>
        <w:rPr>
          <w:spacing w:val="-3"/>
        </w:rPr>
        <w:t>las </w:t>
      </w:r>
      <w:r>
        <w:rPr/>
        <w:t>condiciones críticas de almacenamiento relacionar el estado </w:t>
      </w:r>
      <w:r>
        <w:rPr>
          <w:spacing w:val="-3"/>
        </w:rPr>
        <w:t>físico </w:t>
      </w:r>
      <w:r>
        <w:rPr/>
        <w:t>de </w:t>
      </w:r>
      <w:r>
        <w:rPr>
          <w:spacing w:val="-5"/>
        </w:rPr>
        <w:t>la </w:t>
      </w:r>
      <w:r>
        <w:rPr/>
        <w:t>matriz amorfa con </w:t>
      </w:r>
      <w:r>
        <w:rPr>
          <w:spacing w:val="-5"/>
        </w:rPr>
        <w:t>la </w:t>
      </w:r>
      <w:r>
        <w:rPr/>
        <w:t>temperatura de transición vítrea (</w:t>
      </w:r>
      <w:r>
        <w:rPr>
          <w:i/>
        </w:rPr>
        <w:t>Tg</w:t>
      </w:r>
      <w:r>
        <w:rPr/>
        <w:t>); </w:t>
      </w:r>
      <w:r>
        <w:rPr>
          <w:spacing w:val="-4"/>
        </w:rPr>
        <w:t>iii) </w:t>
      </w:r>
      <w:r>
        <w:rPr/>
        <w:t>determinar el grado de oxidación del aceite de chía sin encapsular y</w:t>
      </w:r>
      <w:r>
        <w:rPr>
          <w:spacing w:val="-17"/>
        </w:rPr>
        <w:t> </w:t>
      </w:r>
      <w:r>
        <w:rPr/>
        <w:t>microencapsulado.</w:t>
      </w:r>
    </w:p>
    <w:p>
      <w:pPr>
        <w:pStyle w:val="BodyText"/>
      </w:pPr>
    </w:p>
    <w:p>
      <w:pPr>
        <w:pStyle w:val="BodyText"/>
        <w:spacing w:line="360" w:lineRule="auto" w:before="145"/>
        <w:ind w:left="100" w:right="111"/>
        <w:jc w:val="both"/>
      </w:pPr>
      <w:r>
        <w:rPr/>
        <w:t>En principio se prepararon emulsiones simples aceite en agua (O/W) con el aceite de chía, el cual fue microencapsulado mediante secado por aspersión en una matriz biopolimérica de concentrado de proteína de suero de leche (WPC) y goma de mezquite (MG) en una relación 67:33 m/m. Las emulsiones preparadas contenían 30% de sólidos con una relación 1:3 de </w:t>
      </w:r>
      <w:r>
        <w:rPr>
          <w:position w:val="2"/>
        </w:rPr>
        <w:t>material interno a material de pared (C</w:t>
      </w:r>
      <w:r>
        <w:rPr>
          <w:sz w:val="16"/>
        </w:rPr>
        <w:t>o</w:t>
      </w:r>
      <w:r>
        <w:rPr>
          <w:position w:val="2"/>
        </w:rPr>
        <w:t>:W</w:t>
      </w:r>
      <w:r>
        <w:rPr>
          <w:sz w:val="16"/>
        </w:rPr>
        <w:t>a</w:t>
      </w:r>
      <w:r>
        <w:rPr>
          <w:position w:val="2"/>
        </w:rPr>
        <w:t>).</w:t>
      </w:r>
    </w:p>
    <w:p>
      <w:pPr>
        <w:pStyle w:val="BodyText"/>
        <w:spacing w:before="11"/>
        <w:rPr>
          <w:sz w:val="35"/>
        </w:rPr>
      </w:pPr>
    </w:p>
    <w:p>
      <w:pPr>
        <w:pStyle w:val="BodyText"/>
        <w:spacing w:line="360" w:lineRule="auto"/>
        <w:ind w:left="100" w:right="110"/>
        <w:jc w:val="both"/>
      </w:pPr>
      <w:r>
        <w:rPr/>
        <w:t>Posteriormente se determinaron las condiciones de almacenamiento críticas de las microcápsulas con ayuda de las isotermas de adsorción y de la temperatura de transición (</w:t>
      </w:r>
      <w:r>
        <w:rPr>
          <w:i/>
        </w:rPr>
        <w:t>Tg</w:t>
      </w:r>
      <w:r>
        <w:rPr/>
        <w:t>). </w:t>
      </w:r>
      <w:r>
        <w:rPr>
          <w:position w:val="2"/>
        </w:rPr>
        <w:t>Las  condiciones  críticas  correspondieron a 0.682-0.820 de actividad  de  agua  (</w:t>
      </w:r>
      <w:r>
        <w:rPr>
          <w:i/>
          <w:position w:val="2"/>
        </w:rPr>
        <w:t>a</w:t>
      </w:r>
      <w:r>
        <w:rPr>
          <w:i/>
          <w:sz w:val="16"/>
        </w:rPr>
        <w:t>w</w:t>
      </w:r>
      <w:r>
        <w:rPr>
          <w:position w:val="2"/>
        </w:rPr>
        <w:t>) y 11.78-</w:t>
      </w:r>
    </w:p>
    <w:p>
      <w:pPr>
        <w:pStyle w:val="ListParagraph"/>
        <w:numPr>
          <w:ilvl w:val="1"/>
          <w:numId w:val="3"/>
        </w:numPr>
        <w:tabs>
          <w:tab w:pos="724" w:val="left" w:leader="none"/>
        </w:tabs>
        <w:spacing w:line="357" w:lineRule="auto" w:before="5" w:after="0"/>
        <w:ind w:left="100" w:right="110" w:firstLine="0"/>
        <w:jc w:val="both"/>
        <w:rPr>
          <w:sz w:val="24"/>
        </w:rPr>
      </w:pPr>
      <w:r>
        <w:rPr>
          <w:sz w:val="24"/>
        </w:rPr>
        <w:t>de contenido de humedad. También se determinó </w:t>
      </w:r>
      <w:r>
        <w:rPr>
          <w:spacing w:val="-5"/>
          <w:sz w:val="24"/>
        </w:rPr>
        <w:t>la </w:t>
      </w:r>
      <w:r>
        <w:rPr>
          <w:sz w:val="24"/>
        </w:rPr>
        <w:t>entropía integral, </w:t>
      </w:r>
      <w:r>
        <w:rPr>
          <w:spacing w:val="-5"/>
          <w:sz w:val="24"/>
        </w:rPr>
        <w:t>la </w:t>
      </w:r>
      <w:r>
        <w:rPr>
          <w:sz w:val="24"/>
        </w:rPr>
        <w:t>cual tuvo un </w:t>
      </w:r>
      <w:r>
        <w:rPr>
          <w:position w:val="2"/>
          <w:sz w:val="24"/>
        </w:rPr>
        <w:t>mínimo en el intervalo de </w:t>
      </w:r>
      <w:r>
        <w:rPr>
          <w:i/>
          <w:position w:val="2"/>
          <w:sz w:val="24"/>
        </w:rPr>
        <w:t>a</w:t>
      </w:r>
      <w:r>
        <w:rPr>
          <w:i/>
          <w:sz w:val="16"/>
        </w:rPr>
        <w:t>w  </w:t>
      </w:r>
      <w:r>
        <w:rPr>
          <w:position w:val="2"/>
          <w:sz w:val="24"/>
        </w:rPr>
        <w:t>entre 0.625 y 0.718 para </w:t>
      </w:r>
      <w:r>
        <w:rPr>
          <w:spacing w:val="-3"/>
          <w:position w:val="2"/>
          <w:sz w:val="24"/>
        </w:rPr>
        <w:t>las </w:t>
      </w:r>
      <w:r>
        <w:rPr>
          <w:position w:val="2"/>
          <w:sz w:val="24"/>
        </w:rPr>
        <w:t>temperaturas de estudio (25, 35 y  </w:t>
      </w:r>
      <w:r>
        <w:rPr>
          <w:sz w:val="24"/>
        </w:rPr>
        <w:t>40</w:t>
      </w:r>
      <w:r>
        <w:rPr>
          <w:spacing w:val="-1"/>
          <w:sz w:val="24"/>
        </w:rPr>
        <w:t> </w:t>
      </w:r>
      <w:r>
        <w:rPr>
          <w:sz w:val="24"/>
        </w:rPr>
        <w:t>ºC).</w:t>
      </w:r>
    </w:p>
    <w:p>
      <w:pPr>
        <w:pStyle w:val="BodyText"/>
      </w:pPr>
    </w:p>
    <w:p>
      <w:pPr>
        <w:pStyle w:val="BodyText"/>
        <w:spacing w:line="360" w:lineRule="auto" w:before="148"/>
        <w:ind w:left="100" w:right="115"/>
        <w:jc w:val="both"/>
      </w:pPr>
      <w:r>
        <w:rPr/>
        <w:t>Por otro </w:t>
      </w:r>
      <w:r>
        <w:rPr>
          <w:spacing w:val="-3"/>
        </w:rPr>
        <w:t>lado </w:t>
      </w:r>
      <w:r>
        <w:rPr/>
        <w:t>se determinó que </w:t>
      </w:r>
      <w:r>
        <w:rPr>
          <w:spacing w:val="-5"/>
        </w:rPr>
        <w:t>la </w:t>
      </w:r>
      <w:r>
        <w:rPr/>
        <w:t>oxidación del aceite de </w:t>
      </w:r>
      <w:r>
        <w:rPr>
          <w:spacing w:val="-3"/>
        </w:rPr>
        <w:t>chía </w:t>
      </w:r>
      <w:r>
        <w:rPr/>
        <w:t>siguió una cinética de orden cero tanto para el aceite microencapsulado </w:t>
      </w:r>
      <w:r>
        <w:rPr>
          <w:spacing w:val="-4"/>
        </w:rPr>
        <w:t>como </w:t>
      </w:r>
      <w:r>
        <w:rPr/>
        <w:t>para el sin encapsular. Así </w:t>
      </w:r>
      <w:r>
        <w:rPr>
          <w:spacing w:val="-4"/>
        </w:rPr>
        <w:t>mismo  </w:t>
      </w:r>
      <w:r>
        <w:rPr/>
        <w:t>se observó que </w:t>
      </w:r>
      <w:r>
        <w:rPr>
          <w:spacing w:val="-5"/>
        </w:rPr>
        <w:t>la </w:t>
      </w:r>
      <w:r>
        <w:rPr/>
        <w:t>oxidación en el aceite </w:t>
      </w:r>
      <w:r>
        <w:rPr>
          <w:spacing w:val="-3"/>
        </w:rPr>
        <w:t>no </w:t>
      </w:r>
      <w:r>
        <w:rPr/>
        <w:t>encapsulado ocurría de 2 a 4 veces </w:t>
      </w:r>
      <w:r>
        <w:rPr>
          <w:spacing w:val="-3"/>
        </w:rPr>
        <w:t>más </w:t>
      </w:r>
      <w:r>
        <w:rPr/>
        <w:t>rápido que el encapsulado dependiendo </w:t>
      </w:r>
      <w:r>
        <w:rPr>
          <w:spacing w:val="-5"/>
        </w:rPr>
        <w:t>la </w:t>
      </w:r>
      <w:r>
        <w:rPr/>
        <w:t>temperatura, siendo mayor esta relación conforme aumentaba </w:t>
      </w:r>
      <w:r>
        <w:rPr>
          <w:spacing w:val="-3"/>
        </w:rPr>
        <w:t>la </w:t>
      </w:r>
      <w:r>
        <w:rPr/>
        <w:t>temperatura de</w:t>
      </w:r>
      <w:r>
        <w:rPr>
          <w:spacing w:val="-9"/>
        </w:rPr>
        <w:t> </w:t>
      </w:r>
      <w:r>
        <w:rPr/>
        <w:t>estudio.</w:t>
      </w:r>
    </w:p>
    <w:p>
      <w:pPr>
        <w:spacing w:after="0" w:line="360" w:lineRule="auto"/>
        <w:jc w:val="both"/>
        <w:sectPr>
          <w:footerReference w:type="even" r:id="rId11"/>
          <w:footerReference w:type="default" r:id="rId12"/>
          <w:pgSz w:w="11900" w:h="16840"/>
          <w:pgMar w:footer="1026" w:header="0" w:top="1380" w:bottom="1220" w:left="1340" w:right="1320"/>
          <w:pgNumType w:start="2"/>
        </w:sectPr>
      </w:pPr>
    </w:p>
    <w:p>
      <w:pPr>
        <w:spacing w:before="35"/>
        <w:ind w:left="555" w:right="581" w:firstLine="0"/>
        <w:jc w:val="center"/>
        <w:rPr>
          <w:b/>
          <w:sz w:val="28"/>
        </w:rPr>
      </w:pPr>
      <w:r>
        <w:rPr>
          <w:b/>
          <w:sz w:val="28"/>
        </w:rPr>
        <w:t>ABSTRACT</w:t>
      </w:r>
    </w:p>
    <w:p>
      <w:pPr>
        <w:pStyle w:val="BodyText"/>
        <w:rPr>
          <w:b/>
          <w:sz w:val="28"/>
        </w:rPr>
      </w:pPr>
    </w:p>
    <w:p>
      <w:pPr>
        <w:pStyle w:val="BodyText"/>
        <w:spacing w:before="11"/>
        <w:rPr>
          <w:b/>
          <w:sz w:val="21"/>
        </w:rPr>
      </w:pPr>
    </w:p>
    <w:p>
      <w:pPr>
        <w:pStyle w:val="BodyText"/>
        <w:spacing w:line="360" w:lineRule="auto"/>
        <w:ind w:left="100" w:right="120"/>
        <w:jc w:val="both"/>
      </w:pPr>
      <w:r>
        <w:rPr/>
        <w:t>The aim of this work was divided into three major parts relative </w:t>
      </w:r>
      <w:r>
        <w:rPr>
          <w:spacing w:val="2"/>
        </w:rPr>
        <w:t>to </w:t>
      </w:r>
      <w:r>
        <w:rPr/>
        <w:t>the microencapsulated chia oil: </w:t>
      </w:r>
      <w:r>
        <w:rPr>
          <w:spacing w:val="-3"/>
        </w:rPr>
        <w:t>i) </w:t>
      </w:r>
      <w:r>
        <w:rPr/>
        <w:t>establish the </w:t>
      </w:r>
      <w:r>
        <w:rPr>
          <w:spacing w:val="-3"/>
        </w:rPr>
        <w:t>most </w:t>
      </w:r>
      <w:r>
        <w:rPr/>
        <w:t>suitable storage conditions (water activity and temperature) by means of the minimum integral entropy; </w:t>
      </w:r>
      <w:r>
        <w:rPr>
          <w:spacing w:val="-3"/>
        </w:rPr>
        <w:t>ii) </w:t>
      </w:r>
      <w:r>
        <w:rPr/>
        <w:t>relate the physical state of the amorphous matrix with the glass transition temperature through the critical storage conditions; and iii)  determine the extent of the peroxidation of the chia oil microencapsulated and </w:t>
      </w:r>
      <w:r>
        <w:rPr>
          <w:spacing w:val="-3"/>
        </w:rPr>
        <w:t>in</w:t>
      </w:r>
      <w:r>
        <w:rPr>
          <w:spacing w:val="-24"/>
        </w:rPr>
        <w:t> </w:t>
      </w:r>
      <w:r>
        <w:rPr/>
        <w:t>bulk.</w:t>
      </w:r>
    </w:p>
    <w:p>
      <w:pPr>
        <w:pStyle w:val="BodyText"/>
      </w:pPr>
    </w:p>
    <w:p>
      <w:pPr>
        <w:pStyle w:val="BodyText"/>
        <w:spacing w:line="360" w:lineRule="auto" w:before="141"/>
        <w:ind w:left="100" w:right="112"/>
        <w:jc w:val="both"/>
      </w:pPr>
      <w:r>
        <w:rPr/>
        <w:t>Chia oil was used </w:t>
      </w:r>
      <w:r>
        <w:rPr>
          <w:spacing w:val="2"/>
        </w:rPr>
        <w:t>to </w:t>
      </w:r>
      <w:r>
        <w:rPr/>
        <w:t>prepare oil-in-water emulsions (O/W) that contained 30% solids (TCS) </w:t>
      </w:r>
      <w:r>
        <w:rPr>
          <w:position w:val="2"/>
        </w:rPr>
        <w:t>and a 1:3 core to wall material (C</w:t>
      </w:r>
      <w:r>
        <w:rPr>
          <w:sz w:val="16"/>
        </w:rPr>
        <w:t>o</w:t>
      </w:r>
      <w:r>
        <w:rPr>
          <w:position w:val="2"/>
        </w:rPr>
        <w:t>:W</w:t>
      </w:r>
      <w:r>
        <w:rPr>
          <w:sz w:val="16"/>
        </w:rPr>
        <w:t>a</w:t>
      </w:r>
      <w:r>
        <w:rPr>
          <w:position w:val="2"/>
        </w:rPr>
        <w:t>) ratio. </w:t>
      </w:r>
      <w:r>
        <w:rPr>
          <w:spacing w:val="-3"/>
          <w:position w:val="2"/>
        </w:rPr>
        <w:t>The </w:t>
      </w:r>
      <w:r>
        <w:rPr>
          <w:position w:val="2"/>
        </w:rPr>
        <w:t>microcapsules were obtained by spray </w:t>
      </w:r>
      <w:r>
        <w:rPr/>
        <w:t>drying using a biopolymeric matrix that contained a blend of whey protein concentrate  (WPC) and mesquite gum (MG) </w:t>
      </w:r>
      <w:r>
        <w:rPr>
          <w:spacing w:val="-3"/>
        </w:rPr>
        <w:t>in </w:t>
      </w:r>
      <w:r>
        <w:rPr/>
        <w:t>a 67:33</w:t>
      </w:r>
      <w:r>
        <w:rPr>
          <w:spacing w:val="-2"/>
        </w:rPr>
        <w:t> </w:t>
      </w:r>
      <w:r>
        <w:rPr/>
        <w:t>ratio.</w:t>
      </w:r>
    </w:p>
    <w:p>
      <w:pPr>
        <w:pStyle w:val="BodyText"/>
      </w:pPr>
    </w:p>
    <w:p>
      <w:pPr>
        <w:pStyle w:val="BodyText"/>
        <w:spacing w:line="357" w:lineRule="auto" w:before="145"/>
        <w:ind w:left="100" w:right="116"/>
        <w:jc w:val="both"/>
      </w:pPr>
      <w:r>
        <w:rPr/>
        <w:t>Critical storage conditions (CSC) were obtained from the state diagram </w:t>
      </w:r>
      <w:r>
        <w:rPr>
          <w:spacing w:val="4"/>
        </w:rPr>
        <w:t>of </w:t>
      </w:r>
      <w:r>
        <w:rPr/>
        <w:t>the sorption isotherms and the glass transitions temperature. CSC corresponded to 0.682-0.820 of water activity and 11.78-19.00 of moisture content. The integral entropy was also determined, and a </w:t>
      </w:r>
      <w:r>
        <w:rPr>
          <w:position w:val="2"/>
        </w:rPr>
        <w:t>minimum value was observed between </w:t>
      </w:r>
      <w:r>
        <w:rPr>
          <w:i/>
          <w:position w:val="2"/>
        </w:rPr>
        <w:t>a</w:t>
      </w:r>
      <w:r>
        <w:rPr>
          <w:i/>
          <w:sz w:val="16"/>
        </w:rPr>
        <w:t>w </w:t>
      </w:r>
      <w:r>
        <w:rPr>
          <w:position w:val="2"/>
        </w:rPr>
        <w:t>of 0.625-0.718 for the temperatures of study (25,  </w:t>
      </w:r>
      <w:r>
        <w:rPr/>
        <w:t>35 and 40 ºC).</w:t>
      </w:r>
    </w:p>
    <w:p>
      <w:pPr>
        <w:pStyle w:val="BodyText"/>
      </w:pPr>
    </w:p>
    <w:p>
      <w:pPr>
        <w:pStyle w:val="BodyText"/>
        <w:spacing w:line="360" w:lineRule="auto" w:before="148"/>
        <w:ind w:left="100" w:right="110"/>
        <w:jc w:val="both"/>
      </w:pPr>
      <w:r>
        <w:rPr/>
        <w:t>On the other side, the chia </w:t>
      </w:r>
      <w:r>
        <w:rPr>
          <w:spacing w:val="2"/>
        </w:rPr>
        <w:t>oil </w:t>
      </w:r>
      <w:r>
        <w:rPr/>
        <w:t>oxidation was analyzed and </w:t>
      </w:r>
      <w:r>
        <w:rPr>
          <w:spacing w:val="-5"/>
        </w:rPr>
        <w:t>it </w:t>
      </w:r>
      <w:r>
        <w:rPr/>
        <w:t>was found that followed a zero- order kinetic as for the </w:t>
      </w:r>
      <w:r>
        <w:rPr>
          <w:spacing w:val="-3"/>
        </w:rPr>
        <w:t>bulk </w:t>
      </w:r>
      <w:r>
        <w:rPr/>
        <w:t>chia oil as for the microencapsulated oil. It was noted that the unprotected oil oxidized more readily (from 2 </w:t>
      </w:r>
      <w:r>
        <w:rPr>
          <w:spacing w:val="2"/>
        </w:rPr>
        <w:t>to </w:t>
      </w:r>
      <w:r>
        <w:rPr/>
        <w:t>4 times faster) than the encapsulated chia  </w:t>
      </w:r>
      <w:r>
        <w:rPr>
          <w:spacing w:val="-3"/>
        </w:rPr>
        <w:t>oil, </w:t>
      </w:r>
      <w:r>
        <w:rPr/>
        <w:t>which additionally depended on the temperature. </w:t>
      </w:r>
      <w:r>
        <w:rPr>
          <w:spacing w:val="-3"/>
        </w:rPr>
        <w:t>As </w:t>
      </w:r>
      <w:r>
        <w:rPr/>
        <w:t>temperature was increased, this oxidation ratio </w:t>
      </w:r>
      <w:r>
        <w:rPr>
          <w:spacing w:val="-3"/>
        </w:rPr>
        <w:t>also</w:t>
      </w:r>
      <w:r>
        <w:rPr>
          <w:spacing w:val="-10"/>
        </w:rPr>
        <w:t> </w:t>
      </w:r>
      <w:r>
        <w:rPr/>
        <w:t>increased.</w:t>
      </w:r>
    </w:p>
    <w:p>
      <w:pPr>
        <w:spacing w:after="0" w:line="360" w:lineRule="auto"/>
        <w:jc w:val="both"/>
        <w:sectPr>
          <w:pgSz w:w="11900" w:h="16840"/>
          <w:pgMar w:header="0" w:footer="1077" w:top="1380" w:bottom="1260" w:left="1340" w:right="1320"/>
        </w:sectPr>
      </w:pPr>
    </w:p>
    <w:p>
      <w:pPr>
        <w:pStyle w:val="ListParagraph"/>
        <w:numPr>
          <w:ilvl w:val="2"/>
          <w:numId w:val="3"/>
        </w:numPr>
        <w:tabs>
          <w:tab w:pos="3650" w:val="left" w:leader="none"/>
        </w:tabs>
        <w:spacing w:line="240" w:lineRule="auto" w:before="35" w:after="0"/>
        <w:ind w:left="3649" w:right="0" w:hanging="360"/>
        <w:jc w:val="left"/>
        <w:rPr>
          <w:b/>
          <w:sz w:val="28"/>
        </w:rPr>
      </w:pPr>
      <w:r>
        <w:rPr>
          <w:b/>
          <w:sz w:val="28"/>
        </w:rPr>
        <w:t>ANTECEDENTES</w:t>
      </w:r>
    </w:p>
    <w:p>
      <w:pPr>
        <w:pStyle w:val="BodyText"/>
        <w:rPr>
          <w:b/>
          <w:sz w:val="28"/>
        </w:rPr>
      </w:pPr>
    </w:p>
    <w:p>
      <w:pPr>
        <w:pStyle w:val="BodyText"/>
        <w:spacing w:before="6"/>
        <w:rPr>
          <w:b/>
          <w:sz w:val="39"/>
        </w:rPr>
      </w:pPr>
    </w:p>
    <w:p>
      <w:pPr>
        <w:pStyle w:val="ListParagraph"/>
        <w:numPr>
          <w:ilvl w:val="1"/>
          <w:numId w:val="4"/>
        </w:numPr>
        <w:tabs>
          <w:tab w:pos="677" w:val="left" w:leader="none"/>
        </w:tabs>
        <w:spacing w:line="240" w:lineRule="auto" w:before="0" w:after="0"/>
        <w:ind w:left="677" w:right="0" w:hanging="577"/>
        <w:jc w:val="both"/>
        <w:rPr>
          <w:b/>
          <w:sz w:val="24"/>
        </w:rPr>
      </w:pPr>
      <w:r>
        <w:rPr>
          <w:b/>
          <w:sz w:val="24"/>
        </w:rPr>
        <w:t>CHIA (</w:t>
      </w:r>
      <w:r>
        <w:rPr>
          <w:b/>
          <w:i/>
          <w:sz w:val="24"/>
        </w:rPr>
        <w:t>Salvia hispanica</w:t>
      </w:r>
      <w:r>
        <w:rPr>
          <w:b/>
          <w:i/>
          <w:spacing w:val="-3"/>
          <w:sz w:val="24"/>
        </w:rPr>
        <w:t> </w:t>
      </w:r>
      <w:r>
        <w:rPr>
          <w:b/>
          <w:sz w:val="24"/>
        </w:rPr>
        <w:t>L.)</w:t>
      </w:r>
    </w:p>
    <w:p>
      <w:pPr>
        <w:pStyle w:val="BodyText"/>
        <w:rPr>
          <w:b/>
        </w:rPr>
      </w:pPr>
    </w:p>
    <w:p>
      <w:pPr>
        <w:pStyle w:val="BodyText"/>
        <w:spacing w:before="9"/>
        <w:rPr>
          <w:b/>
          <w:sz w:val="23"/>
        </w:rPr>
      </w:pPr>
    </w:p>
    <w:p>
      <w:pPr>
        <w:pStyle w:val="BodyText"/>
        <w:spacing w:line="360" w:lineRule="auto"/>
        <w:ind w:left="100" w:right="113"/>
        <w:jc w:val="both"/>
      </w:pPr>
      <w:r>
        <w:rPr/>
        <w:t>La chía (</w:t>
      </w:r>
      <w:r>
        <w:rPr>
          <w:i/>
        </w:rPr>
        <w:t>Salvia hispanica </w:t>
      </w:r>
      <w:r>
        <w:rPr/>
        <w:t>L.) es una planta endémica de México de </w:t>
      </w:r>
      <w:r>
        <w:rPr>
          <w:spacing w:val="-3"/>
        </w:rPr>
        <w:t>ciclo </w:t>
      </w:r>
      <w:r>
        <w:rPr/>
        <w:t>de cultivo anual. Se tiene referencia que </w:t>
      </w:r>
      <w:r>
        <w:rPr>
          <w:spacing w:val="-3"/>
        </w:rPr>
        <w:t>fue </w:t>
      </w:r>
      <w:r>
        <w:rPr/>
        <w:t>cultivada por </w:t>
      </w:r>
      <w:r>
        <w:rPr>
          <w:spacing w:val="-4"/>
        </w:rPr>
        <w:t>las </w:t>
      </w:r>
      <w:r>
        <w:rPr/>
        <w:t>comunidades precolombinas e </w:t>
      </w:r>
      <w:r>
        <w:rPr>
          <w:spacing w:val="-3"/>
        </w:rPr>
        <w:t>incluso </w:t>
      </w:r>
      <w:r>
        <w:rPr/>
        <w:t>utilizada  como tributo de </w:t>
      </w:r>
      <w:r>
        <w:rPr>
          <w:spacing w:val="-3"/>
        </w:rPr>
        <w:t>las </w:t>
      </w:r>
      <w:r>
        <w:rPr/>
        <w:t>tierras conquistadas por el imperio Azteca. Los estados de </w:t>
      </w:r>
      <w:r>
        <w:rPr>
          <w:spacing w:val="-5"/>
        </w:rPr>
        <w:t>la </w:t>
      </w:r>
      <w:r>
        <w:rPr/>
        <w:t>República con </w:t>
      </w:r>
      <w:r>
        <w:rPr>
          <w:spacing w:val="-5"/>
        </w:rPr>
        <w:t>la </w:t>
      </w:r>
      <w:r>
        <w:rPr/>
        <w:t>mayor proporción de siembra son Jalisco, Puebla y Sinaloa, que en 2013 sumaron un total de 18,115 hectáreas, con una producción de aproximadamente 8,430 toneladas y ventas que superaron los 478 millones de pesos</w:t>
      </w:r>
      <w:r>
        <w:rPr>
          <w:spacing w:val="-11"/>
        </w:rPr>
        <w:t> </w:t>
      </w:r>
      <w:r>
        <w:rPr/>
        <w:t>[</w:t>
      </w:r>
      <w:r>
        <w:rPr>
          <w:b/>
        </w:rPr>
        <w:t>1</w:t>
      </w:r>
      <w:r>
        <w:rPr/>
        <w:t>].</w:t>
      </w:r>
    </w:p>
    <w:p>
      <w:pPr>
        <w:pStyle w:val="BodyText"/>
      </w:pPr>
    </w:p>
    <w:p>
      <w:pPr>
        <w:pStyle w:val="BodyText"/>
        <w:spacing w:line="360" w:lineRule="auto" w:before="146"/>
        <w:ind w:left="100" w:right="112"/>
        <w:jc w:val="both"/>
      </w:pPr>
      <w:r>
        <w:rPr/>
        <w:t>Respecto a su composición, la semilla de chía contiene 18-30% de proteínas y 32-40% de aceite con un alto contenido de ácidos grasos insaturados. Un </w:t>
      </w:r>
      <w:r>
        <w:rPr>
          <w:color w:val="221F1F"/>
        </w:rPr>
        <w:t>aspecto relevante es que se ubica como el aceite comestible con mayor contenido de ácidos grasos poliinsaturados </w:t>
      </w:r>
      <w:r>
        <w:rPr/>
        <w:t>(aproximadamente 83%) y uno de los más bajos en grasas saturadas, además de </w:t>
      </w:r>
      <w:r>
        <w:rPr>
          <w:spacing w:val="-3"/>
        </w:rPr>
        <w:t>no </w:t>
      </w:r>
      <w:r>
        <w:rPr/>
        <w:t>contener colesterol [</w:t>
      </w:r>
      <w:r>
        <w:rPr>
          <w:b/>
        </w:rPr>
        <w:t>2</w:t>
      </w:r>
      <w:r>
        <w:rPr/>
        <w:t>]</w:t>
      </w:r>
      <w:r>
        <w:rPr>
          <w:color w:val="221F1F"/>
        </w:rPr>
        <w:t>. </w:t>
      </w:r>
      <w:r>
        <w:rPr/>
        <w:t>Dentro de </w:t>
      </w:r>
      <w:r>
        <w:rPr>
          <w:spacing w:val="-4"/>
        </w:rPr>
        <w:t>las </w:t>
      </w:r>
      <w:r>
        <w:rPr/>
        <w:t>grasas insaturadas más importantes de este aceite se encuentran los ácidos grasos linoléico y </w:t>
      </w:r>
      <w:r>
        <w:rPr>
          <w:color w:val="221F1F"/>
        </w:rPr>
        <w:t>α-linolénico </w:t>
      </w:r>
      <w:r>
        <w:rPr/>
        <w:t>en una proporción en </w:t>
      </w:r>
      <w:r>
        <w:rPr>
          <w:spacing w:val="-4"/>
        </w:rPr>
        <w:t>masa </w:t>
      </w:r>
      <w:r>
        <w:rPr/>
        <w:t>respecto al aceite del 17-26% y </w:t>
      </w:r>
      <w:r>
        <w:rPr>
          <w:color w:val="221F1F"/>
        </w:rPr>
        <w:t>50-57</w:t>
      </w:r>
      <w:r>
        <w:rPr/>
        <w:t>%, respectivamente [</w:t>
      </w:r>
      <w:r>
        <w:rPr>
          <w:b/>
        </w:rPr>
        <w:t>3</w:t>
      </w:r>
      <w:r>
        <w:rPr/>
        <w:t>], que </w:t>
      </w:r>
      <w:r>
        <w:rPr>
          <w:spacing w:val="-3"/>
        </w:rPr>
        <w:t>son </w:t>
      </w:r>
      <w:r>
        <w:rPr/>
        <w:t>de los más importantes ácidos grasos esenciales (AGE). No obstante, estas composiciones pueden variar según </w:t>
      </w:r>
      <w:r>
        <w:rPr>
          <w:spacing w:val="-3"/>
        </w:rPr>
        <w:t>la </w:t>
      </w:r>
      <w:r>
        <w:rPr/>
        <w:t>zona geográfica  y condiciones</w:t>
      </w:r>
      <w:r>
        <w:rPr>
          <w:spacing w:val="-18"/>
        </w:rPr>
        <w:t> </w:t>
      </w:r>
      <w:r>
        <w:rPr/>
        <w:t>ambientales.</w:t>
      </w:r>
    </w:p>
    <w:p>
      <w:pPr>
        <w:pStyle w:val="BodyText"/>
      </w:pPr>
    </w:p>
    <w:p>
      <w:pPr>
        <w:pStyle w:val="BodyText"/>
        <w:spacing w:before="9"/>
        <w:rPr>
          <w:sz w:val="29"/>
        </w:rPr>
      </w:pPr>
    </w:p>
    <w:p>
      <w:pPr>
        <w:pStyle w:val="ListParagraph"/>
        <w:numPr>
          <w:ilvl w:val="2"/>
          <w:numId w:val="4"/>
        </w:numPr>
        <w:tabs>
          <w:tab w:pos="821" w:val="left" w:leader="none"/>
        </w:tabs>
        <w:spacing w:line="240" w:lineRule="auto" w:before="0" w:after="0"/>
        <w:ind w:left="821" w:right="0" w:hanging="721"/>
        <w:jc w:val="both"/>
        <w:rPr>
          <w:b/>
          <w:sz w:val="24"/>
        </w:rPr>
      </w:pPr>
      <w:r>
        <w:rPr>
          <w:b/>
          <w:sz w:val="24"/>
        </w:rPr>
        <w:t>Ácidos grasos esenciales</w:t>
      </w:r>
      <w:r>
        <w:rPr>
          <w:b/>
          <w:spacing w:val="-11"/>
          <w:sz w:val="24"/>
        </w:rPr>
        <w:t> </w:t>
      </w:r>
      <w:r>
        <w:rPr>
          <w:b/>
          <w:sz w:val="24"/>
        </w:rPr>
        <w:t>(AGE)</w:t>
      </w:r>
    </w:p>
    <w:p>
      <w:pPr>
        <w:pStyle w:val="BodyText"/>
        <w:spacing w:line="360" w:lineRule="auto" w:before="137"/>
        <w:ind w:left="100" w:right="112"/>
        <w:jc w:val="both"/>
      </w:pPr>
      <w:r>
        <w:rPr/>
        <w:t>La historia del descubrimiento de los ácidos grasos esenciales (AGE) se remonta a las investigaciones de un par de esposos a finales de la década de 1920 [</w:t>
      </w:r>
      <w:r>
        <w:rPr>
          <w:b/>
        </w:rPr>
        <w:t>4</w:t>
      </w:r>
      <w:r>
        <w:rPr/>
        <w:t>]. Se les conoce con el nombre de AGE porque el ser humano no es capaz de producirlos por sí solo, sino que es necesaria su ingesta a través de la dieta [</w:t>
      </w:r>
      <w:r>
        <w:rPr>
          <w:b/>
        </w:rPr>
        <w:t>5</w:t>
      </w:r>
      <w:r>
        <w:rPr/>
        <w:t>], de aquí su relevancia.</w:t>
      </w:r>
    </w:p>
    <w:p>
      <w:pPr>
        <w:pStyle w:val="BodyText"/>
      </w:pPr>
    </w:p>
    <w:p>
      <w:pPr>
        <w:pStyle w:val="BodyText"/>
        <w:spacing w:line="360" w:lineRule="auto" w:before="140"/>
        <w:ind w:left="100" w:right="109"/>
        <w:jc w:val="both"/>
      </w:pPr>
      <w:r>
        <w:rPr/>
        <w:t>Los AGE son ácidos grasos poliinsaturados de </w:t>
      </w:r>
      <w:r>
        <w:rPr>
          <w:spacing w:val="-3"/>
        </w:rPr>
        <w:t>cadena </w:t>
      </w:r>
      <w:r>
        <w:rPr/>
        <w:t>relativamente larga. Se </w:t>
      </w:r>
      <w:r>
        <w:rPr>
          <w:spacing w:val="-4"/>
        </w:rPr>
        <w:t>les </w:t>
      </w:r>
      <w:r>
        <w:rPr/>
        <w:t>suele llamar Omega-3 (ω-3) u Omega-6 (ω-6) dependiendo el </w:t>
      </w:r>
      <w:r>
        <w:rPr>
          <w:spacing w:val="-3"/>
        </w:rPr>
        <w:t>lugar </w:t>
      </w:r>
      <w:r>
        <w:rPr/>
        <w:t>en el que aparezca su </w:t>
      </w:r>
      <w:r>
        <w:rPr>
          <w:spacing w:val="-3"/>
        </w:rPr>
        <w:t>primer </w:t>
      </w:r>
      <w:r>
        <w:rPr/>
        <w:t>doble enlace. Se </w:t>
      </w:r>
      <w:r>
        <w:rPr>
          <w:spacing w:val="-3"/>
        </w:rPr>
        <w:t>sabe </w:t>
      </w:r>
      <w:r>
        <w:rPr/>
        <w:t>que son compuestos fundamentales para </w:t>
      </w:r>
      <w:r>
        <w:rPr>
          <w:spacing w:val="-3"/>
        </w:rPr>
        <w:t>la </w:t>
      </w:r>
      <w:r>
        <w:rPr/>
        <w:t>salud humana en aspectos muy variados, como el crecimiento y desarrollo correctos del cuerpo, </w:t>
      </w:r>
      <w:r>
        <w:rPr>
          <w:spacing w:val="-5"/>
        </w:rPr>
        <w:t>la </w:t>
      </w:r>
      <w:r>
        <w:rPr/>
        <w:t>regulación de </w:t>
      </w:r>
      <w:r>
        <w:rPr>
          <w:spacing w:val="-3"/>
        </w:rPr>
        <w:t>la </w:t>
      </w:r>
      <w:r>
        <w:rPr/>
        <w:t>presión sanguínea,  entre  muchos  otros,  </w:t>
      </w:r>
      <w:r>
        <w:rPr>
          <w:spacing w:val="-3"/>
        </w:rPr>
        <w:t>además  </w:t>
      </w:r>
      <w:r>
        <w:rPr/>
        <w:t>de  que  son  precursores  de  prostaglandinas  </w:t>
      </w:r>
      <w:r>
        <w:rPr>
          <w:spacing w:val="55"/>
        </w:rPr>
        <w:t> </w:t>
      </w:r>
      <w:r>
        <w:rPr/>
        <w:t>[</w:t>
      </w:r>
      <w:r>
        <w:rPr>
          <w:b/>
        </w:rPr>
        <w:t>6</w:t>
      </w:r>
      <w:r>
        <w:rPr/>
        <w:t>].</w:t>
      </w:r>
    </w:p>
    <w:p>
      <w:pPr>
        <w:spacing w:after="0" w:line="360" w:lineRule="auto"/>
        <w:jc w:val="both"/>
        <w:sectPr>
          <w:pgSz w:w="11900" w:h="16840"/>
          <w:pgMar w:header="0" w:footer="1026" w:top="1380" w:bottom="1220" w:left="1340" w:right="1320"/>
        </w:sectPr>
      </w:pPr>
    </w:p>
    <w:p>
      <w:pPr>
        <w:pStyle w:val="BodyText"/>
        <w:spacing w:line="360" w:lineRule="auto" w:before="54"/>
        <w:ind w:left="100" w:right="111"/>
        <w:jc w:val="both"/>
      </w:pPr>
      <w:r>
        <w:rPr/>
        <w:t>Existen diferentes AGE, los cuales provienen principalmente de semillas, pescados o frutos; entre estos se pueden mencionar a los ácidos linoléico, docosapentanoico y araquidódico (que forman parte de la familia de los Omega-6); y a los ácidos </w:t>
      </w:r>
      <w:r>
        <w:rPr>
          <w:color w:val="221F1F"/>
        </w:rPr>
        <w:t>α-linolénico, docosahexanoico y eicosa pentanoico (que pertenecen a los Omega-3)</w:t>
      </w:r>
    </w:p>
    <w:p>
      <w:pPr>
        <w:pStyle w:val="BodyText"/>
      </w:pPr>
    </w:p>
    <w:p>
      <w:pPr>
        <w:pStyle w:val="BodyText"/>
        <w:spacing w:line="360" w:lineRule="auto" w:before="140"/>
        <w:ind w:left="100" w:right="109"/>
        <w:jc w:val="both"/>
      </w:pPr>
      <w:r>
        <w:rPr/>
        <w:t>A pesar de que los AGE poseen propiedades benéficas para el ser humano, presentan una inherente desventaja: estos son lábiles ante factores ambientales como </w:t>
      </w:r>
      <w:r>
        <w:rPr>
          <w:spacing w:val="-3"/>
        </w:rPr>
        <w:t>la </w:t>
      </w:r>
      <w:r>
        <w:rPr/>
        <w:t>oxidación, </w:t>
      </w:r>
      <w:r>
        <w:rPr>
          <w:spacing w:val="-5"/>
        </w:rPr>
        <w:t>la </w:t>
      </w:r>
      <w:r>
        <w:rPr/>
        <w:t>cual se </w:t>
      </w:r>
      <w:r>
        <w:rPr>
          <w:spacing w:val="-3"/>
        </w:rPr>
        <w:t>ve </w:t>
      </w:r>
      <w:r>
        <w:rPr/>
        <w:t>favorecida por </w:t>
      </w:r>
      <w:r>
        <w:rPr>
          <w:spacing w:val="-5"/>
        </w:rPr>
        <w:t>la </w:t>
      </w:r>
      <w:r>
        <w:rPr/>
        <w:t>temperatura y presencia de oxígeno en el aire [</w:t>
      </w:r>
      <w:r>
        <w:rPr>
          <w:b/>
        </w:rPr>
        <w:t>2</w:t>
      </w:r>
      <w:r>
        <w:rPr/>
        <w:t>], debido a su estructura insaturada. Para preservar </w:t>
      </w:r>
      <w:r>
        <w:rPr>
          <w:spacing w:val="-4"/>
        </w:rPr>
        <w:t>las</w:t>
      </w:r>
      <w:r>
        <w:rPr>
          <w:spacing w:val="52"/>
        </w:rPr>
        <w:t> </w:t>
      </w:r>
      <w:r>
        <w:rPr/>
        <w:t>propiedades nutrimentales de este aceite se utilizará </w:t>
      </w:r>
      <w:r>
        <w:rPr>
          <w:spacing w:val="-3"/>
        </w:rPr>
        <w:t>la </w:t>
      </w:r>
      <w:r>
        <w:rPr/>
        <w:t>tecnología de microencapsulación, que es una técnica de protección de compuestos susceptibles a deterioro, al proveer una barrera </w:t>
      </w:r>
      <w:r>
        <w:rPr>
          <w:spacing w:val="-3"/>
        </w:rPr>
        <w:t>física </w:t>
      </w:r>
      <w:r>
        <w:rPr/>
        <w:t>entre el componente a proteger y </w:t>
      </w:r>
      <w:r>
        <w:rPr>
          <w:spacing w:val="4"/>
        </w:rPr>
        <w:t>el </w:t>
      </w:r>
      <w:r>
        <w:rPr/>
        <w:t>agente que provoca su deterioro.</w:t>
      </w:r>
    </w:p>
    <w:p>
      <w:pPr>
        <w:pStyle w:val="BodyText"/>
      </w:pPr>
    </w:p>
    <w:p>
      <w:pPr>
        <w:pStyle w:val="BodyText"/>
        <w:spacing w:before="9"/>
        <w:rPr>
          <w:sz w:val="29"/>
        </w:rPr>
      </w:pPr>
    </w:p>
    <w:p>
      <w:pPr>
        <w:pStyle w:val="ListParagraph"/>
        <w:numPr>
          <w:ilvl w:val="1"/>
          <w:numId w:val="4"/>
        </w:numPr>
        <w:tabs>
          <w:tab w:pos="677" w:val="left" w:leader="none"/>
        </w:tabs>
        <w:spacing w:line="240" w:lineRule="auto" w:before="0" w:after="0"/>
        <w:ind w:left="677" w:right="0" w:hanging="577"/>
        <w:jc w:val="both"/>
        <w:rPr>
          <w:b/>
          <w:sz w:val="24"/>
        </w:rPr>
      </w:pPr>
      <w:r>
        <w:rPr>
          <w:b/>
          <w:sz w:val="24"/>
        </w:rPr>
        <w:t>EMULSIONES</w:t>
      </w:r>
    </w:p>
    <w:p>
      <w:pPr>
        <w:pStyle w:val="BodyText"/>
        <w:rPr>
          <w:b/>
        </w:rPr>
      </w:pPr>
    </w:p>
    <w:p>
      <w:pPr>
        <w:pStyle w:val="BodyText"/>
        <w:spacing w:before="9"/>
        <w:rPr>
          <w:b/>
          <w:sz w:val="23"/>
        </w:rPr>
      </w:pPr>
    </w:p>
    <w:p>
      <w:pPr>
        <w:pStyle w:val="BodyText"/>
        <w:spacing w:line="360" w:lineRule="auto"/>
        <w:ind w:left="100" w:right="117"/>
        <w:jc w:val="both"/>
      </w:pPr>
      <w:r>
        <w:rPr/>
        <w:t>Una emulsión consiste en dos líquidos inmiscibles (agua y aceite), donde uno se dispersa en el otro en forma de diminutas gotas [</w:t>
      </w:r>
      <w:r>
        <w:rPr>
          <w:b/>
        </w:rPr>
        <w:t>7</w:t>
      </w:r>
      <w:r>
        <w:rPr/>
        <w:t>]. Las emulsiones pueden clasificarse de acuerdo a </w:t>
      </w:r>
      <w:r>
        <w:rPr>
          <w:spacing w:val="-5"/>
        </w:rPr>
        <w:t>la </w:t>
      </w:r>
      <w:r>
        <w:rPr/>
        <w:t>distribución de las fases. Las emulsiones de tipo aceite-en-agua (O/W) son aquellas en </w:t>
      </w:r>
      <w:r>
        <w:rPr>
          <w:spacing w:val="-3"/>
        </w:rPr>
        <w:t>las  </w:t>
      </w:r>
      <w:r>
        <w:rPr/>
        <w:t>que diminutas gotas de aceite están dispersas en </w:t>
      </w:r>
      <w:r>
        <w:rPr>
          <w:spacing w:val="-3"/>
        </w:rPr>
        <w:t>la fase </w:t>
      </w:r>
      <w:r>
        <w:rPr/>
        <w:t>acuosa; como  ejemplos  pueden citarse a </w:t>
      </w:r>
      <w:r>
        <w:rPr>
          <w:spacing w:val="-5"/>
        </w:rPr>
        <w:t>la </w:t>
      </w:r>
      <w:r>
        <w:rPr/>
        <w:t>mayonesa, cremas, leche. Las emulsiones de tipo agua-en-aceite (W/O) consisten en gotas de agua dispersas en </w:t>
      </w:r>
      <w:r>
        <w:rPr>
          <w:spacing w:val="-3"/>
        </w:rPr>
        <w:t>la </w:t>
      </w:r>
      <w:r>
        <w:rPr/>
        <w:t>fase oleosa, como </w:t>
      </w:r>
      <w:r>
        <w:rPr>
          <w:spacing w:val="-3"/>
        </w:rPr>
        <w:t>la </w:t>
      </w:r>
      <w:r>
        <w:rPr/>
        <w:t>mantequilla o </w:t>
      </w:r>
      <w:r>
        <w:rPr>
          <w:spacing w:val="-5"/>
        </w:rPr>
        <w:t>la </w:t>
      </w:r>
      <w:r>
        <w:rPr/>
        <w:t>margarina. La sustancia que conforma </w:t>
      </w:r>
      <w:r>
        <w:rPr>
          <w:spacing w:val="-3"/>
        </w:rPr>
        <w:t>las </w:t>
      </w:r>
      <w:r>
        <w:rPr/>
        <w:t>gotas dispersas se </w:t>
      </w:r>
      <w:r>
        <w:rPr>
          <w:spacing w:val="-5"/>
        </w:rPr>
        <w:t>le </w:t>
      </w:r>
      <w:r>
        <w:rPr/>
        <w:t>denomina fase interna o dispersa, mientras que a </w:t>
      </w:r>
      <w:r>
        <w:rPr>
          <w:spacing w:val="-5"/>
        </w:rPr>
        <w:t>la  </w:t>
      </w:r>
      <w:r>
        <w:rPr/>
        <w:t>otra fase se </w:t>
      </w:r>
      <w:r>
        <w:rPr>
          <w:spacing w:val="-5"/>
        </w:rPr>
        <w:t>le </w:t>
      </w:r>
      <w:r>
        <w:rPr/>
        <w:t>denomina fase externa o</w:t>
      </w:r>
      <w:r>
        <w:rPr>
          <w:spacing w:val="-6"/>
        </w:rPr>
        <w:t> </w:t>
      </w:r>
      <w:r>
        <w:rPr/>
        <w:t>continua.</w:t>
      </w:r>
    </w:p>
    <w:p>
      <w:pPr>
        <w:pStyle w:val="BodyText"/>
      </w:pPr>
    </w:p>
    <w:p>
      <w:pPr>
        <w:pStyle w:val="BodyText"/>
        <w:spacing w:line="360" w:lineRule="auto" w:before="141"/>
        <w:ind w:left="100" w:right="118"/>
        <w:jc w:val="both"/>
      </w:pPr>
      <w:r>
        <w:rPr/>
        <w:t>Para determinar la concentración de gotas en una emulsión se utiliza usualmente la fracción volumétrica de la fase dispersa (ϕ), que es igual al volumen de las gotas de la emulsión dividida entre el volumen total de la emulsión; esto es importante ya que ello influenciará la textura, sabor, estabilidad y costo de la emulsión. En la industria alimenticia el proceso de emulsificación se lleva a cabo utilizando homogeneizadores, que son equipos que sitúan a los líquidos en una constante agitación mecánica.</w:t>
      </w:r>
    </w:p>
    <w:p>
      <w:pPr>
        <w:pStyle w:val="BodyText"/>
      </w:pPr>
    </w:p>
    <w:p>
      <w:pPr>
        <w:pStyle w:val="BodyText"/>
        <w:spacing w:line="360" w:lineRule="auto" w:before="140"/>
        <w:ind w:left="100" w:right="117"/>
        <w:jc w:val="both"/>
      </w:pPr>
      <w:r>
        <w:rPr/>
        <w:t>Aunque es posible formar una emulsión a partir únicamente del aceite y agua puros, muy posible y rápidamente se separarán en dos fases nuevamente, debido a que las gotas tienden a</w:t>
      </w:r>
    </w:p>
    <w:p>
      <w:pPr>
        <w:spacing w:after="0" w:line="360" w:lineRule="auto"/>
        <w:jc w:val="both"/>
        <w:sectPr>
          <w:pgSz w:w="11900" w:h="16840"/>
          <w:pgMar w:header="0" w:footer="1077" w:top="1360" w:bottom="1260" w:left="1340" w:right="1320"/>
        </w:sectPr>
      </w:pPr>
    </w:p>
    <w:p>
      <w:pPr>
        <w:pStyle w:val="BodyText"/>
        <w:spacing w:line="360" w:lineRule="auto" w:before="54"/>
        <w:ind w:left="100" w:right="117"/>
        <w:jc w:val="both"/>
      </w:pPr>
      <w:r>
        <w:rPr/>
        <w:t>juntarse y combinarse al chocar entre ellas, lo cual llevará eventualmente a la separación de fases. Lo anterior es debido a que las emulsiones son sistemas termodinámicamente inestables; no obstante, el añadir sustancias conocidas como emulsionantes durante la homogeneización puede coadyuvar a formular emulsiones cinéticamente estables.</w:t>
      </w:r>
    </w:p>
    <w:p>
      <w:pPr>
        <w:pStyle w:val="BodyText"/>
      </w:pPr>
    </w:p>
    <w:p>
      <w:pPr>
        <w:pStyle w:val="BodyText"/>
        <w:spacing w:before="8"/>
        <w:rPr>
          <w:sz w:val="29"/>
        </w:rPr>
      </w:pPr>
    </w:p>
    <w:p>
      <w:pPr>
        <w:pStyle w:val="ListParagraph"/>
        <w:numPr>
          <w:ilvl w:val="2"/>
          <w:numId w:val="4"/>
        </w:numPr>
        <w:tabs>
          <w:tab w:pos="821" w:val="left" w:leader="none"/>
        </w:tabs>
        <w:spacing w:line="240" w:lineRule="auto" w:before="1" w:after="0"/>
        <w:ind w:left="821" w:right="0" w:hanging="721"/>
        <w:jc w:val="both"/>
        <w:rPr>
          <w:b/>
          <w:sz w:val="24"/>
        </w:rPr>
      </w:pPr>
      <w:r>
        <w:rPr>
          <w:b/>
          <w:sz w:val="24"/>
        </w:rPr>
        <w:t>Emulsionantes</w:t>
      </w:r>
    </w:p>
    <w:p>
      <w:pPr>
        <w:pStyle w:val="BodyText"/>
        <w:spacing w:line="360" w:lineRule="auto" w:before="137"/>
        <w:ind w:left="100" w:right="109"/>
        <w:jc w:val="both"/>
      </w:pPr>
      <w:r>
        <w:rPr/>
        <w:t>Los emulsionantes son moléculas superficialmente activas que se adsorben a </w:t>
      </w:r>
      <w:r>
        <w:rPr>
          <w:spacing w:val="-3"/>
        </w:rPr>
        <w:t>la </w:t>
      </w:r>
      <w:r>
        <w:rPr/>
        <w:t>superficie de las gotas recientemente formadas en </w:t>
      </w:r>
      <w:r>
        <w:rPr>
          <w:spacing w:val="-5"/>
        </w:rPr>
        <w:t>la </w:t>
      </w:r>
      <w:r>
        <w:rPr/>
        <w:t>homogeneización, creando así una membrana que previene que </w:t>
      </w:r>
      <w:r>
        <w:rPr>
          <w:spacing w:val="-4"/>
        </w:rPr>
        <w:t>las </w:t>
      </w:r>
      <w:r>
        <w:rPr/>
        <w:t>gotas se acerquen una de </w:t>
      </w:r>
      <w:r>
        <w:rPr>
          <w:spacing w:val="-3"/>
        </w:rPr>
        <w:t>las </w:t>
      </w:r>
      <w:r>
        <w:rPr/>
        <w:t>otras </w:t>
      </w:r>
      <w:r>
        <w:rPr>
          <w:spacing w:val="-5"/>
        </w:rPr>
        <w:t>lo </w:t>
      </w:r>
      <w:r>
        <w:rPr/>
        <w:t>suficiente </w:t>
      </w:r>
      <w:r>
        <w:rPr>
          <w:spacing w:val="-3"/>
        </w:rPr>
        <w:t>como </w:t>
      </w:r>
      <w:r>
        <w:rPr/>
        <w:t>para que puedan agregarse. Los emulsionantes son compuestos anfifílicos que contienen grupos hidrofílicos y lipofílicos que se pueden acumular en un área interfacial. La cantidad de emulsionante en una emulsión es determinante </w:t>
      </w:r>
      <w:r>
        <w:rPr>
          <w:spacing w:val="-5"/>
        </w:rPr>
        <w:t>ya </w:t>
      </w:r>
      <w:r>
        <w:rPr/>
        <w:t>que a muy bajas o altas cantidades, dependiendo del componente, puede </w:t>
      </w:r>
      <w:r>
        <w:rPr>
          <w:spacing w:val="-3"/>
        </w:rPr>
        <w:t>llevar </w:t>
      </w:r>
      <w:r>
        <w:rPr/>
        <w:t>a una desestabilización [</w:t>
      </w:r>
      <w:r>
        <w:rPr>
          <w:b/>
        </w:rPr>
        <w:t>8</w:t>
      </w:r>
      <w:r>
        <w:rPr/>
        <w:t>]. Entre los diversos emulsionantes </w:t>
      </w:r>
      <w:r>
        <w:rPr>
          <w:spacing w:val="-3"/>
        </w:rPr>
        <w:t>se </w:t>
      </w:r>
      <w:r>
        <w:rPr/>
        <w:t>encuentran los</w:t>
      </w:r>
      <w:r>
        <w:rPr>
          <w:spacing w:val="-12"/>
        </w:rPr>
        <w:t> </w:t>
      </w:r>
      <w:r>
        <w:rPr/>
        <w:t>siguientes:</w:t>
      </w:r>
    </w:p>
    <w:p>
      <w:pPr>
        <w:pStyle w:val="ListParagraph"/>
        <w:numPr>
          <w:ilvl w:val="0"/>
          <w:numId w:val="5"/>
        </w:numPr>
        <w:tabs>
          <w:tab w:pos="821" w:val="left" w:leader="none"/>
        </w:tabs>
        <w:spacing w:line="355" w:lineRule="auto" w:before="1" w:after="0"/>
        <w:ind w:left="821" w:right="117" w:hanging="361"/>
        <w:jc w:val="both"/>
        <w:rPr>
          <w:sz w:val="24"/>
        </w:rPr>
      </w:pPr>
      <w:r>
        <w:rPr>
          <w:i/>
          <w:sz w:val="24"/>
        </w:rPr>
        <w:t>Proteínas</w:t>
      </w:r>
      <w:r>
        <w:rPr>
          <w:sz w:val="24"/>
        </w:rPr>
        <w:t>: Son compuestos superficialmente activos que presentan partes hidrofílicas e hidrofóbicas en sus cadenas polipéptidas, </w:t>
      </w:r>
      <w:r>
        <w:rPr>
          <w:spacing w:val="-5"/>
          <w:sz w:val="24"/>
        </w:rPr>
        <w:t>lo </w:t>
      </w:r>
      <w:r>
        <w:rPr>
          <w:sz w:val="24"/>
        </w:rPr>
        <w:t>que hace que puedan adsorberse en </w:t>
      </w:r>
      <w:r>
        <w:rPr>
          <w:spacing w:val="-5"/>
          <w:sz w:val="24"/>
        </w:rPr>
        <w:t>la </w:t>
      </w:r>
      <w:r>
        <w:rPr>
          <w:sz w:val="24"/>
        </w:rPr>
        <w:t>interfase aceite-agua y recubrir las gotas de aceite durante </w:t>
      </w:r>
      <w:r>
        <w:rPr>
          <w:spacing w:val="-5"/>
          <w:sz w:val="24"/>
        </w:rPr>
        <w:t>la </w:t>
      </w:r>
      <w:r>
        <w:rPr>
          <w:sz w:val="24"/>
        </w:rPr>
        <w:t>homogenización  Además, son capaces de prevenir </w:t>
      </w:r>
      <w:r>
        <w:rPr>
          <w:spacing w:val="-3"/>
          <w:sz w:val="24"/>
        </w:rPr>
        <w:t>la </w:t>
      </w:r>
      <w:r>
        <w:rPr>
          <w:sz w:val="24"/>
        </w:rPr>
        <w:t>agregación de las gotas debido a </w:t>
      </w:r>
      <w:r>
        <w:rPr>
          <w:spacing w:val="-3"/>
          <w:sz w:val="24"/>
        </w:rPr>
        <w:t>las </w:t>
      </w:r>
      <w:r>
        <w:rPr>
          <w:sz w:val="24"/>
        </w:rPr>
        <w:t>cargas de los </w:t>
      </w:r>
      <w:r>
        <w:rPr>
          <w:position w:val="2"/>
          <w:sz w:val="24"/>
        </w:rPr>
        <w:t>grupos -COO</w:t>
      </w:r>
      <w:r>
        <w:rPr>
          <w:position w:val="11"/>
          <w:sz w:val="16"/>
        </w:rPr>
        <w:t>- </w:t>
      </w:r>
      <w:r>
        <w:rPr>
          <w:position w:val="2"/>
          <w:sz w:val="24"/>
        </w:rPr>
        <w:t>y -NH</w:t>
      </w:r>
      <w:r>
        <w:rPr>
          <w:sz w:val="16"/>
        </w:rPr>
        <w:t>3</w:t>
      </w:r>
      <w:r>
        <w:rPr>
          <w:position w:val="11"/>
          <w:sz w:val="16"/>
        </w:rPr>
        <w:t>+ </w:t>
      </w:r>
      <w:r>
        <w:rPr>
          <w:position w:val="2"/>
          <w:sz w:val="24"/>
        </w:rPr>
        <w:t>que generan repulsión electroestática. Como </w:t>
      </w:r>
      <w:r>
        <w:rPr>
          <w:spacing w:val="-3"/>
          <w:position w:val="2"/>
          <w:sz w:val="24"/>
        </w:rPr>
        <w:t>ejemplo </w:t>
      </w:r>
      <w:r>
        <w:rPr>
          <w:position w:val="2"/>
          <w:sz w:val="24"/>
        </w:rPr>
        <w:t>se  </w:t>
      </w:r>
      <w:r>
        <w:rPr>
          <w:sz w:val="24"/>
        </w:rPr>
        <w:t>pueden mencionar </w:t>
      </w:r>
      <w:r>
        <w:rPr>
          <w:spacing w:val="-3"/>
          <w:sz w:val="24"/>
        </w:rPr>
        <w:t>las </w:t>
      </w:r>
      <w:r>
        <w:rPr>
          <w:sz w:val="24"/>
        </w:rPr>
        <w:t>proteínas de suero de leche y de soya, caseinato de </w:t>
      </w:r>
      <w:r>
        <w:rPr>
          <w:spacing w:val="-3"/>
          <w:sz w:val="24"/>
        </w:rPr>
        <w:t>sodio</w:t>
      </w:r>
      <w:r>
        <w:rPr>
          <w:spacing w:val="9"/>
          <w:sz w:val="24"/>
        </w:rPr>
        <w:t> </w:t>
      </w:r>
      <w:r>
        <w:rPr>
          <w:sz w:val="24"/>
        </w:rPr>
        <w:t>[</w:t>
      </w:r>
      <w:r>
        <w:rPr>
          <w:b/>
          <w:sz w:val="24"/>
        </w:rPr>
        <w:t>9</w:t>
      </w:r>
      <w:r>
        <w:rPr>
          <w:sz w:val="24"/>
        </w:rPr>
        <w:t>].</w:t>
      </w:r>
    </w:p>
    <w:p>
      <w:pPr>
        <w:pStyle w:val="ListParagraph"/>
        <w:numPr>
          <w:ilvl w:val="0"/>
          <w:numId w:val="5"/>
        </w:numPr>
        <w:tabs>
          <w:tab w:pos="821" w:val="left" w:leader="none"/>
        </w:tabs>
        <w:spacing w:line="357" w:lineRule="auto" w:before="7" w:after="0"/>
        <w:ind w:left="821" w:right="112" w:hanging="361"/>
        <w:jc w:val="both"/>
        <w:rPr>
          <w:sz w:val="24"/>
        </w:rPr>
      </w:pPr>
      <w:r>
        <w:rPr>
          <w:i/>
          <w:sz w:val="24"/>
        </w:rPr>
        <w:t>Polisacáridos</w:t>
      </w:r>
      <w:r>
        <w:rPr>
          <w:sz w:val="24"/>
        </w:rPr>
        <w:t>: son moléculas altamente hidrofílicas. Aunque </w:t>
      </w:r>
      <w:r>
        <w:rPr>
          <w:spacing w:val="-3"/>
          <w:sz w:val="24"/>
        </w:rPr>
        <w:t>no </w:t>
      </w:r>
      <w:r>
        <w:rPr>
          <w:sz w:val="24"/>
        </w:rPr>
        <w:t>son especialmente activas superficialmente y por ende buenos emulsionantes, estabilizan </w:t>
      </w:r>
      <w:r>
        <w:rPr>
          <w:spacing w:val="-5"/>
          <w:sz w:val="24"/>
        </w:rPr>
        <w:t>la </w:t>
      </w:r>
      <w:r>
        <w:rPr>
          <w:sz w:val="24"/>
        </w:rPr>
        <w:t>emulsión al aumentar </w:t>
      </w:r>
      <w:r>
        <w:rPr>
          <w:spacing w:val="-3"/>
          <w:sz w:val="24"/>
        </w:rPr>
        <w:t>la </w:t>
      </w:r>
      <w:r>
        <w:rPr>
          <w:sz w:val="24"/>
        </w:rPr>
        <w:t>viscosidad de </w:t>
      </w:r>
      <w:r>
        <w:rPr>
          <w:spacing w:val="-5"/>
          <w:sz w:val="24"/>
        </w:rPr>
        <w:t>la </w:t>
      </w:r>
      <w:r>
        <w:rPr>
          <w:sz w:val="24"/>
        </w:rPr>
        <w:t>misma. Los almidones son un ejemplo de</w:t>
      </w:r>
      <w:r>
        <w:rPr>
          <w:spacing w:val="5"/>
          <w:sz w:val="24"/>
        </w:rPr>
        <w:t> </w:t>
      </w:r>
      <w:r>
        <w:rPr>
          <w:sz w:val="24"/>
        </w:rPr>
        <w:t>estos.</w:t>
      </w:r>
    </w:p>
    <w:p>
      <w:pPr>
        <w:pStyle w:val="ListParagraph"/>
        <w:numPr>
          <w:ilvl w:val="0"/>
          <w:numId w:val="5"/>
        </w:numPr>
        <w:tabs>
          <w:tab w:pos="821" w:val="left" w:leader="none"/>
        </w:tabs>
        <w:spacing w:line="360" w:lineRule="auto" w:before="3" w:after="0"/>
        <w:ind w:left="821" w:right="118" w:hanging="361"/>
        <w:jc w:val="both"/>
        <w:rPr>
          <w:sz w:val="24"/>
        </w:rPr>
      </w:pPr>
      <w:r>
        <w:rPr>
          <w:i/>
          <w:sz w:val="24"/>
        </w:rPr>
        <w:t>Fosfolípidos</w:t>
      </w:r>
      <w:r>
        <w:rPr>
          <w:sz w:val="24"/>
        </w:rPr>
        <w:t>: son moléculas anfifílicas presentes en las células de membranas animales, de plantas, y de especies microbianas. El fosfolípido principal es </w:t>
      </w:r>
      <w:r>
        <w:rPr>
          <w:spacing w:val="-3"/>
          <w:sz w:val="24"/>
        </w:rPr>
        <w:t>la </w:t>
      </w:r>
      <w:r>
        <w:rPr>
          <w:sz w:val="24"/>
        </w:rPr>
        <w:t>lecitina. No obstante de ser superficialmente activos, </w:t>
      </w:r>
      <w:r>
        <w:rPr>
          <w:spacing w:val="-3"/>
          <w:sz w:val="24"/>
        </w:rPr>
        <w:t>no </w:t>
      </w:r>
      <w:r>
        <w:rPr>
          <w:sz w:val="24"/>
        </w:rPr>
        <w:t>son buenos emulsionantes </w:t>
      </w:r>
      <w:r>
        <w:rPr>
          <w:spacing w:val="-5"/>
          <w:sz w:val="24"/>
        </w:rPr>
        <w:t>ya </w:t>
      </w:r>
      <w:r>
        <w:rPr>
          <w:sz w:val="24"/>
        </w:rPr>
        <w:t>que forman capas interfaciales susceptibles de coalescer; a pesar de esto, se </w:t>
      </w:r>
      <w:r>
        <w:rPr>
          <w:spacing w:val="-3"/>
          <w:sz w:val="24"/>
        </w:rPr>
        <w:t>ha </w:t>
      </w:r>
      <w:r>
        <w:rPr>
          <w:sz w:val="24"/>
        </w:rPr>
        <w:t>visto que ciertos tipos de lecitina son efectivos en </w:t>
      </w:r>
      <w:r>
        <w:rPr>
          <w:spacing w:val="-5"/>
          <w:sz w:val="24"/>
        </w:rPr>
        <w:t>la </w:t>
      </w:r>
      <w:r>
        <w:rPr>
          <w:sz w:val="24"/>
        </w:rPr>
        <w:t>formación y estabilización de </w:t>
      </w:r>
      <w:r>
        <w:rPr>
          <w:spacing w:val="-5"/>
          <w:sz w:val="24"/>
        </w:rPr>
        <w:t>la </w:t>
      </w:r>
      <w:r>
        <w:rPr>
          <w:sz w:val="24"/>
        </w:rPr>
        <w:t>emulsión, dependiendo de los fosfolípidos que</w:t>
      </w:r>
      <w:r>
        <w:rPr>
          <w:spacing w:val="-17"/>
          <w:sz w:val="24"/>
        </w:rPr>
        <w:t> </w:t>
      </w:r>
      <w:r>
        <w:rPr>
          <w:sz w:val="24"/>
        </w:rPr>
        <w:t>contenga.</w:t>
      </w:r>
    </w:p>
    <w:p>
      <w:pPr>
        <w:spacing w:after="0" w:line="360" w:lineRule="auto"/>
        <w:jc w:val="both"/>
        <w:rPr>
          <w:sz w:val="24"/>
        </w:rPr>
        <w:sectPr>
          <w:pgSz w:w="11900" w:h="16840"/>
          <w:pgMar w:header="0" w:footer="1026" w:top="1360" w:bottom="1220" w:left="1340" w:right="1320"/>
        </w:sectPr>
      </w:pPr>
    </w:p>
    <w:p>
      <w:pPr>
        <w:pStyle w:val="ListParagraph"/>
        <w:numPr>
          <w:ilvl w:val="2"/>
          <w:numId w:val="4"/>
        </w:numPr>
        <w:tabs>
          <w:tab w:pos="821" w:val="left" w:leader="none"/>
        </w:tabs>
        <w:spacing w:line="240" w:lineRule="auto" w:before="54" w:after="0"/>
        <w:ind w:left="821" w:right="0" w:hanging="721"/>
        <w:jc w:val="both"/>
        <w:rPr>
          <w:b/>
          <w:sz w:val="24"/>
        </w:rPr>
      </w:pPr>
      <w:r>
        <w:rPr>
          <w:b/>
          <w:sz w:val="24"/>
        </w:rPr>
        <w:t>Factores que afectan </w:t>
      </w:r>
      <w:r>
        <w:rPr>
          <w:b/>
          <w:spacing w:val="-3"/>
          <w:sz w:val="24"/>
        </w:rPr>
        <w:t>la </w:t>
      </w:r>
      <w:r>
        <w:rPr>
          <w:b/>
          <w:sz w:val="24"/>
        </w:rPr>
        <w:t>estabilidad de las</w:t>
      </w:r>
      <w:r>
        <w:rPr>
          <w:b/>
          <w:spacing w:val="-8"/>
          <w:sz w:val="24"/>
        </w:rPr>
        <w:t> </w:t>
      </w:r>
      <w:r>
        <w:rPr>
          <w:b/>
          <w:sz w:val="24"/>
        </w:rPr>
        <w:t>emulsiones</w:t>
      </w:r>
    </w:p>
    <w:p>
      <w:pPr>
        <w:pStyle w:val="BodyText"/>
        <w:spacing w:line="362" w:lineRule="auto" w:before="137"/>
        <w:ind w:left="100" w:right="116"/>
        <w:jc w:val="both"/>
      </w:pPr>
      <w:r>
        <w:rPr/>
        <w:t>Diferentes aspectos deben tomarse en cuenta al momento de formular una emulsión. Entre los más importantes es </w:t>
      </w:r>
      <w:r>
        <w:rPr>
          <w:spacing w:val="-5"/>
        </w:rPr>
        <w:t>la </w:t>
      </w:r>
      <w:r>
        <w:rPr/>
        <w:t>elección del emulsionante, el cual debe tener </w:t>
      </w:r>
      <w:r>
        <w:rPr>
          <w:spacing w:val="-4"/>
        </w:rPr>
        <w:t>las</w:t>
      </w:r>
      <w:r>
        <w:rPr>
          <w:spacing w:val="52"/>
        </w:rPr>
        <w:t> </w:t>
      </w:r>
      <w:r>
        <w:rPr/>
        <w:t>siguientes características [</w:t>
      </w:r>
      <w:r>
        <w:rPr>
          <w:b/>
        </w:rPr>
        <w:t>10</w:t>
      </w:r>
      <w:r>
        <w:rPr/>
        <w:t>]:</w:t>
      </w:r>
    </w:p>
    <w:p>
      <w:pPr>
        <w:pStyle w:val="ListParagraph"/>
        <w:numPr>
          <w:ilvl w:val="0"/>
          <w:numId w:val="5"/>
        </w:numPr>
        <w:tabs>
          <w:tab w:pos="835" w:val="left" w:leader="none"/>
          <w:tab w:pos="836" w:val="left" w:leader="none"/>
        </w:tabs>
        <w:spacing w:line="292" w:lineRule="exact" w:before="0" w:after="0"/>
        <w:ind w:left="835" w:right="0" w:hanging="312"/>
        <w:jc w:val="left"/>
        <w:rPr>
          <w:sz w:val="24"/>
        </w:rPr>
      </w:pPr>
      <w:r>
        <w:rPr>
          <w:i/>
          <w:sz w:val="24"/>
        </w:rPr>
        <w:t>Actividad superficial</w:t>
      </w:r>
      <w:r>
        <w:rPr>
          <w:sz w:val="24"/>
        </w:rPr>
        <w:t>: debe adsorberse en </w:t>
      </w:r>
      <w:r>
        <w:rPr>
          <w:spacing w:val="-5"/>
          <w:sz w:val="24"/>
        </w:rPr>
        <w:t>la </w:t>
      </w:r>
      <w:r>
        <w:rPr>
          <w:sz w:val="24"/>
        </w:rPr>
        <w:t>interfase</w:t>
      </w:r>
      <w:r>
        <w:rPr>
          <w:spacing w:val="-6"/>
          <w:sz w:val="24"/>
        </w:rPr>
        <w:t> </w:t>
      </w:r>
      <w:r>
        <w:rPr>
          <w:sz w:val="24"/>
        </w:rPr>
        <w:t>agua-aceite</w:t>
      </w:r>
    </w:p>
    <w:p>
      <w:pPr>
        <w:pStyle w:val="ListParagraph"/>
        <w:numPr>
          <w:ilvl w:val="0"/>
          <w:numId w:val="5"/>
        </w:numPr>
        <w:tabs>
          <w:tab w:pos="836" w:val="left" w:leader="none"/>
        </w:tabs>
        <w:spacing w:line="357" w:lineRule="auto" w:before="138" w:after="0"/>
        <w:ind w:left="883" w:right="118" w:hanging="360"/>
        <w:jc w:val="both"/>
        <w:rPr>
          <w:sz w:val="24"/>
        </w:rPr>
      </w:pPr>
      <w:r>
        <w:rPr>
          <w:i/>
          <w:sz w:val="24"/>
        </w:rPr>
        <w:t>Cinética de adsorción</w:t>
      </w:r>
      <w:r>
        <w:rPr>
          <w:sz w:val="24"/>
        </w:rPr>
        <w:t>: debe adsorberse rápidamente a </w:t>
      </w:r>
      <w:r>
        <w:rPr>
          <w:spacing w:val="-5"/>
          <w:sz w:val="24"/>
        </w:rPr>
        <w:t>la </w:t>
      </w:r>
      <w:r>
        <w:rPr>
          <w:sz w:val="24"/>
        </w:rPr>
        <w:t>superficie de </w:t>
      </w:r>
      <w:r>
        <w:rPr>
          <w:spacing w:val="-3"/>
          <w:sz w:val="24"/>
        </w:rPr>
        <w:t>las </w:t>
      </w:r>
      <w:r>
        <w:rPr>
          <w:sz w:val="24"/>
        </w:rPr>
        <w:t>gotas durante </w:t>
      </w:r>
      <w:r>
        <w:rPr>
          <w:spacing w:val="-3"/>
          <w:sz w:val="24"/>
        </w:rPr>
        <w:t>la </w:t>
      </w:r>
      <w:r>
        <w:rPr>
          <w:sz w:val="24"/>
        </w:rPr>
        <w:t>homogeneización con el </w:t>
      </w:r>
      <w:r>
        <w:rPr>
          <w:spacing w:val="-3"/>
          <w:sz w:val="24"/>
        </w:rPr>
        <w:t>fin </w:t>
      </w:r>
      <w:r>
        <w:rPr>
          <w:sz w:val="24"/>
        </w:rPr>
        <w:t>de reducir </w:t>
      </w:r>
      <w:r>
        <w:rPr>
          <w:spacing w:val="-5"/>
          <w:sz w:val="24"/>
        </w:rPr>
        <w:t>la </w:t>
      </w:r>
      <w:r>
        <w:rPr>
          <w:sz w:val="24"/>
        </w:rPr>
        <w:t>tensión superficial y evitar agregaciones de</w:t>
      </w:r>
      <w:r>
        <w:rPr>
          <w:spacing w:val="-6"/>
          <w:sz w:val="24"/>
        </w:rPr>
        <w:t> </w:t>
      </w:r>
      <w:r>
        <w:rPr>
          <w:sz w:val="24"/>
        </w:rPr>
        <w:t>gotas.</w:t>
      </w:r>
    </w:p>
    <w:p>
      <w:pPr>
        <w:pStyle w:val="ListParagraph"/>
        <w:numPr>
          <w:ilvl w:val="0"/>
          <w:numId w:val="5"/>
        </w:numPr>
        <w:tabs>
          <w:tab w:pos="836" w:val="left" w:leader="none"/>
        </w:tabs>
        <w:spacing w:line="355" w:lineRule="auto" w:before="3" w:after="0"/>
        <w:ind w:left="883" w:right="124" w:hanging="360"/>
        <w:jc w:val="both"/>
        <w:rPr>
          <w:sz w:val="24"/>
        </w:rPr>
      </w:pPr>
      <w:r>
        <w:rPr>
          <w:i/>
          <w:sz w:val="24"/>
        </w:rPr>
        <w:t>Reducir la tensión interfacial</w:t>
      </w:r>
      <w:r>
        <w:rPr>
          <w:sz w:val="24"/>
        </w:rPr>
        <w:t>: esto facilita </w:t>
      </w:r>
      <w:r>
        <w:rPr>
          <w:spacing w:val="-3"/>
          <w:sz w:val="24"/>
        </w:rPr>
        <w:t>la </w:t>
      </w:r>
      <w:r>
        <w:rPr>
          <w:sz w:val="24"/>
        </w:rPr>
        <w:t>ruptura de las gotas durante </w:t>
      </w:r>
      <w:r>
        <w:rPr>
          <w:spacing w:val="-3"/>
          <w:sz w:val="24"/>
        </w:rPr>
        <w:t>la </w:t>
      </w:r>
      <w:r>
        <w:rPr>
          <w:sz w:val="24"/>
        </w:rPr>
        <w:t>homogeneización.</w:t>
      </w:r>
    </w:p>
    <w:p>
      <w:pPr>
        <w:pStyle w:val="ListParagraph"/>
        <w:numPr>
          <w:ilvl w:val="0"/>
          <w:numId w:val="5"/>
        </w:numPr>
        <w:tabs>
          <w:tab w:pos="836" w:val="left" w:leader="none"/>
        </w:tabs>
        <w:spacing w:line="357" w:lineRule="auto" w:before="6" w:after="0"/>
        <w:ind w:left="883" w:right="117" w:hanging="360"/>
        <w:jc w:val="both"/>
        <w:rPr>
          <w:sz w:val="24"/>
        </w:rPr>
      </w:pPr>
      <w:r>
        <w:rPr>
          <w:i/>
          <w:sz w:val="24"/>
        </w:rPr>
        <w:t>Estabilización</w:t>
      </w:r>
      <w:r>
        <w:rPr>
          <w:sz w:val="24"/>
        </w:rPr>
        <w:t>: debe proteger a </w:t>
      </w:r>
      <w:r>
        <w:rPr>
          <w:spacing w:val="-3"/>
          <w:sz w:val="24"/>
        </w:rPr>
        <w:t>las </w:t>
      </w:r>
      <w:r>
        <w:rPr>
          <w:sz w:val="24"/>
        </w:rPr>
        <w:t>gotas a las que se encuentra adsorbido en momentos en </w:t>
      </w:r>
      <w:r>
        <w:rPr>
          <w:spacing w:val="-4"/>
          <w:sz w:val="24"/>
        </w:rPr>
        <w:t>las</w:t>
      </w:r>
      <w:r>
        <w:rPr>
          <w:spacing w:val="52"/>
          <w:sz w:val="24"/>
        </w:rPr>
        <w:t> </w:t>
      </w:r>
      <w:r>
        <w:rPr>
          <w:sz w:val="24"/>
        </w:rPr>
        <w:t>que exista un choque entre </w:t>
      </w:r>
      <w:r>
        <w:rPr>
          <w:spacing w:val="-3"/>
          <w:sz w:val="24"/>
        </w:rPr>
        <w:t>las </w:t>
      </w:r>
      <w:r>
        <w:rPr>
          <w:sz w:val="24"/>
        </w:rPr>
        <w:t>mismas gotas, al generar interacciones repulsivas </w:t>
      </w:r>
      <w:r>
        <w:rPr>
          <w:spacing w:val="-3"/>
          <w:sz w:val="24"/>
        </w:rPr>
        <w:t>ya </w:t>
      </w:r>
      <w:r>
        <w:rPr>
          <w:sz w:val="24"/>
        </w:rPr>
        <w:t>sea electrostática o</w:t>
      </w:r>
      <w:r>
        <w:rPr>
          <w:spacing w:val="-20"/>
          <w:sz w:val="24"/>
        </w:rPr>
        <w:t> </w:t>
      </w:r>
      <w:r>
        <w:rPr>
          <w:sz w:val="24"/>
        </w:rPr>
        <w:t>estéricamente.</w:t>
      </w:r>
    </w:p>
    <w:p>
      <w:pPr>
        <w:pStyle w:val="BodyText"/>
      </w:pPr>
    </w:p>
    <w:p>
      <w:pPr>
        <w:pStyle w:val="BodyText"/>
        <w:spacing w:line="360" w:lineRule="auto" w:before="148"/>
        <w:ind w:left="100" w:right="110"/>
        <w:jc w:val="both"/>
      </w:pPr>
      <w:r>
        <w:rPr/>
        <w:t>Existen diferentes mecanismos de desestabilización que finalmente rompen  </w:t>
      </w:r>
      <w:r>
        <w:rPr>
          <w:spacing w:val="-5"/>
        </w:rPr>
        <w:t>la  </w:t>
      </w:r>
      <w:r>
        <w:rPr/>
        <w:t>emulsión, como </w:t>
      </w:r>
      <w:r>
        <w:rPr>
          <w:spacing w:val="-5"/>
        </w:rPr>
        <w:t>lo </w:t>
      </w:r>
      <w:r>
        <w:rPr/>
        <w:t>son: </w:t>
      </w:r>
      <w:r>
        <w:rPr>
          <w:spacing w:val="-5"/>
        </w:rPr>
        <w:t>la </w:t>
      </w:r>
      <w:r>
        <w:rPr/>
        <w:t>cremación, </w:t>
      </w:r>
      <w:r>
        <w:rPr>
          <w:spacing w:val="-5"/>
        </w:rPr>
        <w:t>la </w:t>
      </w:r>
      <w:r>
        <w:rPr/>
        <w:t>floculación, y </w:t>
      </w:r>
      <w:r>
        <w:rPr>
          <w:spacing w:val="-3"/>
        </w:rPr>
        <w:t>la </w:t>
      </w:r>
      <w:r>
        <w:rPr/>
        <w:t>coalescencia. La naturaleza del emulsionante tiene un impacto directo en dichos mecanismos. Primeramente, el tamaño de las gotas producidas durante </w:t>
      </w:r>
      <w:r>
        <w:rPr>
          <w:spacing w:val="-5"/>
        </w:rPr>
        <w:t>la </w:t>
      </w:r>
      <w:r>
        <w:rPr/>
        <w:t>homogeneización influye en </w:t>
      </w:r>
      <w:r>
        <w:rPr>
          <w:spacing w:val="-3"/>
        </w:rPr>
        <w:t>la </w:t>
      </w:r>
      <w:r>
        <w:rPr/>
        <w:t>tendencia a cremar </w:t>
      </w:r>
      <w:r>
        <w:rPr>
          <w:spacing w:val="-5"/>
        </w:rPr>
        <w:t>la </w:t>
      </w:r>
      <w:r>
        <w:rPr/>
        <w:t>emulsión, con gotas </w:t>
      </w:r>
      <w:r>
        <w:rPr>
          <w:spacing w:val="-3"/>
        </w:rPr>
        <w:t>más </w:t>
      </w:r>
      <w:r>
        <w:rPr/>
        <w:t>diminutas moviéndose más lentamente. De este modo, el emulsionante que  produce gotas </w:t>
      </w:r>
      <w:r>
        <w:rPr>
          <w:spacing w:val="-3"/>
        </w:rPr>
        <w:t>más </w:t>
      </w:r>
      <w:r>
        <w:rPr/>
        <w:t>pequeñas durante </w:t>
      </w:r>
      <w:r>
        <w:rPr>
          <w:spacing w:val="-5"/>
        </w:rPr>
        <w:t>la </w:t>
      </w:r>
      <w:r>
        <w:rPr/>
        <w:t>homogeneización, proveerá </w:t>
      </w:r>
      <w:r>
        <w:rPr>
          <w:spacing w:val="-3"/>
        </w:rPr>
        <w:t>mejor </w:t>
      </w:r>
      <w:r>
        <w:rPr/>
        <w:t>estabilidad debida  a </w:t>
      </w:r>
      <w:r>
        <w:rPr>
          <w:spacing w:val="-3"/>
        </w:rPr>
        <w:t>la </w:t>
      </w:r>
      <w:r>
        <w:rPr/>
        <w:t>separación gravitacional. Segundo, </w:t>
      </w:r>
      <w:r>
        <w:rPr>
          <w:spacing w:val="-5"/>
        </w:rPr>
        <w:t>la </w:t>
      </w:r>
      <w:r>
        <w:rPr/>
        <w:t>capa de emulsionante afecta en </w:t>
      </w:r>
      <w:r>
        <w:rPr>
          <w:spacing w:val="-3"/>
        </w:rPr>
        <w:t>las </w:t>
      </w:r>
      <w:r>
        <w:rPr/>
        <w:t>interacciones repulsivas o atractivas que son las que tienden a </w:t>
      </w:r>
      <w:r>
        <w:rPr>
          <w:spacing w:val="-3"/>
        </w:rPr>
        <w:t>inhibir la </w:t>
      </w:r>
      <w:r>
        <w:rPr/>
        <w:t>agregación de gotas: los dos principales mecanismos de estabilización de un emulsionante </w:t>
      </w:r>
      <w:r>
        <w:rPr>
          <w:spacing w:val="3"/>
        </w:rPr>
        <w:t>son </w:t>
      </w:r>
      <w:r>
        <w:rPr/>
        <w:t>estéricos y electroestáticos. En comparación se prefiere el primero debido a que es menos sensible a ciertas condiciones ambientales como pH o fuerza iónica. No obstante, es de vital importancia que el emulsionante electo sea capaz de soportar los cambios en las condiciones durante </w:t>
      </w:r>
      <w:r>
        <w:rPr>
          <w:spacing w:val="-5"/>
        </w:rPr>
        <w:t>la </w:t>
      </w:r>
      <w:r>
        <w:rPr/>
        <w:t>manufactura, transporte, almacenamiento y uso, para que </w:t>
      </w:r>
      <w:r>
        <w:rPr>
          <w:spacing w:val="-5"/>
        </w:rPr>
        <w:t>la </w:t>
      </w:r>
      <w:r>
        <w:rPr/>
        <w:t>emulsión permanezca en condiciones óptimas</w:t>
      </w:r>
      <w:r>
        <w:rPr>
          <w:spacing w:val="-8"/>
        </w:rPr>
        <w:t> </w:t>
      </w:r>
      <w:r>
        <w:rPr/>
        <w:t>[</w:t>
      </w:r>
      <w:r>
        <w:rPr>
          <w:b/>
        </w:rPr>
        <w:t>10</w:t>
      </w:r>
      <w:r>
        <w:rPr/>
        <w:t>].</w:t>
      </w:r>
    </w:p>
    <w:p>
      <w:pPr>
        <w:pStyle w:val="BodyText"/>
      </w:pPr>
    </w:p>
    <w:p>
      <w:pPr>
        <w:pStyle w:val="BodyText"/>
        <w:spacing w:before="9"/>
        <w:rPr>
          <w:sz w:val="29"/>
        </w:rPr>
      </w:pPr>
    </w:p>
    <w:p>
      <w:pPr>
        <w:pStyle w:val="ListParagraph"/>
        <w:numPr>
          <w:ilvl w:val="1"/>
          <w:numId w:val="4"/>
        </w:numPr>
        <w:tabs>
          <w:tab w:pos="677" w:val="left" w:leader="none"/>
        </w:tabs>
        <w:spacing w:line="240" w:lineRule="auto" w:before="0" w:after="0"/>
        <w:ind w:left="677" w:right="0" w:hanging="577"/>
        <w:jc w:val="both"/>
        <w:rPr>
          <w:b/>
          <w:sz w:val="24"/>
        </w:rPr>
      </w:pPr>
      <w:r>
        <w:rPr>
          <w:b/>
          <w:sz w:val="24"/>
        </w:rPr>
        <w:t>MICROENCAPSULACIÓN</w:t>
      </w:r>
    </w:p>
    <w:p>
      <w:pPr>
        <w:pStyle w:val="BodyText"/>
        <w:rPr>
          <w:b/>
        </w:rPr>
      </w:pPr>
    </w:p>
    <w:p>
      <w:pPr>
        <w:pStyle w:val="BodyText"/>
        <w:spacing w:before="2"/>
        <w:rPr>
          <w:b/>
        </w:rPr>
      </w:pPr>
    </w:p>
    <w:p>
      <w:pPr>
        <w:pStyle w:val="BodyText"/>
        <w:spacing w:line="360" w:lineRule="auto"/>
        <w:ind w:left="100" w:right="114"/>
        <w:jc w:val="both"/>
      </w:pPr>
      <w:r>
        <w:rPr/>
        <w:t>La microencapsulación es una técnica en </w:t>
      </w:r>
      <w:r>
        <w:rPr>
          <w:spacing w:val="-5"/>
        </w:rPr>
        <w:t>la </w:t>
      </w:r>
      <w:r>
        <w:rPr/>
        <w:t>cual un componente es entrampado por un material o mezcla de materiales para </w:t>
      </w:r>
      <w:r>
        <w:rPr>
          <w:spacing w:val="-3"/>
        </w:rPr>
        <w:t>formar </w:t>
      </w:r>
      <w:r>
        <w:rPr/>
        <w:t>cápsulas pequeñas. Al material en el interior </w:t>
      </w:r>
      <w:r>
        <w:rPr>
          <w:spacing w:val="56"/>
        </w:rPr>
        <w:t> </w:t>
      </w:r>
      <w:r>
        <w:rPr/>
        <w:t>del</w:t>
      </w:r>
    </w:p>
    <w:p>
      <w:pPr>
        <w:spacing w:after="0" w:line="360" w:lineRule="auto"/>
        <w:jc w:val="both"/>
        <w:sectPr>
          <w:pgSz w:w="11900" w:h="16840"/>
          <w:pgMar w:header="0" w:footer="1077" w:top="1360" w:bottom="1260" w:left="1340" w:right="1320"/>
        </w:sectPr>
      </w:pPr>
    </w:p>
    <w:p>
      <w:pPr>
        <w:pStyle w:val="BodyText"/>
        <w:spacing w:line="360" w:lineRule="auto" w:before="54"/>
        <w:ind w:left="100" w:right="110"/>
        <w:jc w:val="both"/>
      </w:pPr>
      <w:r>
        <w:rPr/>
        <w:t>recubrimiento se </w:t>
      </w:r>
      <w:r>
        <w:rPr>
          <w:spacing w:val="-5"/>
        </w:rPr>
        <w:t>le </w:t>
      </w:r>
      <w:r>
        <w:rPr/>
        <w:t>denomina núcleo, material activo o interno, y puede estar compuesto de uno o </w:t>
      </w:r>
      <w:r>
        <w:rPr>
          <w:spacing w:val="-3"/>
        </w:rPr>
        <w:t>más </w:t>
      </w:r>
      <w:r>
        <w:rPr/>
        <w:t>componentes; al material que envuelve al núcleo se </w:t>
      </w:r>
      <w:r>
        <w:rPr>
          <w:spacing w:val="-5"/>
        </w:rPr>
        <w:t>le </w:t>
      </w:r>
      <w:r>
        <w:rPr>
          <w:spacing w:val="-3"/>
        </w:rPr>
        <w:t>llama  </w:t>
      </w:r>
      <w:r>
        <w:rPr/>
        <w:t>revestimiento, material de </w:t>
      </w:r>
      <w:r>
        <w:rPr>
          <w:spacing w:val="-3"/>
        </w:rPr>
        <w:t>la </w:t>
      </w:r>
      <w:r>
        <w:rPr/>
        <w:t>pared, portador o agente encapsulante. La elección del material de pared dependerá de </w:t>
      </w:r>
      <w:r>
        <w:rPr>
          <w:spacing w:val="-5"/>
        </w:rPr>
        <w:t>la </w:t>
      </w:r>
      <w:r>
        <w:rPr/>
        <w:t>naturaleza del material interno, del proceso de encapsulación, del costo de  los materiales y de los requerimientos y objetivos del producto</w:t>
      </w:r>
      <w:r>
        <w:rPr>
          <w:spacing w:val="-16"/>
        </w:rPr>
        <w:t> </w:t>
      </w:r>
      <w:r>
        <w:rPr/>
        <w:t>[</w:t>
      </w:r>
      <w:r>
        <w:rPr>
          <w:b/>
        </w:rPr>
        <w:t>11</w:t>
      </w:r>
      <w:r>
        <w:rPr/>
        <w:t>].</w:t>
      </w:r>
    </w:p>
    <w:p>
      <w:pPr>
        <w:pStyle w:val="BodyText"/>
      </w:pPr>
    </w:p>
    <w:p>
      <w:pPr>
        <w:pStyle w:val="BodyText"/>
        <w:spacing w:line="360" w:lineRule="auto" w:before="140"/>
        <w:ind w:left="100" w:right="112"/>
        <w:jc w:val="both"/>
      </w:pPr>
      <w:r>
        <w:rPr/>
        <w:t>La importancia del proceso de microencapsulación radica en proveer una barrera física al núcleo, protegiéndolo así de factores exteriores [</w:t>
      </w:r>
      <w:r>
        <w:rPr>
          <w:b/>
        </w:rPr>
        <w:t>12</w:t>
      </w:r>
      <w:r>
        <w:rPr/>
        <w:t>]. Específicamente, en </w:t>
      </w:r>
      <w:r>
        <w:rPr>
          <w:spacing w:val="-3"/>
        </w:rPr>
        <w:t>la </w:t>
      </w:r>
      <w:r>
        <w:rPr/>
        <w:t>industria alimenticia, </w:t>
      </w:r>
      <w:r>
        <w:rPr>
          <w:spacing w:val="-3"/>
        </w:rPr>
        <w:t>las </w:t>
      </w:r>
      <w:r>
        <w:rPr/>
        <w:t>bondades de </w:t>
      </w:r>
      <w:r>
        <w:rPr>
          <w:spacing w:val="-3"/>
        </w:rPr>
        <w:t>la </w:t>
      </w:r>
      <w:r>
        <w:rPr/>
        <w:t>microencapsulación son el reducir </w:t>
      </w:r>
      <w:r>
        <w:rPr>
          <w:spacing w:val="-3"/>
        </w:rPr>
        <w:t>la </w:t>
      </w:r>
      <w:r>
        <w:rPr/>
        <w:t>reactividad del núcleo con factores ambientales, controlar </w:t>
      </w:r>
      <w:r>
        <w:rPr>
          <w:spacing w:val="-3"/>
        </w:rPr>
        <w:t>la </w:t>
      </w:r>
      <w:r>
        <w:rPr/>
        <w:t>tasa de liberación del material interno hacia el exterior, facilitar su </w:t>
      </w:r>
      <w:r>
        <w:rPr>
          <w:spacing w:val="-3"/>
        </w:rPr>
        <w:t>manejo, </w:t>
      </w:r>
      <w:r>
        <w:rPr/>
        <w:t>enmascarar el sabor del material del núcleo o </w:t>
      </w:r>
      <w:r>
        <w:rPr>
          <w:spacing w:val="-3"/>
        </w:rPr>
        <w:t>diluir </w:t>
      </w:r>
      <w:r>
        <w:rPr/>
        <w:t>el núcleo en caso de que se necesite en muy pequeñas cantidades</w:t>
      </w:r>
      <w:r>
        <w:rPr>
          <w:spacing w:val="-11"/>
        </w:rPr>
        <w:t> </w:t>
      </w:r>
      <w:r>
        <w:rPr/>
        <w:t>[</w:t>
      </w:r>
      <w:r>
        <w:rPr>
          <w:b/>
        </w:rPr>
        <w:t>13</w:t>
      </w:r>
      <w:r>
        <w:rPr/>
        <w:t>].</w:t>
      </w:r>
    </w:p>
    <w:p>
      <w:pPr>
        <w:pStyle w:val="BodyText"/>
      </w:pPr>
    </w:p>
    <w:p>
      <w:pPr>
        <w:pStyle w:val="BodyText"/>
        <w:spacing w:line="360" w:lineRule="auto" w:before="141"/>
        <w:ind w:left="100" w:right="109"/>
        <w:jc w:val="both"/>
      </w:pPr>
      <w:r>
        <w:rPr/>
        <w:t>En este sentido, numerosos factores deben considerarse para obtener un sistema microencapsulado (matriz) estable que preserve las propiedades del núcleo. Por ejemplo: el tipo de material de pared, la proporción del material interno respecto al encapsulante, el método de encapsulación y las condiciones de almacenamiento de la matriz; todo en conjunto afectará la estabilidad oxidativa del material encapsulado [</w:t>
      </w:r>
      <w:r>
        <w:rPr>
          <w:b/>
        </w:rPr>
        <w:t>11</w:t>
      </w:r>
      <w:r>
        <w:rPr/>
        <w:t>]. De este modo, se han desarrollado diversas técnicas de microencapsulación; por mencionar algunas: coacervación, liofilización, secado por aspersión, extrusión.</w:t>
      </w:r>
    </w:p>
    <w:p>
      <w:pPr>
        <w:pStyle w:val="BodyText"/>
      </w:pPr>
    </w:p>
    <w:p>
      <w:pPr>
        <w:pStyle w:val="BodyText"/>
        <w:spacing w:before="9"/>
        <w:rPr>
          <w:sz w:val="29"/>
        </w:rPr>
      </w:pPr>
    </w:p>
    <w:p>
      <w:pPr>
        <w:pStyle w:val="ListParagraph"/>
        <w:numPr>
          <w:ilvl w:val="2"/>
          <w:numId w:val="4"/>
        </w:numPr>
        <w:tabs>
          <w:tab w:pos="821" w:val="left" w:leader="none"/>
        </w:tabs>
        <w:spacing w:line="240" w:lineRule="auto" w:before="0" w:after="0"/>
        <w:ind w:left="821" w:right="0" w:hanging="721"/>
        <w:jc w:val="both"/>
        <w:rPr>
          <w:b/>
          <w:sz w:val="24"/>
        </w:rPr>
      </w:pPr>
      <w:r>
        <w:rPr>
          <w:b/>
          <w:sz w:val="24"/>
        </w:rPr>
        <w:t>Secado por aspersión como técnica de</w:t>
      </w:r>
      <w:r>
        <w:rPr>
          <w:b/>
          <w:spacing w:val="-24"/>
          <w:sz w:val="24"/>
        </w:rPr>
        <w:t> </w:t>
      </w:r>
      <w:r>
        <w:rPr>
          <w:b/>
          <w:sz w:val="24"/>
        </w:rPr>
        <w:t>microencapsulación</w:t>
      </w:r>
    </w:p>
    <w:p>
      <w:pPr>
        <w:pStyle w:val="BodyText"/>
        <w:spacing w:line="360" w:lineRule="auto" w:before="137"/>
        <w:ind w:left="100" w:right="109"/>
        <w:jc w:val="both"/>
      </w:pPr>
      <w:r>
        <w:rPr/>
        <w:t>Entre los diferentes métodos de microencapsulación existentes, el más común en </w:t>
      </w:r>
      <w:r>
        <w:rPr>
          <w:spacing w:val="-3"/>
        </w:rPr>
        <w:t>la </w:t>
      </w:r>
      <w:r>
        <w:rPr/>
        <w:t>industria alimenticia es el secado por aspersión debido a diferentes razones como: </w:t>
      </w:r>
      <w:r>
        <w:rPr>
          <w:spacing w:val="-3"/>
        </w:rPr>
        <w:t>bajo </w:t>
      </w:r>
      <w:r>
        <w:rPr/>
        <w:t>costo de operación, disponibilidad de equipo, compatibilidad con una amplia gama de materiales encapsulantes y materiales internos termolábiles, alta retención de volátiles y de agentes activos,  y </w:t>
      </w:r>
      <w:r>
        <w:rPr>
          <w:spacing w:val="-3"/>
        </w:rPr>
        <w:t>la </w:t>
      </w:r>
      <w:r>
        <w:rPr/>
        <w:t>posibilidad de adecuar el proceso en modo continuo para una producción a  escala industrial. </w:t>
      </w:r>
      <w:r>
        <w:rPr>
          <w:spacing w:val="3"/>
        </w:rPr>
        <w:t>El </w:t>
      </w:r>
      <w:r>
        <w:rPr/>
        <w:t>tamaño típico de partícula obtenido mediante este método es de </w:t>
      </w:r>
      <w:r>
        <w:rPr>
          <w:spacing w:val="3"/>
        </w:rPr>
        <w:t>20- </w:t>
      </w:r>
      <w:r>
        <w:rPr/>
        <w:t>150</w:t>
      </w:r>
      <w:r>
        <w:rPr>
          <w:rFonts w:ascii="Arial" w:hAnsi="Arial"/>
        </w:rPr>
        <w:t>μ</w:t>
      </w:r>
      <w:r>
        <w:rPr/>
        <w:t>m</w:t>
      </w:r>
      <w:r>
        <w:rPr>
          <w:spacing w:val="-1"/>
        </w:rPr>
        <w:t> </w:t>
      </w:r>
      <w:r>
        <w:rPr/>
        <w:t>[</w:t>
      </w:r>
      <w:r>
        <w:rPr>
          <w:b/>
        </w:rPr>
        <w:t>14</w:t>
      </w:r>
      <w:r>
        <w:rPr/>
        <w:t>].</w:t>
      </w:r>
    </w:p>
    <w:p>
      <w:pPr>
        <w:pStyle w:val="BodyText"/>
      </w:pPr>
    </w:p>
    <w:p>
      <w:pPr>
        <w:pStyle w:val="BodyText"/>
        <w:spacing w:line="360" w:lineRule="auto" w:before="144"/>
        <w:ind w:left="100" w:right="115"/>
        <w:jc w:val="both"/>
      </w:pPr>
      <w:r>
        <w:rPr/>
        <w:t>El proceso de microencapsulación de un componente está constituido de manera general de tres etapas: (1) Dispersar el material activo en </w:t>
      </w:r>
      <w:r>
        <w:rPr>
          <w:spacing w:val="-4"/>
        </w:rPr>
        <w:t>una </w:t>
      </w:r>
      <w:r>
        <w:rPr/>
        <w:t>solución del material encapsulante; (2) Atomizar   </w:t>
      </w:r>
      <w:r>
        <w:rPr>
          <w:spacing w:val="-5"/>
        </w:rPr>
        <w:t>la   </w:t>
      </w:r>
      <w:r>
        <w:rPr/>
        <w:t>dispersión;   (3)   Deshidratar   </w:t>
      </w:r>
      <w:r>
        <w:rPr>
          <w:spacing w:val="-5"/>
        </w:rPr>
        <w:t>la   </w:t>
      </w:r>
      <w:r>
        <w:rPr/>
        <w:t>dispersión   [</w:t>
      </w:r>
      <w:r>
        <w:rPr>
          <w:b/>
        </w:rPr>
        <w:t>15</w:t>
      </w:r>
      <w:r>
        <w:rPr/>
        <w:t>].   En   este   </w:t>
      </w:r>
      <w:r>
        <w:rPr>
          <w:spacing w:val="-4"/>
        </w:rPr>
        <w:t>último </w:t>
      </w:r>
      <w:r>
        <w:rPr>
          <w:spacing w:val="52"/>
        </w:rPr>
        <w:t> </w:t>
      </w:r>
      <w:r>
        <w:rPr/>
        <w:t>paso </w:t>
      </w:r>
      <w:r>
        <w:rPr>
          <w:spacing w:val="-5"/>
        </w:rPr>
        <w:t>la</w:t>
      </w:r>
    </w:p>
    <w:p>
      <w:pPr>
        <w:spacing w:after="0" w:line="360" w:lineRule="auto"/>
        <w:jc w:val="both"/>
        <w:sectPr>
          <w:pgSz w:w="11900" w:h="16840"/>
          <w:pgMar w:header="0" w:footer="1026" w:top="1360" w:bottom="1220" w:left="1340" w:right="1320"/>
        </w:sectPr>
      </w:pPr>
    </w:p>
    <w:p>
      <w:pPr>
        <w:pStyle w:val="BodyText"/>
        <w:spacing w:line="360" w:lineRule="auto" w:before="54"/>
        <w:ind w:left="100" w:right="117"/>
        <w:jc w:val="both"/>
      </w:pPr>
      <w:r>
        <w:rPr/>
        <w:t>deshidratación ocurre a partir de la superficie de la partícula hacia el interior de la misma, por lo que existe un incremento en la concentración de solutos en la superficie de la partícula, seguida de una disminución en la temperatura de ésta debido a la evaporación. La viscosidad de esta capa con alta concentración de solutos incrementa rápidamente propiciando que la superficie de la partícula pase al estado vítreo para que finalmente se forme una partícula porosa seca antes de colisionar con otras partículas o con la pared del secador.</w:t>
      </w:r>
    </w:p>
    <w:p>
      <w:pPr>
        <w:pStyle w:val="BodyText"/>
      </w:pPr>
    </w:p>
    <w:p>
      <w:pPr>
        <w:pStyle w:val="BodyText"/>
        <w:spacing w:line="360" w:lineRule="auto" w:before="146"/>
        <w:ind w:left="100" w:right="111" w:firstLine="62"/>
        <w:jc w:val="both"/>
      </w:pPr>
      <w:r>
        <w:rPr/>
        <w:t>Diferentes características fisicoquímicas del producto seco obtenido (porosidad, tamaño de partícula, forma de la partícula, composición y otras) están directamente relacionadas con las variables de proceso, tales como: velocidad de alimentación del líquido, tipo de atomizador, temperatura y presión de entrada, por lo que es importante determinar la aplicación final que se le va a dar al producto microencapsulado.</w:t>
      </w:r>
    </w:p>
    <w:p>
      <w:pPr>
        <w:pStyle w:val="BodyText"/>
      </w:pPr>
    </w:p>
    <w:p>
      <w:pPr>
        <w:pStyle w:val="BodyText"/>
        <w:spacing w:line="360" w:lineRule="auto" w:before="141"/>
        <w:ind w:left="100" w:right="111"/>
        <w:jc w:val="both"/>
      </w:pPr>
      <w:r>
        <w:rPr/>
        <w:t>Por otro lado, existe una amplia variedad de agentes encapsulantes que pueden ser polímeros de origen natural o sintético. Ya que en </w:t>
      </w:r>
      <w:r>
        <w:rPr>
          <w:spacing w:val="-5"/>
        </w:rPr>
        <w:t>la </w:t>
      </w:r>
      <w:r>
        <w:rPr/>
        <w:t>mayoría de los procesos de secado por aspersión en </w:t>
      </w:r>
      <w:r>
        <w:rPr>
          <w:spacing w:val="-3"/>
        </w:rPr>
        <w:t>la </w:t>
      </w:r>
      <w:r>
        <w:rPr/>
        <w:t>industria alimenticia se utilizan emulsiones acuosas, una de </w:t>
      </w:r>
      <w:r>
        <w:rPr>
          <w:spacing w:val="-4"/>
        </w:rPr>
        <w:t>las</w:t>
      </w:r>
      <w:r>
        <w:rPr>
          <w:spacing w:val="52"/>
        </w:rPr>
        <w:t> </w:t>
      </w:r>
      <w:r>
        <w:rPr/>
        <w:t>propiedades </w:t>
      </w:r>
      <w:r>
        <w:rPr>
          <w:spacing w:val="-3"/>
        </w:rPr>
        <w:t>más </w:t>
      </w:r>
      <w:r>
        <w:rPr/>
        <w:t>importantes del material de pared es que debe ser soluble en agua en cierto grado. Además, debe poseer adecuadas propiedades emulsionantes, de formación de película y protección del material activo, temperatura de transición vítrea y bajo costo. Dichas características </w:t>
      </w:r>
      <w:r>
        <w:rPr>
          <w:spacing w:val="-3"/>
        </w:rPr>
        <w:t>las </w:t>
      </w:r>
      <w:r>
        <w:rPr/>
        <w:t>ostentan los biopolímeros como gomas naturales, proteínas y maltodextrinas. Empero, los materiales típicos de pared empleados en procesos de secado </w:t>
      </w:r>
      <w:r>
        <w:rPr>
          <w:spacing w:val="2"/>
        </w:rPr>
        <w:t>por </w:t>
      </w:r>
      <w:r>
        <w:rPr/>
        <w:t>aspersión son carbohidratos con </w:t>
      </w:r>
      <w:r>
        <w:rPr>
          <w:spacing w:val="-3"/>
        </w:rPr>
        <w:t>bajo </w:t>
      </w:r>
      <w:r>
        <w:rPr/>
        <w:t>peso molecular como maltodextrina; proteínas como </w:t>
      </w:r>
      <w:r>
        <w:rPr>
          <w:spacing w:val="-4"/>
        </w:rPr>
        <w:t>las </w:t>
      </w:r>
      <w:r>
        <w:rPr/>
        <w:t>de soya o de </w:t>
      </w:r>
      <w:r>
        <w:rPr>
          <w:spacing w:val="-3"/>
        </w:rPr>
        <w:t>leche, </w:t>
      </w:r>
      <w:r>
        <w:rPr/>
        <w:t>gomas naturales como </w:t>
      </w:r>
      <w:r>
        <w:rPr>
          <w:spacing w:val="-3"/>
        </w:rPr>
        <w:t>la </w:t>
      </w:r>
      <w:r>
        <w:rPr/>
        <w:t>Arábiga y </w:t>
      </w:r>
      <w:r>
        <w:rPr>
          <w:spacing w:val="-3"/>
        </w:rPr>
        <w:t>la </w:t>
      </w:r>
      <w:r>
        <w:rPr/>
        <w:t>de mezquite [</w:t>
      </w:r>
      <w:r>
        <w:rPr>
          <w:b/>
        </w:rPr>
        <w:t>13</w:t>
      </w:r>
      <w:r>
        <w:rPr/>
        <w:t>]. Amén de que estos biopolímeros poseen interesantes propiedades relacionadas al secado por aspersión, se </w:t>
      </w:r>
      <w:r>
        <w:rPr>
          <w:spacing w:val="-3"/>
        </w:rPr>
        <w:t>ha </w:t>
      </w:r>
      <w:r>
        <w:rPr/>
        <w:t>visto que una </w:t>
      </w:r>
      <w:r>
        <w:rPr>
          <w:spacing w:val="-3"/>
        </w:rPr>
        <w:t>mezcla </w:t>
      </w:r>
      <w:r>
        <w:rPr/>
        <w:t>de ellos produce un efecto sinérgico, proveyendo a </w:t>
      </w:r>
      <w:r>
        <w:rPr>
          <w:spacing w:val="-3"/>
        </w:rPr>
        <w:t>la </w:t>
      </w:r>
      <w:r>
        <w:rPr/>
        <w:t>matriz gran capacidad emulsionante y de barrera contra </w:t>
      </w:r>
      <w:r>
        <w:rPr>
          <w:spacing w:val="-5"/>
        </w:rPr>
        <w:t>la </w:t>
      </w:r>
      <w:r>
        <w:rPr/>
        <w:t>oxidación [</w:t>
      </w:r>
      <w:r>
        <w:rPr>
          <w:b/>
        </w:rPr>
        <w:t>16</w:t>
      </w:r>
      <w:r>
        <w:rPr/>
        <w:t>], así como alta eficiencia de encapsulación [</w:t>
      </w:r>
      <w:r>
        <w:rPr>
          <w:b/>
        </w:rPr>
        <w:t>17</w:t>
      </w:r>
      <w:r>
        <w:rPr/>
        <w:t>].</w:t>
      </w:r>
    </w:p>
    <w:p>
      <w:pPr>
        <w:pStyle w:val="BodyText"/>
      </w:pPr>
    </w:p>
    <w:p>
      <w:pPr>
        <w:pStyle w:val="BodyText"/>
        <w:spacing w:before="2"/>
        <w:rPr>
          <w:sz w:val="30"/>
        </w:rPr>
      </w:pPr>
    </w:p>
    <w:p>
      <w:pPr>
        <w:pStyle w:val="ListParagraph"/>
        <w:numPr>
          <w:ilvl w:val="2"/>
          <w:numId w:val="4"/>
        </w:numPr>
        <w:tabs>
          <w:tab w:pos="821" w:val="left" w:leader="none"/>
        </w:tabs>
        <w:spacing w:line="240" w:lineRule="auto" w:before="0" w:after="0"/>
        <w:ind w:left="821" w:right="0" w:hanging="721"/>
        <w:jc w:val="both"/>
        <w:rPr>
          <w:b/>
          <w:sz w:val="24"/>
        </w:rPr>
      </w:pPr>
      <w:r>
        <w:rPr>
          <w:b/>
          <w:sz w:val="24"/>
        </w:rPr>
        <w:t>Microencapsulación de aceites</w:t>
      </w:r>
      <w:r>
        <w:rPr>
          <w:b/>
          <w:spacing w:val="-18"/>
          <w:sz w:val="24"/>
        </w:rPr>
        <w:t> </w:t>
      </w:r>
      <w:r>
        <w:rPr>
          <w:b/>
          <w:sz w:val="24"/>
        </w:rPr>
        <w:t>comestibles</w:t>
      </w:r>
    </w:p>
    <w:p>
      <w:pPr>
        <w:pStyle w:val="BodyText"/>
        <w:spacing w:line="360" w:lineRule="auto" w:before="132"/>
        <w:ind w:left="100" w:right="112"/>
        <w:jc w:val="both"/>
      </w:pPr>
      <w:r>
        <w:rPr/>
        <w:t>Múltiples trabajos se han enfocado en microencapsular diversos materiales activos (colorantes, vitaminas, aceites esenciales y comestibles) a través de secado por aspersión [</w:t>
      </w:r>
      <w:r>
        <w:rPr>
          <w:b/>
        </w:rPr>
        <w:t>13</w:t>
      </w:r>
      <w:r>
        <w:rPr/>
        <w:t>,</w:t>
      </w:r>
      <w:r>
        <w:rPr>
          <w:b/>
        </w:rPr>
        <w:t>18</w:t>
      </w:r>
      <w:r>
        <w:rPr/>
        <w:t>,</w:t>
      </w:r>
      <w:r>
        <w:rPr>
          <w:b/>
        </w:rPr>
        <w:t>19</w:t>
      </w:r>
      <w:r>
        <w:rPr/>
        <w:t>], utilizando diferentes materiales encapsulantes, con el fin de proteger el material del núcleo y cuantificar la eficiencia de encapsulación, a la vez de que se mantienen las propiedades funcionales de estos productos.</w:t>
      </w:r>
    </w:p>
    <w:p>
      <w:pPr>
        <w:spacing w:after="0" w:line="360" w:lineRule="auto"/>
        <w:jc w:val="both"/>
        <w:sectPr>
          <w:pgSz w:w="11900" w:h="16840"/>
          <w:pgMar w:header="0" w:footer="1077" w:top="1360" w:bottom="1260" w:left="1340" w:right="1320"/>
        </w:sectPr>
      </w:pPr>
    </w:p>
    <w:p>
      <w:pPr>
        <w:pStyle w:val="BodyText"/>
        <w:spacing w:before="5"/>
        <w:rPr>
          <w:sz w:val="15"/>
        </w:rPr>
      </w:pPr>
    </w:p>
    <w:p>
      <w:pPr>
        <w:pStyle w:val="BodyText"/>
        <w:spacing w:line="360" w:lineRule="auto" w:before="69"/>
        <w:ind w:left="100" w:right="112"/>
        <w:jc w:val="both"/>
      </w:pPr>
      <w:r>
        <w:rPr/>
        <w:t>Rodea </w:t>
      </w:r>
      <w:r>
        <w:rPr>
          <w:spacing w:val="-3"/>
        </w:rPr>
        <w:t>et </w:t>
      </w:r>
      <w:r>
        <w:rPr>
          <w:spacing w:val="-4"/>
        </w:rPr>
        <w:t>al. </w:t>
      </w:r>
      <w:r>
        <w:rPr/>
        <w:t>[</w:t>
      </w:r>
      <w:r>
        <w:rPr>
          <w:b/>
        </w:rPr>
        <w:t>17</w:t>
      </w:r>
      <w:r>
        <w:rPr/>
        <w:t>] encapsularon aceite de chía en matrices de concentrado de proteína de suero de </w:t>
      </w:r>
      <w:r>
        <w:rPr>
          <w:spacing w:val="-3"/>
        </w:rPr>
        <w:t>leche </w:t>
      </w:r>
      <w:r>
        <w:rPr/>
        <w:t>(WPC) y polisacárido (goma arábiga y goma de mezquite) con 30% de contenido de sólidos totales, obteniendo altas eficiencias de encapsulación y siendo </w:t>
      </w:r>
      <w:r>
        <w:rPr>
          <w:spacing w:val="-3"/>
        </w:rPr>
        <w:t>las </w:t>
      </w:r>
      <w:r>
        <w:rPr/>
        <w:t>emulsiones estables a </w:t>
      </w:r>
      <w:r>
        <w:rPr>
          <w:spacing w:val="-5"/>
        </w:rPr>
        <w:t>la </w:t>
      </w:r>
      <w:r>
        <w:rPr/>
        <w:t>coalescencia. Pérez-Alonso et </w:t>
      </w:r>
      <w:r>
        <w:rPr>
          <w:spacing w:val="-4"/>
        </w:rPr>
        <w:t>al. </w:t>
      </w:r>
      <w:r>
        <w:rPr/>
        <w:t>[</w:t>
      </w:r>
      <w:r>
        <w:rPr>
          <w:b/>
        </w:rPr>
        <w:t>18</w:t>
      </w:r>
      <w:r>
        <w:rPr/>
        <w:t>] analizaron </w:t>
      </w:r>
      <w:r>
        <w:rPr>
          <w:spacing w:val="-5"/>
        </w:rPr>
        <w:t>la </w:t>
      </w:r>
      <w:r>
        <w:rPr/>
        <w:t>estabilidad térmico-oxidativa de oleorresina de </w:t>
      </w:r>
      <w:r>
        <w:rPr>
          <w:spacing w:val="-3"/>
        </w:rPr>
        <w:t>chile </w:t>
      </w:r>
      <w:r>
        <w:rPr/>
        <w:t>rojo microencapsulado en una matriz de mezcla de biopolímeros. Encontraron que </w:t>
      </w:r>
      <w:r>
        <w:rPr>
          <w:spacing w:val="-3"/>
        </w:rPr>
        <w:t>la </w:t>
      </w:r>
      <w:r>
        <w:rPr/>
        <w:t>energía de activación del proceso de oxidación dependía de </w:t>
      </w:r>
      <w:r>
        <w:rPr>
          <w:spacing w:val="-3"/>
        </w:rPr>
        <w:t>la </w:t>
      </w:r>
      <w:r>
        <w:rPr/>
        <w:t>actividad  de agua contenida en las microcápsulas, de </w:t>
      </w:r>
      <w:r>
        <w:rPr>
          <w:spacing w:val="-5"/>
        </w:rPr>
        <w:t>la </w:t>
      </w:r>
      <w:r>
        <w:rPr/>
        <w:t>composición del biopolímero encapsulante y de </w:t>
      </w:r>
      <w:r>
        <w:rPr>
          <w:spacing w:val="-3"/>
        </w:rPr>
        <w:t>la </w:t>
      </w:r>
      <w:r>
        <w:rPr/>
        <w:t>razón de material activo respecto al de pared. Concluyeron que </w:t>
      </w:r>
      <w:r>
        <w:rPr>
          <w:spacing w:val="-5"/>
        </w:rPr>
        <w:t>la </w:t>
      </w:r>
      <w:r>
        <w:rPr/>
        <w:t>estimación de </w:t>
      </w:r>
      <w:r>
        <w:rPr>
          <w:spacing w:val="-3"/>
        </w:rPr>
        <w:t>la </w:t>
      </w:r>
      <w:r>
        <w:rPr/>
        <w:t>energía de activación del proceso de secado de una gota </w:t>
      </w:r>
      <w:r>
        <w:rPr>
          <w:spacing w:val="-3"/>
        </w:rPr>
        <w:t>de </w:t>
      </w:r>
      <w:r>
        <w:rPr/>
        <w:t>biopolímero es un indicador cuantitativo para determinar </w:t>
      </w:r>
      <w:r>
        <w:rPr>
          <w:spacing w:val="-5"/>
        </w:rPr>
        <w:t>la </w:t>
      </w:r>
      <w:r>
        <w:rPr/>
        <w:t>mejor </w:t>
      </w:r>
      <w:r>
        <w:rPr>
          <w:spacing w:val="-3"/>
        </w:rPr>
        <w:t>mezcla </w:t>
      </w:r>
      <w:r>
        <w:rPr/>
        <w:t>para </w:t>
      </w:r>
      <w:r>
        <w:rPr>
          <w:spacing w:val="-3"/>
        </w:rPr>
        <w:t>la </w:t>
      </w:r>
      <w:r>
        <w:rPr/>
        <w:t>microencapsulación por secado por aspersión de este material. Jiménez et </w:t>
      </w:r>
      <w:r>
        <w:rPr>
          <w:spacing w:val="-3"/>
        </w:rPr>
        <w:t>al. </w:t>
      </w:r>
      <w:r>
        <w:rPr/>
        <w:t>[</w:t>
      </w:r>
      <w:r>
        <w:rPr>
          <w:b/>
        </w:rPr>
        <w:t>19</w:t>
      </w:r>
      <w:r>
        <w:rPr/>
        <w:t>] evaluaron el desempeño del concentrado de proteína de suero de leche (WPC), goma arábiga (GA) y una mezcla de WPC y maltodextrina DE-10 (MD) para </w:t>
      </w:r>
      <w:r>
        <w:rPr>
          <w:spacing w:val="-5"/>
        </w:rPr>
        <w:t>la </w:t>
      </w:r>
      <w:r>
        <w:rPr/>
        <w:t>encapsulación de ácido linoleico conjugado, variando </w:t>
      </w:r>
      <w:r>
        <w:rPr>
          <w:spacing w:val="-5"/>
        </w:rPr>
        <w:t>la </w:t>
      </w:r>
      <w:r>
        <w:rPr/>
        <w:t>actividad de agua. Sus resultados sugieren que </w:t>
      </w:r>
      <w:r>
        <w:rPr>
          <w:spacing w:val="-3"/>
        </w:rPr>
        <w:t>la </w:t>
      </w:r>
      <w:r>
        <w:rPr/>
        <w:t>WPC proporciona mejor protección que </w:t>
      </w:r>
      <w:r>
        <w:rPr>
          <w:spacing w:val="-5"/>
        </w:rPr>
        <w:t>la </w:t>
      </w:r>
      <w:r>
        <w:rPr/>
        <w:t>mezcla WPC-MD y GA ante </w:t>
      </w:r>
      <w:r>
        <w:rPr>
          <w:spacing w:val="-5"/>
        </w:rPr>
        <w:t>la </w:t>
      </w:r>
      <w:r>
        <w:rPr/>
        <w:t>oxidación. Encontraron, además, que </w:t>
      </w:r>
      <w:r>
        <w:rPr>
          <w:spacing w:val="-5"/>
        </w:rPr>
        <w:t>la </w:t>
      </w:r>
      <w:r>
        <w:rPr/>
        <w:t>actividad de agua tenía gran influencia ante </w:t>
      </w:r>
      <w:r>
        <w:rPr>
          <w:spacing w:val="-5"/>
        </w:rPr>
        <w:t>la </w:t>
      </w:r>
      <w:r>
        <w:rPr/>
        <w:t>retención, oxidación, morfología y oxidación de</w:t>
      </w:r>
      <w:r>
        <w:rPr>
          <w:spacing w:val="-33"/>
        </w:rPr>
        <w:t> </w:t>
      </w:r>
      <w:r>
        <w:rPr/>
        <w:t>hexanal.</w:t>
      </w:r>
    </w:p>
    <w:p>
      <w:pPr>
        <w:pStyle w:val="BodyText"/>
      </w:pPr>
    </w:p>
    <w:p>
      <w:pPr>
        <w:pStyle w:val="BodyText"/>
        <w:spacing w:before="8"/>
        <w:rPr>
          <w:sz w:val="29"/>
        </w:rPr>
      </w:pPr>
    </w:p>
    <w:p>
      <w:pPr>
        <w:pStyle w:val="ListParagraph"/>
        <w:numPr>
          <w:ilvl w:val="1"/>
          <w:numId w:val="6"/>
        </w:numPr>
        <w:tabs>
          <w:tab w:pos="677" w:val="left" w:leader="none"/>
        </w:tabs>
        <w:spacing w:line="240" w:lineRule="auto" w:before="1" w:after="0"/>
        <w:ind w:left="677" w:right="0" w:hanging="577"/>
        <w:jc w:val="both"/>
        <w:rPr>
          <w:b/>
          <w:sz w:val="24"/>
        </w:rPr>
      </w:pPr>
      <w:r>
        <w:rPr>
          <w:b/>
          <w:sz w:val="24"/>
        </w:rPr>
        <w:t>ADSORCIÓN DE HUMEDAD EN</w:t>
      </w:r>
      <w:r>
        <w:rPr>
          <w:b/>
          <w:spacing w:val="-8"/>
          <w:sz w:val="24"/>
        </w:rPr>
        <w:t> </w:t>
      </w:r>
      <w:r>
        <w:rPr>
          <w:b/>
          <w:sz w:val="24"/>
        </w:rPr>
        <w:t>ALIMENTOS</w:t>
      </w:r>
    </w:p>
    <w:p>
      <w:pPr>
        <w:pStyle w:val="BodyText"/>
        <w:rPr>
          <w:b/>
        </w:rPr>
      </w:pPr>
    </w:p>
    <w:p>
      <w:pPr>
        <w:pStyle w:val="BodyText"/>
        <w:spacing w:before="2"/>
        <w:rPr>
          <w:b/>
        </w:rPr>
      </w:pPr>
    </w:p>
    <w:p>
      <w:pPr>
        <w:pStyle w:val="BodyText"/>
        <w:spacing w:line="360" w:lineRule="auto" w:before="1"/>
        <w:ind w:left="100" w:right="111"/>
        <w:jc w:val="both"/>
      </w:pPr>
      <w:r>
        <w:rPr/>
        <w:t>La mayoría de los alimentos son sistemas multifásicos </w:t>
      </w:r>
      <w:r>
        <w:rPr>
          <w:spacing w:val="3"/>
        </w:rPr>
        <w:t>en </w:t>
      </w:r>
      <w:r>
        <w:rPr>
          <w:spacing w:val="-3"/>
        </w:rPr>
        <w:t>la </w:t>
      </w:r>
      <w:r>
        <w:rPr/>
        <w:t>que el agua es un componente </w:t>
      </w:r>
      <w:r>
        <w:rPr>
          <w:position w:val="2"/>
        </w:rPr>
        <w:t>primordial, de aquí que </w:t>
      </w:r>
      <w:r>
        <w:rPr>
          <w:spacing w:val="-3"/>
          <w:position w:val="2"/>
        </w:rPr>
        <w:t>la </w:t>
      </w:r>
      <w:r>
        <w:rPr>
          <w:position w:val="2"/>
        </w:rPr>
        <w:t>actividad de agua (</w:t>
      </w:r>
      <w:r>
        <w:rPr>
          <w:i/>
          <w:position w:val="2"/>
        </w:rPr>
        <w:t>a</w:t>
      </w:r>
      <w:r>
        <w:rPr>
          <w:i/>
          <w:sz w:val="16"/>
        </w:rPr>
        <w:t>w</w:t>
      </w:r>
      <w:r>
        <w:rPr>
          <w:position w:val="2"/>
        </w:rPr>
        <w:t>) sea un parámetro termodinámico clave que </w:t>
      </w:r>
      <w:r>
        <w:rPr/>
        <w:t>influencia </w:t>
      </w:r>
      <w:r>
        <w:rPr>
          <w:spacing w:val="-3"/>
        </w:rPr>
        <w:t>la </w:t>
      </w:r>
      <w:r>
        <w:rPr/>
        <w:t>estabilidad de sistemas alimenticios y microbianos. Estrictamente </w:t>
      </w:r>
      <w:r>
        <w:rPr>
          <w:spacing w:val="-3"/>
        </w:rPr>
        <w:t>la </w:t>
      </w:r>
      <w:r>
        <w:rPr/>
        <w:t>actividad de agua depende de </w:t>
      </w:r>
      <w:r>
        <w:rPr>
          <w:spacing w:val="-5"/>
        </w:rPr>
        <w:t>la </w:t>
      </w:r>
      <w:r>
        <w:rPr/>
        <w:t>fugacidad, aunque una muy buena aproximación puede establecerse al utilizar </w:t>
      </w:r>
      <w:r>
        <w:rPr>
          <w:spacing w:val="-5"/>
        </w:rPr>
        <w:t>la </w:t>
      </w:r>
      <w:r>
        <w:rPr/>
        <w:t>presión de vapor en equilibrio del sistema de interés. El error asociado a este  </w:t>
      </w:r>
      <w:r>
        <w:rPr>
          <w:spacing w:val="-3"/>
        </w:rPr>
        <w:t>cálculo bajo </w:t>
      </w:r>
      <w:r>
        <w:rPr/>
        <w:t>condiciones normales es de menos del 0.1%. De aquí que </w:t>
      </w:r>
      <w:r>
        <w:rPr>
          <w:spacing w:val="-5"/>
        </w:rPr>
        <w:t>la </w:t>
      </w:r>
      <w:r>
        <w:rPr/>
        <w:t>actividad de agua a cierta temperatura se defina como </w:t>
      </w:r>
      <w:r>
        <w:rPr>
          <w:spacing w:val="-5"/>
        </w:rPr>
        <w:t>la </w:t>
      </w:r>
      <w:r>
        <w:rPr/>
        <w:t>relación de la presión parcial de vapor del sistema y </w:t>
      </w:r>
      <w:r>
        <w:rPr>
          <w:spacing w:val="-3"/>
        </w:rPr>
        <w:t>la </w:t>
      </w:r>
      <w:r>
        <w:rPr/>
        <w:t>presión parcial de vapor del agua líquida pura a </w:t>
      </w:r>
      <w:r>
        <w:rPr>
          <w:spacing w:val="-5"/>
        </w:rPr>
        <w:t>la </w:t>
      </w:r>
      <w:r>
        <w:rPr/>
        <w:t>misma</w:t>
      </w:r>
      <w:r>
        <w:rPr>
          <w:spacing w:val="-2"/>
        </w:rPr>
        <w:t> </w:t>
      </w:r>
      <w:r>
        <w:rPr/>
        <w:t>temperatura.</w:t>
      </w:r>
    </w:p>
    <w:p>
      <w:pPr>
        <w:pStyle w:val="BodyText"/>
      </w:pPr>
    </w:p>
    <w:p>
      <w:pPr>
        <w:pStyle w:val="BodyText"/>
        <w:spacing w:line="360" w:lineRule="auto" w:before="146"/>
        <w:ind w:left="100" w:right="113"/>
        <w:jc w:val="both"/>
      </w:pPr>
      <w:r>
        <w:rPr/>
        <w:t>Otro aspecto de importancia es la transición vítrea (</w:t>
      </w:r>
      <w:r>
        <w:rPr>
          <w:i/>
        </w:rPr>
        <w:t>Tg</w:t>
      </w:r>
      <w:r>
        <w:rPr/>
        <w:t>), que es un parámetro importante que afecta las propiedades de los alimentos sólidos y que está interrelacionada con la actividad de agua. Siendo que el agua es el principal solvente de alimentos sólidos, es el principal plastificante de los componentes alimenticios. Como    plastificante y solvente, el agua puede</w:t>
      </w:r>
    </w:p>
    <w:p>
      <w:pPr>
        <w:spacing w:after="0" w:line="360" w:lineRule="auto"/>
        <w:jc w:val="both"/>
        <w:sectPr>
          <w:pgSz w:w="11900" w:h="16840"/>
          <w:pgMar w:header="0" w:footer="1026" w:top="1580" w:bottom="1220" w:left="1340" w:right="1320"/>
        </w:sectPr>
      </w:pPr>
    </w:p>
    <w:p>
      <w:pPr>
        <w:pStyle w:val="BodyText"/>
        <w:spacing w:line="360" w:lineRule="auto" w:before="54"/>
        <w:ind w:left="100" w:right="115"/>
        <w:jc w:val="both"/>
      </w:pPr>
      <w:r>
        <w:rPr/>
        <w:t>modificar drásticamente los fenómenos de difusión en alimentos. De aquí que sea perentorio </w:t>
      </w:r>
      <w:r>
        <w:rPr>
          <w:position w:val="2"/>
        </w:rPr>
        <w:t>realizar una distinción entre </w:t>
      </w:r>
      <w:r>
        <w:rPr>
          <w:i/>
          <w:position w:val="2"/>
        </w:rPr>
        <w:t>a</w:t>
      </w:r>
      <w:r>
        <w:rPr>
          <w:i/>
          <w:sz w:val="16"/>
        </w:rPr>
        <w:t>w </w:t>
      </w:r>
      <w:r>
        <w:rPr>
          <w:position w:val="2"/>
        </w:rPr>
        <w:t>y </w:t>
      </w:r>
      <w:r>
        <w:rPr>
          <w:i/>
          <w:position w:val="2"/>
        </w:rPr>
        <w:t>Tg</w:t>
      </w:r>
      <w:r>
        <w:rPr>
          <w:position w:val="2"/>
        </w:rPr>
        <w:t>. La actividad de agua es una propiedad de equilibrio del </w:t>
      </w:r>
      <w:r>
        <w:rPr/>
        <w:t>agua en los alimentos y otros sistemas, mientras que la transición vítrea es un proceso de transformación de sólidos no cristalinos a un estado tipo-líquido.</w:t>
      </w:r>
    </w:p>
    <w:p>
      <w:pPr>
        <w:pStyle w:val="BodyText"/>
      </w:pPr>
    </w:p>
    <w:p>
      <w:pPr>
        <w:pStyle w:val="BodyText"/>
        <w:spacing w:line="360" w:lineRule="auto" w:before="140"/>
        <w:ind w:left="100" w:right="115"/>
        <w:jc w:val="both"/>
      </w:pPr>
      <w:r>
        <w:rPr/>
        <w:t>La transición vítrea es una clara propiedad de alimentos sólidos que es afectada por el grado de plastificación del agua. Aunque diferentes componentes alimenticios amorfos como carbohidratos y proteínas pueden ser plastificados por el agua, debe hacerse una distinción </w:t>
      </w:r>
      <w:r>
        <w:rPr>
          <w:position w:val="2"/>
        </w:rPr>
        <w:t>entre </w:t>
      </w:r>
      <w:r>
        <w:rPr>
          <w:i/>
          <w:position w:val="2"/>
        </w:rPr>
        <w:t>a</w:t>
      </w:r>
      <w:r>
        <w:rPr>
          <w:i/>
          <w:sz w:val="16"/>
        </w:rPr>
        <w:t>w </w:t>
      </w:r>
      <w:r>
        <w:rPr>
          <w:position w:val="2"/>
        </w:rPr>
        <w:t>y transición vítrea; la primera es una propiedad de las moléculas de agua; la segunda </w:t>
      </w:r>
      <w:r>
        <w:rPr/>
        <w:t>una propiedad de los componentes alimenticios amorfos. Ambas proveen información muy </w:t>
      </w:r>
      <w:r>
        <w:rPr>
          <w:position w:val="2"/>
        </w:rPr>
        <w:t>importante respecto a las propiedades fisicoquímicas de los alimentos. Por ejemplo, la </w:t>
      </w:r>
      <w:r>
        <w:rPr>
          <w:i/>
          <w:position w:val="2"/>
        </w:rPr>
        <w:t>a</w:t>
      </w:r>
      <w:r>
        <w:rPr>
          <w:i/>
          <w:sz w:val="16"/>
        </w:rPr>
        <w:t>w </w:t>
      </w:r>
      <w:r>
        <w:rPr>
          <w:position w:val="2"/>
        </w:rPr>
        <w:t>es </w:t>
      </w:r>
      <w:r>
        <w:rPr/>
        <w:t>una medición de la habilidad de crecimiento de varios microorganismos en un alimento en particular; mientras que la transición vítrea controla las propiedades tipo-líquido del alimento sólido y afecta la movilidad molecular dentro de éste [</w:t>
      </w:r>
      <w:r>
        <w:rPr>
          <w:b/>
        </w:rPr>
        <w:t>20</w:t>
      </w:r>
      <w:r>
        <w:rPr/>
        <w:t>].</w:t>
      </w:r>
    </w:p>
    <w:p>
      <w:pPr>
        <w:pStyle w:val="BodyText"/>
      </w:pPr>
    </w:p>
    <w:p>
      <w:pPr>
        <w:pStyle w:val="BodyText"/>
        <w:spacing w:before="2"/>
        <w:rPr>
          <w:sz w:val="30"/>
        </w:rPr>
      </w:pPr>
    </w:p>
    <w:p>
      <w:pPr>
        <w:pStyle w:val="ListParagraph"/>
        <w:numPr>
          <w:ilvl w:val="2"/>
          <w:numId w:val="6"/>
        </w:numPr>
        <w:tabs>
          <w:tab w:pos="821" w:val="left" w:leader="none"/>
        </w:tabs>
        <w:spacing w:line="240" w:lineRule="auto" w:before="0" w:after="0"/>
        <w:ind w:left="821" w:right="0" w:hanging="721"/>
        <w:jc w:val="both"/>
        <w:rPr>
          <w:b/>
          <w:sz w:val="24"/>
        </w:rPr>
      </w:pPr>
      <w:r>
        <w:rPr>
          <w:b/>
          <w:sz w:val="24"/>
        </w:rPr>
        <w:t>Actividad de</w:t>
      </w:r>
      <w:r>
        <w:rPr>
          <w:b/>
          <w:spacing w:val="-4"/>
          <w:sz w:val="24"/>
        </w:rPr>
        <w:t> </w:t>
      </w:r>
      <w:r>
        <w:rPr>
          <w:b/>
          <w:sz w:val="24"/>
        </w:rPr>
        <w:t>agua</w:t>
      </w:r>
    </w:p>
    <w:p>
      <w:pPr>
        <w:pStyle w:val="BodyText"/>
        <w:spacing w:line="360" w:lineRule="auto" w:before="136"/>
        <w:ind w:left="100" w:right="114"/>
        <w:jc w:val="both"/>
      </w:pPr>
      <w:r>
        <w:rPr>
          <w:position w:val="2"/>
        </w:rPr>
        <w:t>La </w:t>
      </w:r>
      <w:r>
        <w:rPr>
          <w:i/>
          <w:position w:val="2"/>
        </w:rPr>
        <w:t>a</w:t>
      </w:r>
      <w:r>
        <w:rPr>
          <w:i/>
          <w:sz w:val="16"/>
        </w:rPr>
        <w:t>w </w:t>
      </w:r>
      <w:r>
        <w:rPr>
          <w:position w:val="2"/>
        </w:rPr>
        <w:t>está basada en un estado de equilibrio termodinámico del agua en un sistema en </w:t>
      </w:r>
      <w:r>
        <w:rPr/>
        <w:t>equilibrio. No obstante, muchos de los alimentos sólidos </w:t>
      </w:r>
      <w:r>
        <w:rPr>
          <w:spacing w:val="-3"/>
        </w:rPr>
        <w:t>no </w:t>
      </w:r>
      <w:r>
        <w:rPr/>
        <w:t>se encuentran </w:t>
      </w:r>
      <w:r>
        <w:rPr>
          <w:spacing w:val="-3"/>
        </w:rPr>
        <w:t>bajo </w:t>
      </w:r>
      <w:r>
        <w:rPr/>
        <w:t>estas condiciones de equilibrio a excepción de pocos </w:t>
      </w:r>
      <w:r>
        <w:rPr>
          <w:spacing w:val="-3"/>
        </w:rPr>
        <w:t>como </w:t>
      </w:r>
      <w:r>
        <w:rPr/>
        <w:t>aquellos que son cristalinos o están en condiciones controladas, sino que presentan cambios durante su almacenamiento. Esto conlleva a que se observen cambios en diferentes propiedades del alimento dependientes del </w:t>
      </w:r>
      <w:r>
        <w:rPr>
          <w:position w:val="2"/>
        </w:rPr>
        <w:t>tiempo, por ejemplo, cambios en su microestructura o en </w:t>
      </w:r>
      <w:r>
        <w:rPr>
          <w:spacing w:val="-5"/>
          <w:position w:val="2"/>
        </w:rPr>
        <w:t>la </w:t>
      </w:r>
      <w:r>
        <w:rPr>
          <w:i/>
          <w:position w:val="2"/>
        </w:rPr>
        <w:t>a</w:t>
      </w:r>
      <w:r>
        <w:rPr>
          <w:i/>
          <w:sz w:val="16"/>
        </w:rPr>
        <w:t>w  </w:t>
      </w:r>
      <w:r>
        <w:rPr>
          <w:position w:val="2"/>
        </w:rPr>
        <w:t>durante el almacenamiento  </w:t>
      </w:r>
      <w:r>
        <w:rPr/>
        <w:t>que pueden llevar a cambios químicos o</w:t>
      </w:r>
      <w:r>
        <w:rPr>
          <w:spacing w:val="-17"/>
        </w:rPr>
        <w:t> </w:t>
      </w:r>
      <w:r>
        <w:rPr/>
        <w:t>bioquímicos.</w:t>
      </w:r>
    </w:p>
    <w:p>
      <w:pPr>
        <w:pStyle w:val="BodyText"/>
      </w:pPr>
    </w:p>
    <w:p>
      <w:pPr>
        <w:pStyle w:val="BodyText"/>
        <w:spacing w:line="360" w:lineRule="auto" w:before="140"/>
        <w:ind w:left="100" w:right="119"/>
        <w:jc w:val="both"/>
      </w:pPr>
      <w:r>
        <w:rPr>
          <w:position w:val="2"/>
        </w:rPr>
        <w:t>Es por esto que </w:t>
      </w:r>
      <w:r>
        <w:rPr>
          <w:spacing w:val="-5"/>
          <w:position w:val="2"/>
        </w:rPr>
        <w:t>la </w:t>
      </w:r>
      <w:r>
        <w:rPr>
          <w:i/>
          <w:position w:val="2"/>
        </w:rPr>
        <w:t>a</w:t>
      </w:r>
      <w:r>
        <w:rPr>
          <w:i/>
          <w:sz w:val="16"/>
        </w:rPr>
        <w:t>w </w:t>
      </w:r>
      <w:r>
        <w:rPr>
          <w:position w:val="2"/>
        </w:rPr>
        <w:t>es un parámetro relevante </w:t>
      </w:r>
      <w:r>
        <w:rPr>
          <w:spacing w:val="-3"/>
          <w:position w:val="2"/>
        </w:rPr>
        <w:t>en la </w:t>
      </w:r>
      <w:r>
        <w:rPr>
          <w:position w:val="2"/>
        </w:rPr>
        <w:t>determinación de </w:t>
      </w:r>
      <w:r>
        <w:rPr>
          <w:spacing w:val="-3"/>
          <w:position w:val="2"/>
        </w:rPr>
        <w:t>la </w:t>
      </w:r>
      <w:r>
        <w:rPr>
          <w:position w:val="2"/>
        </w:rPr>
        <w:t>estabilidad de un </w:t>
      </w:r>
      <w:r>
        <w:rPr/>
        <w:t>producto alimenticio. Un punto a considerar es el crecimiento microbiano o de bacterias en </w:t>
      </w:r>
      <w:r>
        <w:rPr>
          <w:spacing w:val="4"/>
        </w:rPr>
        <w:t>el </w:t>
      </w:r>
      <w:r>
        <w:rPr/>
        <w:t>alimento, el cual depende de este parámetro, pero además debe tomarse en cuenta que a </w:t>
      </w:r>
      <w:r>
        <w:rPr>
          <w:position w:val="2"/>
        </w:rPr>
        <w:t>ciertos valores de </w:t>
      </w:r>
      <w:r>
        <w:rPr>
          <w:i/>
          <w:position w:val="2"/>
        </w:rPr>
        <w:t>a</w:t>
      </w:r>
      <w:r>
        <w:rPr>
          <w:i/>
          <w:sz w:val="16"/>
        </w:rPr>
        <w:t>w </w:t>
      </w:r>
      <w:r>
        <w:rPr>
          <w:position w:val="2"/>
        </w:rPr>
        <w:t>puede encontrarse en </w:t>
      </w:r>
      <w:r>
        <w:rPr>
          <w:spacing w:val="-5"/>
          <w:position w:val="2"/>
        </w:rPr>
        <w:t>la </w:t>
      </w:r>
      <w:r>
        <w:rPr>
          <w:position w:val="2"/>
        </w:rPr>
        <w:t>vecindad de </w:t>
      </w:r>
      <w:r>
        <w:rPr>
          <w:spacing w:val="-3"/>
          <w:position w:val="2"/>
        </w:rPr>
        <w:t>la </w:t>
      </w:r>
      <w:r>
        <w:rPr>
          <w:position w:val="2"/>
        </w:rPr>
        <w:t>transición vítrea. Otra </w:t>
      </w:r>
      <w:r>
        <w:rPr/>
        <w:t>consideración son </w:t>
      </w:r>
      <w:r>
        <w:rPr>
          <w:spacing w:val="-3"/>
        </w:rPr>
        <w:t>las </w:t>
      </w:r>
      <w:r>
        <w:rPr/>
        <w:t>propiedades hidrofóbicas e hidrofílicas del alimento, </w:t>
      </w:r>
      <w:r>
        <w:rPr>
          <w:spacing w:val="-3"/>
        </w:rPr>
        <w:t>las </w:t>
      </w:r>
      <w:r>
        <w:rPr/>
        <w:t>cuales impactan en </w:t>
      </w:r>
      <w:r>
        <w:rPr>
          <w:spacing w:val="-5"/>
        </w:rPr>
        <w:t>la </w:t>
      </w:r>
      <w:r>
        <w:rPr/>
        <w:t>actividad de agua. Aunque en muchas ocasiones se han realizado esfuerzos </w:t>
      </w:r>
      <w:r>
        <w:rPr>
          <w:position w:val="2"/>
        </w:rPr>
        <w:t>por correlacionar </w:t>
      </w:r>
      <w:r>
        <w:rPr>
          <w:spacing w:val="-4"/>
          <w:position w:val="2"/>
        </w:rPr>
        <w:t>las </w:t>
      </w:r>
      <w:r>
        <w:rPr>
          <w:position w:val="2"/>
        </w:rPr>
        <w:t>velocidades de cambios químicos o estructurales con </w:t>
      </w:r>
      <w:r>
        <w:rPr>
          <w:spacing w:val="-3"/>
          <w:position w:val="2"/>
        </w:rPr>
        <w:t>la </w:t>
      </w:r>
      <w:r>
        <w:rPr>
          <w:i/>
          <w:position w:val="2"/>
        </w:rPr>
        <w:t>a</w:t>
      </w:r>
      <w:r>
        <w:rPr>
          <w:i/>
          <w:sz w:val="16"/>
        </w:rPr>
        <w:t>w</w:t>
      </w:r>
      <w:r>
        <w:rPr>
          <w:position w:val="2"/>
        </w:rPr>
        <w:t>, se </w:t>
      </w:r>
      <w:r>
        <w:rPr>
          <w:spacing w:val="-3"/>
          <w:position w:val="2"/>
        </w:rPr>
        <w:t>ha </w:t>
      </w:r>
      <w:r>
        <w:rPr>
          <w:position w:val="2"/>
        </w:rPr>
        <w:t>visto que  </w:t>
      </w:r>
      <w:r>
        <w:rPr>
          <w:spacing w:val="-5"/>
          <w:position w:val="2"/>
        </w:rPr>
        <w:t>la  </w:t>
      </w:r>
      <w:r>
        <w:rPr>
          <w:position w:val="2"/>
        </w:rPr>
        <w:t>inclusión únicamente de  </w:t>
      </w:r>
      <w:r>
        <w:rPr>
          <w:spacing w:val="-5"/>
          <w:position w:val="2"/>
        </w:rPr>
        <w:t>la  </w:t>
      </w:r>
      <w:r>
        <w:rPr>
          <w:i/>
          <w:position w:val="2"/>
        </w:rPr>
        <w:t>a</w:t>
      </w:r>
      <w:r>
        <w:rPr>
          <w:i/>
          <w:sz w:val="16"/>
        </w:rPr>
        <w:t>w  </w:t>
      </w:r>
      <w:r>
        <w:rPr>
          <w:position w:val="2"/>
        </w:rPr>
        <w:t>es  insuficiente puesto que </w:t>
      </w:r>
      <w:r>
        <w:rPr>
          <w:spacing w:val="-3"/>
          <w:position w:val="2"/>
        </w:rPr>
        <w:t>no  ha  </w:t>
      </w:r>
      <w:r>
        <w:rPr>
          <w:position w:val="2"/>
        </w:rPr>
        <w:t>podido  explicar</w:t>
      </w:r>
      <w:r>
        <w:rPr>
          <w:spacing w:val="58"/>
          <w:position w:val="2"/>
        </w:rPr>
        <w:t> </w:t>
      </w:r>
      <w:r>
        <w:rPr>
          <w:spacing w:val="-3"/>
          <w:position w:val="2"/>
        </w:rPr>
        <w:t>las</w:t>
      </w:r>
    </w:p>
    <w:p>
      <w:pPr>
        <w:spacing w:after="0" w:line="360" w:lineRule="auto"/>
        <w:jc w:val="both"/>
        <w:sectPr>
          <w:footerReference w:type="default" r:id="rId13"/>
          <w:footerReference w:type="even" r:id="rId14"/>
          <w:pgSz w:w="11900" w:h="16840"/>
          <w:pgMar w:footer="1370" w:header="0" w:top="1360" w:bottom="1560" w:left="1340" w:right="1320"/>
          <w:pgNumType w:start="1"/>
        </w:sectPr>
      </w:pPr>
    </w:p>
    <w:p>
      <w:pPr>
        <w:pStyle w:val="BodyText"/>
        <w:spacing w:line="360" w:lineRule="auto" w:before="54"/>
        <w:ind w:left="100" w:right="130"/>
        <w:jc w:val="both"/>
      </w:pPr>
      <w:r>
        <w:rPr/>
        <w:t>variaciones en las velocidades de reacción, cambios estructurales y de flujo, o cambios en la difusión.</w:t>
      </w:r>
    </w:p>
    <w:p>
      <w:pPr>
        <w:pStyle w:val="BodyText"/>
      </w:pPr>
    </w:p>
    <w:p>
      <w:pPr>
        <w:pStyle w:val="BodyText"/>
        <w:spacing w:before="2"/>
        <w:rPr>
          <w:sz w:val="30"/>
        </w:rPr>
      </w:pPr>
    </w:p>
    <w:p>
      <w:pPr>
        <w:pStyle w:val="ListParagraph"/>
        <w:numPr>
          <w:ilvl w:val="2"/>
          <w:numId w:val="6"/>
        </w:numPr>
        <w:tabs>
          <w:tab w:pos="821" w:val="left" w:leader="none"/>
        </w:tabs>
        <w:spacing w:line="240" w:lineRule="auto" w:before="0" w:after="0"/>
        <w:ind w:left="821" w:right="0" w:hanging="721"/>
        <w:jc w:val="both"/>
        <w:rPr>
          <w:b/>
          <w:sz w:val="24"/>
        </w:rPr>
      </w:pPr>
      <w:r>
        <w:rPr>
          <w:b/>
          <w:sz w:val="24"/>
        </w:rPr>
        <w:t>Transición</w:t>
      </w:r>
      <w:r>
        <w:rPr>
          <w:b/>
          <w:spacing w:val="-12"/>
          <w:sz w:val="24"/>
        </w:rPr>
        <w:t> </w:t>
      </w:r>
      <w:r>
        <w:rPr>
          <w:b/>
          <w:sz w:val="24"/>
        </w:rPr>
        <w:t>Vítrea</w:t>
      </w:r>
    </w:p>
    <w:p>
      <w:pPr>
        <w:pStyle w:val="BodyText"/>
        <w:spacing w:line="360" w:lineRule="auto" w:before="137"/>
        <w:ind w:left="100" w:right="114"/>
        <w:jc w:val="both"/>
      </w:pPr>
      <w:r>
        <w:rPr/>
        <w:t>La transición vítrea es una propiedad de sólidos </w:t>
      </w:r>
      <w:r>
        <w:rPr>
          <w:spacing w:val="-3"/>
        </w:rPr>
        <w:t>no </w:t>
      </w:r>
      <w:r>
        <w:rPr/>
        <w:t>cristalinos que afecta </w:t>
      </w:r>
      <w:r>
        <w:rPr>
          <w:spacing w:val="-3"/>
        </w:rPr>
        <w:t>las </w:t>
      </w:r>
      <w:r>
        <w:rPr/>
        <w:t>propiedades mecánicas y movilidad molecular del alimento sólido. Esta ocurre en un intervalo de temperatura en </w:t>
      </w:r>
      <w:r>
        <w:rPr>
          <w:spacing w:val="-5"/>
        </w:rPr>
        <w:t>la </w:t>
      </w:r>
      <w:r>
        <w:rPr/>
        <w:t>que </w:t>
      </w:r>
      <w:r>
        <w:rPr>
          <w:spacing w:val="-3"/>
        </w:rPr>
        <w:t>las </w:t>
      </w:r>
      <w:r>
        <w:rPr/>
        <w:t>moléculas sólo exhiben movimiento rotacional y vibracional. Cuando se calientan por </w:t>
      </w:r>
      <w:r>
        <w:rPr>
          <w:spacing w:val="-3"/>
        </w:rPr>
        <w:t>encima </w:t>
      </w:r>
      <w:r>
        <w:rPr/>
        <w:t>de esta, </w:t>
      </w:r>
      <w:r>
        <w:rPr>
          <w:spacing w:val="-4"/>
        </w:rPr>
        <w:t>las </w:t>
      </w:r>
      <w:r>
        <w:rPr/>
        <w:t>moléculas se vuelven móviles y ganan movilidad translacional. Por </w:t>
      </w:r>
      <w:r>
        <w:rPr>
          <w:spacing w:val="-5"/>
        </w:rPr>
        <w:t>lo </w:t>
      </w:r>
      <w:r>
        <w:rPr/>
        <w:t>que </w:t>
      </w:r>
      <w:r>
        <w:rPr>
          <w:spacing w:val="-5"/>
        </w:rPr>
        <w:t>la </w:t>
      </w:r>
      <w:r>
        <w:rPr/>
        <w:t>transición vítrea se relaciona con los cambios estructurales, cristalización y de reacciones controlados por difusión, en el alimento. </w:t>
      </w:r>
      <w:r>
        <w:rPr>
          <w:spacing w:val="-3"/>
        </w:rPr>
        <w:t>Dicha  </w:t>
      </w:r>
      <w:r>
        <w:rPr/>
        <w:t>transición  puede ocurrir a diferentes temperaturas dependiendo del contenido de agua; incluso, puede </w:t>
      </w:r>
      <w:r>
        <w:rPr>
          <w:position w:val="2"/>
        </w:rPr>
        <w:t>darse a temperatura ambiente según </w:t>
      </w:r>
      <w:r>
        <w:rPr>
          <w:spacing w:val="-3"/>
          <w:position w:val="2"/>
        </w:rPr>
        <w:t>la </w:t>
      </w:r>
      <w:r>
        <w:rPr>
          <w:i/>
          <w:position w:val="2"/>
        </w:rPr>
        <w:t>a</w:t>
      </w:r>
      <w:r>
        <w:rPr>
          <w:i/>
          <w:sz w:val="16"/>
        </w:rPr>
        <w:t>w </w:t>
      </w:r>
      <w:r>
        <w:rPr>
          <w:position w:val="2"/>
        </w:rPr>
        <w:t>y contenido de humedad del sistema.</w:t>
      </w:r>
    </w:p>
    <w:p>
      <w:pPr>
        <w:pStyle w:val="BodyText"/>
      </w:pPr>
    </w:p>
    <w:p>
      <w:pPr>
        <w:pStyle w:val="BodyText"/>
        <w:spacing w:line="360" w:lineRule="auto" w:before="142"/>
        <w:ind w:left="100" w:right="120"/>
        <w:jc w:val="both"/>
      </w:pPr>
      <w:r>
        <w:rPr/>
        <w:t>Puesto que el agua es el principal solvente y plastificante (suavizante) de alimentos sólidos,  se </w:t>
      </w:r>
      <w:r>
        <w:rPr>
          <w:spacing w:val="-3"/>
        </w:rPr>
        <w:t>ha </w:t>
      </w:r>
      <w:r>
        <w:rPr/>
        <w:t>visto que </w:t>
      </w:r>
      <w:r>
        <w:rPr>
          <w:spacing w:val="-5"/>
        </w:rPr>
        <w:t>la </w:t>
      </w:r>
      <w:r>
        <w:rPr/>
        <w:t>interacción de moléculas de agua con componentes amorfos disminuye </w:t>
      </w:r>
      <w:r>
        <w:rPr>
          <w:spacing w:val="-3"/>
        </w:rPr>
        <w:t>la </w:t>
      </w:r>
      <w:r>
        <w:rPr/>
        <w:t>temperatura de transición (</w:t>
      </w:r>
      <w:r>
        <w:rPr>
          <w:i/>
        </w:rPr>
        <w:t>Tg</w:t>
      </w:r>
      <w:r>
        <w:rPr/>
        <w:t>) al incrementar el contenido de humedad. </w:t>
      </w:r>
      <w:r>
        <w:rPr>
          <w:spacing w:val="-4"/>
        </w:rPr>
        <w:t>Como </w:t>
      </w:r>
      <w:r>
        <w:rPr/>
        <w:t>resultado de </w:t>
      </w:r>
      <w:r>
        <w:rPr>
          <w:spacing w:val="-10"/>
        </w:rPr>
        <w:t>la </w:t>
      </w:r>
      <w:r>
        <w:rPr/>
        <w:t>plastificación, el volumen libre y movilidad molecular de un material incrementan, por </w:t>
      </w:r>
      <w:r>
        <w:rPr>
          <w:spacing w:val="-5"/>
        </w:rPr>
        <w:t>lo </w:t>
      </w:r>
      <w:r>
        <w:rPr/>
        <w:t>que </w:t>
      </w:r>
      <w:r>
        <w:rPr>
          <w:spacing w:val="-3"/>
        </w:rPr>
        <w:t>la </w:t>
      </w:r>
      <w:r>
        <w:rPr>
          <w:i/>
        </w:rPr>
        <w:t>Tg </w:t>
      </w:r>
      <w:r>
        <w:rPr/>
        <w:t>se observa a menor temperatura al haber mayor contenido de humedad</w:t>
      </w:r>
      <w:r>
        <w:rPr>
          <w:spacing w:val="-11"/>
        </w:rPr>
        <w:t> </w:t>
      </w:r>
      <w:r>
        <w:rPr/>
        <w:t>[</w:t>
      </w:r>
      <w:r>
        <w:rPr>
          <w:b/>
        </w:rPr>
        <w:t>21</w:t>
      </w:r>
      <w:r>
        <w:rPr/>
        <w:t>].</w:t>
      </w:r>
    </w:p>
    <w:p>
      <w:pPr>
        <w:pStyle w:val="BodyText"/>
      </w:pPr>
    </w:p>
    <w:p>
      <w:pPr>
        <w:pStyle w:val="BodyText"/>
        <w:spacing w:before="9"/>
        <w:rPr>
          <w:sz w:val="29"/>
        </w:rPr>
      </w:pPr>
    </w:p>
    <w:p>
      <w:pPr>
        <w:pStyle w:val="ListParagraph"/>
        <w:numPr>
          <w:ilvl w:val="2"/>
          <w:numId w:val="6"/>
        </w:numPr>
        <w:tabs>
          <w:tab w:pos="821" w:val="left" w:leader="none"/>
        </w:tabs>
        <w:spacing w:line="240" w:lineRule="auto" w:before="0" w:after="0"/>
        <w:ind w:left="821" w:right="0" w:hanging="721"/>
        <w:jc w:val="both"/>
        <w:rPr>
          <w:b/>
          <w:sz w:val="24"/>
        </w:rPr>
      </w:pPr>
      <w:r>
        <w:rPr>
          <w:b/>
          <w:sz w:val="24"/>
        </w:rPr>
        <w:t>Isotermas de</w:t>
      </w:r>
      <w:r>
        <w:rPr>
          <w:b/>
          <w:spacing w:val="-12"/>
          <w:sz w:val="24"/>
        </w:rPr>
        <w:t> </w:t>
      </w:r>
      <w:r>
        <w:rPr>
          <w:b/>
          <w:sz w:val="24"/>
        </w:rPr>
        <w:t>adsorción</w:t>
      </w:r>
    </w:p>
    <w:p>
      <w:pPr>
        <w:pStyle w:val="BodyText"/>
        <w:spacing w:line="360" w:lineRule="auto" w:before="137"/>
        <w:ind w:left="100" w:right="115"/>
        <w:jc w:val="both"/>
      </w:pPr>
      <w:r>
        <w:rPr/>
        <w:t>El rol del agua en la estabilidad de productos alimenticios es interesante ya que contribuye a ambos tipos de deterioro, químicos y físicos, por su habilidad de disolver reactivos, movilizarlos y participar en dichas reacciones. Por esta razón es importante obtener una </w:t>
      </w:r>
      <w:r>
        <w:rPr>
          <w:position w:val="2"/>
        </w:rPr>
        <w:t>relación entre la cantidad de humedad adsorbida y la </w:t>
      </w:r>
      <w:r>
        <w:rPr>
          <w:i/>
          <w:position w:val="2"/>
        </w:rPr>
        <w:t>a</w:t>
      </w:r>
      <w:r>
        <w:rPr>
          <w:i/>
          <w:sz w:val="16"/>
        </w:rPr>
        <w:t>w </w:t>
      </w:r>
      <w:r>
        <w:rPr>
          <w:position w:val="2"/>
        </w:rPr>
        <w:t>del sistema. Dicha relación entre el contenido de humedad y </w:t>
      </w:r>
      <w:r>
        <w:rPr>
          <w:i/>
          <w:position w:val="2"/>
        </w:rPr>
        <w:t>a</w:t>
      </w:r>
      <w:r>
        <w:rPr>
          <w:i/>
          <w:sz w:val="16"/>
        </w:rPr>
        <w:t>w </w:t>
      </w:r>
      <w:r>
        <w:rPr>
          <w:position w:val="2"/>
        </w:rPr>
        <w:t>bajo condiciones isotérmicas se representa mediante un gráfico </w:t>
      </w:r>
      <w:r>
        <w:rPr/>
        <w:t>denominado isoterma de adsorción de humedad.</w:t>
      </w:r>
    </w:p>
    <w:p>
      <w:pPr>
        <w:pStyle w:val="BodyText"/>
      </w:pPr>
    </w:p>
    <w:p>
      <w:pPr>
        <w:pStyle w:val="BodyText"/>
        <w:spacing w:line="360" w:lineRule="auto" w:before="145"/>
        <w:ind w:left="100" w:right="117"/>
        <w:jc w:val="both"/>
      </w:pPr>
      <w:r>
        <w:rPr/>
        <w:t>A partir de </w:t>
      </w:r>
      <w:r>
        <w:rPr>
          <w:spacing w:val="-5"/>
        </w:rPr>
        <w:t>la </w:t>
      </w:r>
      <w:r>
        <w:rPr/>
        <w:t>transición vítrea y de las isotermas de adsorción se pueden establecer diagramas </w:t>
      </w:r>
      <w:r>
        <w:rPr>
          <w:position w:val="2"/>
        </w:rPr>
        <w:t>para describir el contenido de humedad y </w:t>
      </w:r>
      <w:r>
        <w:rPr>
          <w:i/>
          <w:position w:val="2"/>
        </w:rPr>
        <w:t>a</w:t>
      </w:r>
      <w:r>
        <w:rPr>
          <w:i/>
          <w:sz w:val="16"/>
        </w:rPr>
        <w:t>w </w:t>
      </w:r>
      <w:r>
        <w:rPr>
          <w:position w:val="2"/>
        </w:rPr>
        <w:t>críticos considerando a </w:t>
      </w:r>
      <w:r>
        <w:rPr>
          <w:spacing w:val="-5"/>
          <w:position w:val="2"/>
        </w:rPr>
        <w:t>la </w:t>
      </w:r>
      <w:r>
        <w:rPr>
          <w:position w:val="2"/>
        </w:rPr>
        <w:t>Tg </w:t>
      </w:r>
      <w:r>
        <w:rPr>
          <w:spacing w:val="-3"/>
          <w:position w:val="2"/>
        </w:rPr>
        <w:t>como </w:t>
      </w:r>
      <w:r>
        <w:rPr>
          <w:spacing w:val="-5"/>
          <w:position w:val="2"/>
        </w:rPr>
        <w:t>la  </w:t>
      </w:r>
      <w:r>
        <w:rPr/>
        <w:t>temperatura observada. En esto se asume que el incremento en </w:t>
      </w:r>
      <w:r>
        <w:rPr>
          <w:spacing w:val="-5"/>
        </w:rPr>
        <w:t>la </w:t>
      </w:r>
      <w:r>
        <w:rPr/>
        <w:t>movilidad molecular por encima de </w:t>
      </w:r>
      <w:r>
        <w:rPr>
          <w:spacing w:val="-3"/>
        </w:rPr>
        <w:t>la </w:t>
      </w:r>
      <w:r>
        <w:rPr/>
        <w:t>transición vítrea aumenta </w:t>
      </w:r>
      <w:r>
        <w:rPr>
          <w:spacing w:val="-4"/>
        </w:rPr>
        <w:t>las </w:t>
      </w:r>
      <w:r>
        <w:rPr/>
        <w:t>transformaciones estructurales y mejora </w:t>
      </w:r>
      <w:r>
        <w:rPr>
          <w:spacing w:val="-3"/>
        </w:rPr>
        <w:t>la  </w:t>
      </w:r>
      <w:r>
        <w:rPr/>
        <w:t>difusión, que puede acelerar cambios deteriorativos. Al conjuntar ambos enfoques, se asegura </w:t>
      </w:r>
      <w:r>
        <w:rPr>
          <w:spacing w:val="-3"/>
        </w:rPr>
        <w:t>la </w:t>
      </w:r>
      <w:r>
        <w:rPr/>
        <w:t>estabilidad física y química del</w:t>
      </w:r>
      <w:r>
        <w:rPr>
          <w:spacing w:val="-10"/>
        </w:rPr>
        <w:t> </w:t>
      </w:r>
      <w:r>
        <w:rPr/>
        <w:t>alimento.</w:t>
      </w:r>
    </w:p>
    <w:p>
      <w:pPr>
        <w:spacing w:after="0" w:line="360" w:lineRule="auto"/>
        <w:jc w:val="both"/>
        <w:sectPr>
          <w:pgSz w:w="11900" w:h="16840"/>
          <w:pgMar w:header="0" w:footer="1026" w:top="1360" w:bottom="1220" w:left="1340" w:right="1320"/>
        </w:sectPr>
      </w:pPr>
    </w:p>
    <w:p>
      <w:pPr>
        <w:pStyle w:val="BodyText"/>
        <w:spacing w:before="5"/>
        <w:rPr>
          <w:sz w:val="15"/>
        </w:rPr>
      </w:pPr>
    </w:p>
    <w:p>
      <w:pPr>
        <w:pStyle w:val="BodyText"/>
        <w:spacing w:line="360" w:lineRule="auto" w:before="69"/>
        <w:ind w:left="100" w:right="113"/>
        <w:jc w:val="both"/>
      </w:pPr>
      <w:r>
        <w:rPr/>
        <w:t>Para ajustar los datos experimentales tanto de adsorción de humedad como de transición vítrea, numerosos modelos han sido propuestos. De entre todos ellos, los que destacan son el modelo de GAB que permite ajustar la adsorción en un amplio intervalo de actividad de agua teniendo bajos errores de correlación y el modelo de Gordon-Taylor, el cual ha tenido gran aceptación debido a su sencillez y versatilidad en modelar la transición vítrea de un sinfín de sistemas.</w:t>
      </w:r>
    </w:p>
    <w:p>
      <w:pPr>
        <w:pStyle w:val="BodyText"/>
      </w:pPr>
    </w:p>
    <w:p>
      <w:pPr>
        <w:pStyle w:val="BodyText"/>
        <w:spacing w:before="2"/>
        <w:rPr>
          <w:sz w:val="30"/>
        </w:rPr>
      </w:pPr>
    </w:p>
    <w:p>
      <w:pPr>
        <w:pStyle w:val="ListParagraph"/>
        <w:numPr>
          <w:ilvl w:val="2"/>
          <w:numId w:val="6"/>
        </w:numPr>
        <w:tabs>
          <w:tab w:pos="821" w:val="left" w:leader="none"/>
        </w:tabs>
        <w:spacing w:line="240" w:lineRule="auto" w:before="0" w:after="0"/>
        <w:ind w:left="821" w:right="0" w:hanging="721"/>
        <w:jc w:val="both"/>
        <w:rPr>
          <w:b/>
          <w:sz w:val="24"/>
        </w:rPr>
      </w:pPr>
      <w:r>
        <w:rPr>
          <w:b/>
          <w:sz w:val="24"/>
        </w:rPr>
        <w:t>Entropía</w:t>
      </w:r>
      <w:r>
        <w:rPr>
          <w:b/>
          <w:spacing w:val="-7"/>
          <w:sz w:val="24"/>
        </w:rPr>
        <w:t> </w:t>
      </w:r>
      <w:r>
        <w:rPr>
          <w:b/>
          <w:sz w:val="24"/>
        </w:rPr>
        <w:t>integral</w:t>
      </w:r>
    </w:p>
    <w:p>
      <w:pPr>
        <w:pStyle w:val="BodyText"/>
        <w:spacing w:line="360" w:lineRule="auto" w:before="137"/>
        <w:ind w:left="100" w:right="115"/>
        <w:jc w:val="both"/>
      </w:pPr>
      <w:r>
        <w:rPr/>
        <w:t>De acuerdo a </w:t>
      </w:r>
      <w:r>
        <w:rPr>
          <w:spacing w:val="-5"/>
        </w:rPr>
        <w:t>la </w:t>
      </w:r>
      <w:r>
        <w:rPr/>
        <w:t>primera ley de </w:t>
      </w:r>
      <w:r>
        <w:rPr>
          <w:spacing w:val="-5"/>
        </w:rPr>
        <w:t>la </w:t>
      </w:r>
      <w:r>
        <w:rPr/>
        <w:t>termodinámica, para un sistema que experimenta  un cambio, </w:t>
      </w:r>
      <w:r>
        <w:rPr>
          <w:spacing w:val="-5"/>
        </w:rPr>
        <w:t>la </w:t>
      </w:r>
      <w:r>
        <w:rPr/>
        <w:t>fuerza impulsora es </w:t>
      </w:r>
      <w:r>
        <w:rPr>
          <w:spacing w:val="-5"/>
        </w:rPr>
        <w:t>la </w:t>
      </w:r>
      <w:r>
        <w:rPr/>
        <w:t>diferencia de energía libre de </w:t>
      </w:r>
      <w:r>
        <w:rPr>
          <w:spacing w:val="-3"/>
        </w:rPr>
        <w:t>la </w:t>
      </w:r>
      <w:r>
        <w:rPr/>
        <w:t>sustancia que está sufriendo el cambio de estado. Si bien las diferentes propiedades termodinámicas tienen un significado para el sistema alimenticio en cuestión, </w:t>
      </w:r>
      <w:r>
        <w:rPr>
          <w:spacing w:val="-5"/>
        </w:rPr>
        <w:t>la </w:t>
      </w:r>
      <w:r>
        <w:rPr/>
        <w:t>entropía integral en específico define </w:t>
      </w:r>
      <w:r>
        <w:rPr>
          <w:spacing w:val="-3"/>
        </w:rPr>
        <w:t>la </w:t>
      </w:r>
      <w:r>
        <w:rPr/>
        <w:t>estabilidad del sistema ante cambios fisicoquímicos. De aquí, que el punto </w:t>
      </w:r>
      <w:r>
        <w:rPr>
          <w:spacing w:val="-3"/>
        </w:rPr>
        <w:t>mínimo </w:t>
      </w:r>
      <w:r>
        <w:rPr/>
        <w:t>de </w:t>
      </w:r>
      <w:r>
        <w:rPr>
          <w:spacing w:val="-5"/>
        </w:rPr>
        <w:t>la </w:t>
      </w:r>
      <w:r>
        <w:rPr/>
        <w:t>entropía integral sea </w:t>
      </w:r>
      <w:r>
        <w:rPr>
          <w:spacing w:val="-3"/>
        </w:rPr>
        <w:t>la </w:t>
      </w:r>
      <w:r>
        <w:rPr/>
        <w:t>condición en </w:t>
      </w:r>
      <w:r>
        <w:rPr>
          <w:spacing w:val="-3"/>
        </w:rPr>
        <w:t>la </w:t>
      </w:r>
      <w:r>
        <w:rPr/>
        <w:t>cual el sistema será más estable ante cambios deteriorativos como reacciones de oxidación, oscurecimiento y otras. Esto es consecuencia de que </w:t>
      </w:r>
      <w:r>
        <w:rPr>
          <w:spacing w:val="-3"/>
        </w:rPr>
        <w:t>las </w:t>
      </w:r>
      <w:r>
        <w:rPr/>
        <w:t>moléculas de agua dentro del alimento se encuentran </w:t>
      </w:r>
      <w:r>
        <w:rPr>
          <w:spacing w:val="-3"/>
        </w:rPr>
        <w:t>más </w:t>
      </w:r>
      <w:r>
        <w:rPr/>
        <w:t>ordenadas y es en donde existe </w:t>
      </w:r>
      <w:r>
        <w:rPr>
          <w:spacing w:val="-5"/>
        </w:rPr>
        <w:t>la </w:t>
      </w:r>
      <w:r>
        <w:rPr/>
        <w:t>atracción más fuerte entre adsorbato y adsorbente, provocando que el agua esté menos disponible para participar en reacciones de</w:t>
      </w:r>
      <w:r>
        <w:rPr>
          <w:spacing w:val="-13"/>
        </w:rPr>
        <w:t> </w:t>
      </w:r>
      <w:r>
        <w:rPr/>
        <w:t>deterioro.</w:t>
      </w:r>
    </w:p>
    <w:p>
      <w:pPr>
        <w:pStyle w:val="BodyText"/>
      </w:pPr>
    </w:p>
    <w:p>
      <w:pPr>
        <w:pStyle w:val="BodyText"/>
        <w:spacing w:line="360" w:lineRule="auto" w:before="146"/>
        <w:ind w:left="100" w:right="106"/>
        <w:jc w:val="both"/>
      </w:pPr>
      <w:r>
        <w:rPr/>
        <w:t>Los valores de actividad de agua y contenido de humedad que corresponden a </w:t>
      </w:r>
      <w:r>
        <w:rPr>
          <w:spacing w:val="-5"/>
        </w:rPr>
        <w:t>la </w:t>
      </w:r>
      <w:r>
        <w:rPr/>
        <w:t>mínima entropía integral dependen de </w:t>
      </w:r>
      <w:r>
        <w:rPr>
          <w:spacing w:val="-5"/>
        </w:rPr>
        <w:t>la </w:t>
      </w:r>
      <w:r>
        <w:rPr/>
        <w:t>microestructura del alimento. Lo anterior es consecuencia de que durante el proceso de adsorción, mecanismos entálpicos referentes a fuerzas de  naturaleza química entre el alimento y el agua, toman lugar. No obstante, a bajos niveles de humedad, mecanismos entálpicos prevalecen. Después del llenado de los microporos, </w:t>
      </w:r>
      <w:r>
        <w:rPr>
          <w:spacing w:val="-3"/>
        </w:rPr>
        <w:t>las </w:t>
      </w:r>
      <w:r>
        <w:rPr/>
        <w:t>moléculas de agua interaccionan con </w:t>
      </w:r>
      <w:r>
        <w:rPr>
          <w:spacing w:val="-4"/>
        </w:rPr>
        <w:t>más </w:t>
      </w:r>
      <w:r>
        <w:rPr/>
        <w:t>moléculas de agua y el llenado de los microporos comienza, en donde fuerzas capilares y superficiales controlan </w:t>
      </w:r>
      <w:r>
        <w:rPr>
          <w:spacing w:val="-3"/>
        </w:rPr>
        <w:t>la </w:t>
      </w:r>
      <w:r>
        <w:rPr/>
        <w:t>difusión</w:t>
      </w:r>
      <w:r>
        <w:rPr>
          <w:spacing w:val="-14"/>
        </w:rPr>
        <w:t> </w:t>
      </w:r>
      <w:r>
        <w:rPr/>
        <w:t>[</w:t>
      </w:r>
      <w:hyperlink w:history="true" w:anchor="_bookmark0">
        <w:r>
          <w:rPr>
            <w:b/>
          </w:rPr>
          <w:t>22</w:t>
        </w:r>
      </w:hyperlink>
      <w:r>
        <w:rPr/>
        <w:t>].</w:t>
      </w:r>
    </w:p>
    <w:p>
      <w:pPr>
        <w:pStyle w:val="BodyText"/>
      </w:pPr>
    </w:p>
    <w:p>
      <w:pPr>
        <w:pStyle w:val="BodyText"/>
        <w:spacing w:before="9"/>
        <w:rPr>
          <w:sz w:val="29"/>
        </w:rPr>
      </w:pPr>
    </w:p>
    <w:p>
      <w:pPr>
        <w:pStyle w:val="ListParagraph"/>
        <w:numPr>
          <w:ilvl w:val="1"/>
          <w:numId w:val="6"/>
        </w:numPr>
        <w:tabs>
          <w:tab w:pos="677" w:val="left" w:leader="none"/>
        </w:tabs>
        <w:spacing w:line="240" w:lineRule="auto" w:before="0" w:after="0"/>
        <w:ind w:left="677" w:right="0" w:hanging="577"/>
        <w:jc w:val="both"/>
        <w:rPr>
          <w:b/>
          <w:sz w:val="24"/>
        </w:rPr>
      </w:pPr>
      <w:r>
        <w:rPr>
          <w:b/>
          <w:sz w:val="24"/>
        </w:rPr>
        <w:t>OXIDACIÓN DE ACEITES</w:t>
      </w:r>
      <w:r>
        <w:rPr>
          <w:b/>
          <w:spacing w:val="-13"/>
          <w:sz w:val="24"/>
        </w:rPr>
        <w:t> </w:t>
      </w:r>
      <w:r>
        <w:rPr>
          <w:b/>
          <w:sz w:val="24"/>
        </w:rPr>
        <w:t>COMESTIBLES</w:t>
      </w:r>
    </w:p>
    <w:p>
      <w:pPr>
        <w:pStyle w:val="BodyText"/>
        <w:rPr>
          <w:b/>
        </w:rPr>
      </w:pPr>
    </w:p>
    <w:p>
      <w:pPr>
        <w:pStyle w:val="BodyText"/>
        <w:spacing w:before="2"/>
        <w:rPr>
          <w:b/>
        </w:rPr>
      </w:pPr>
    </w:p>
    <w:p>
      <w:pPr>
        <w:pStyle w:val="BodyText"/>
        <w:spacing w:line="360" w:lineRule="auto"/>
        <w:ind w:left="100" w:right="111"/>
        <w:jc w:val="both"/>
      </w:pPr>
      <w:r>
        <w:rPr/>
        <w:t>Es conocido que la oxidación de ácidos grasos poliinsaturado (PUFA) es autocatalítica y se lleva a cabo en tres fases: (1) iniciación, (2) propagación, y (3) terminación, en las cuales  los</w:t>
      </w:r>
    </w:p>
    <w:p>
      <w:pPr>
        <w:spacing w:after="0" w:line="360" w:lineRule="auto"/>
        <w:jc w:val="both"/>
        <w:sectPr>
          <w:pgSz w:w="11900" w:h="16840"/>
          <w:pgMar w:header="0" w:footer="1370" w:top="1580" w:bottom="1560" w:left="1340" w:right="1320"/>
        </w:sectPr>
      </w:pPr>
    </w:p>
    <w:p>
      <w:pPr>
        <w:pStyle w:val="BodyText"/>
        <w:spacing w:line="360" w:lineRule="auto" w:before="54"/>
        <w:ind w:left="100" w:right="122"/>
        <w:jc w:val="both"/>
      </w:pPr>
      <w:r>
        <w:rPr/>
        <w:t>hidroperóxidos juegan un papel sumamente importante, pues son éstos los primeros compuestos “estables” que se forman una vez iniciada la reacción de oxidación.</w:t>
      </w:r>
    </w:p>
    <w:p>
      <w:pPr>
        <w:pStyle w:val="BodyText"/>
      </w:pPr>
    </w:p>
    <w:p>
      <w:pPr>
        <w:pStyle w:val="BodyText"/>
        <w:spacing w:before="2"/>
        <w:rPr>
          <w:sz w:val="30"/>
        </w:rPr>
      </w:pPr>
    </w:p>
    <w:p>
      <w:pPr>
        <w:pStyle w:val="Heading2"/>
        <w:numPr>
          <w:ilvl w:val="2"/>
          <w:numId w:val="6"/>
        </w:numPr>
        <w:tabs>
          <w:tab w:pos="821" w:val="left" w:leader="none"/>
        </w:tabs>
        <w:spacing w:line="240" w:lineRule="auto" w:before="0" w:after="0"/>
        <w:ind w:left="821" w:right="0" w:hanging="721"/>
        <w:jc w:val="both"/>
      </w:pPr>
      <w:bookmarkStart w:name="_TOC_250009" w:id="1"/>
      <w:r>
        <w:rPr/>
        <w:t>Fase de</w:t>
      </w:r>
      <w:r>
        <w:rPr>
          <w:spacing w:val="-5"/>
        </w:rPr>
        <w:t> </w:t>
      </w:r>
      <w:bookmarkEnd w:id="1"/>
      <w:r>
        <w:rPr/>
        <w:t>iniciación</w:t>
      </w:r>
    </w:p>
    <w:p>
      <w:pPr>
        <w:pStyle w:val="BodyText"/>
        <w:spacing w:line="360" w:lineRule="auto" w:before="137"/>
        <w:ind w:left="100" w:right="111"/>
        <w:jc w:val="both"/>
      </w:pPr>
      <w:r>
        <w:rPr/>
        <w:t>Durante </w:t>
      </w:r>
      <w:r>
        <w:rPr>
          <w:spacing w:val="-5"/>
        </w:rPr>
        <w:t>la </w:t>
      </w:r>
      <w:r>
        <w:rPr/>
        <w:t>fase de iniciación, cuando </w:t>
      </w:r>
      <w:r>
        <w:rPr>
          <w:spacing w:val="-3"/>
        </w:rPr>
        <w:t>no </w:t>
      </w:r>
      <w:r>
        <w:rPr/>
        <w:t>existen inicialmente hidroperóxidos ni otro agente pro-oxidante, las velocidades de consumo de hidrógeno, desaparición del sustrato  y formación de hidroperóxidos son muy lentas, y </w:t>
      </w:r>
      <w:r>
        <w:rPr>
          <w:spacing w:val="-5"/>
        </w:rPr>
        <w:t>la </w:t>
      </w:r>
      <w:r>
        <w:rPr/>
        <w:t>reacción generalmente sigue </w:t>
      </w:r>
      <w:r>
        <w:rPr>
          <w:spacing w:val="-5"/>
        </w:rPr>
        <w:t>la </w:t>
      </w:r>
      <w:r>
        <w:rPr/>
        <w:t>relación de consumo de un mol de oxígeno por mol de PUFA para producir un mol de hidroperóxido. Aunque es complicado conocer cómo se produce el primer hidroperóxido en </w:t>
      </w:r>
      <w:r>
        <w:rPr>
          <w:spacing w:val="-5"/>
        </w:rPr>
        <w:t>la </w:t>
      </w:r>
      <w:r>
        <w:rPr/>
        <w:t>reacción de oxidación de los PUFAs, </w:t>
      </w:r>
      <w:r>
        <w:rPr>
          <w:spacing w:val="-5"/>
        </w:rPr>
        <w:t>lo </w:t>
      </w:r>
      <w:r>
        <w:rPr/>
        <w:t>que se intuye es que trazas de </w:t>
      </w:r>
      <w:r>
        <w:rPr>
          <w:spacing w:val="-3"/>
        </w:rPr>
        <w:t>iones </w:t>
      </w:r>
      <w:r>
        <w:rPr/>
        <w:t>metálicos pueden ser los responsables de comenzar este proceso; igualmente se </w:t>
      </w:r>
      <w:r>
        <w:rPr>
          <w:spacing w:val="-3"/>
        </w:rPr>
        <w:t>sabe </w:t>
      </w:r>
      <w:r>
        <w:rPr/>
        <w:t>que </w:t>
      </w:r>
      <w:r>
        <w:rPr>
          <w:spacing w:val="-3"/>
        </w:rPr>
        <w:t>las </w:t>
      </w:r>
      <w:r>
        <w:rPr/>
        <w:t>paredes de </w:t>
      </w:r>
      <w:r>
        <w:rPr>
          <w:spacing w:val="-3"/>
        </w:rPr>
        <w:t>vidrio </w:t>
      </w:r>
      <w:r>
        <w:rPr/>
        <w:t>del recipiente de reacción pueden actuar como catalizadores en </w:t>
      </w:r>
      <w:r>
        <w:rPr>
          <w:spacing w:val="-3"/>
        </w:rPr>
        <w:t>la </w:t>
      </w:r>
      <w:r>
        <w:rPr/>
        <w:t>misma forma que los metales  de transición</w:t>
      </w:r>
      <w:r>
        <w:rPr>
          <w:spacing w:val="-6"/>
        </w:rPr>
        <w:t> </w:t>
      </w:r>
      <w:r>
        <w:rPr/>
        <w:t>[</w:t>
      </w:r>
      <w:r>
        <w:rPr>
          <w:b/>
        </w:rPr>
        <w:t>23</w:t>
      </w:r>
      <w:r>
        <w:rPr/>
        <w:t>].</w:t>
      </w:r>
    </w:p>
    <w:p>
      <w:pPr>
        <w:pStyle w:val="BodyText"/>
      </w:pPr>
    </w:p>
    <w:p>
      <w:pPr>
        <w:pStyle w:val="BodyText"/>
        <w:spacing w:before="140"/>
        <w:ind w:left="100"/>
        <w:jc w:val="both"/>
      </w:pPr>
      <w:r>
        <w:rPr/>
        <w:t>Otras posibles razones por las que puede iniciarse la oxidación de PUFAs incluyen:</w:t>
      </w:r>
    </w:p>
    <w:p>
      <w:pPr>
        <w:pStyle w:val="ListParagraph"/>
        <w:numPr>
          <w:ilvl w:val="0"/>
          <w:numId w:val="7"/>
        </w:numPr>
        <w:tabs>
          <w:tab w:pos="820" w:val="left" w:leader="none"/>
          <w:tab w:pos="821" w:val="left" w:leader="none"/>
        </w:tabs>
        <w:spacing w:line="355" w:lineRule="auto" w:before="134" w:after="0"/>
        <w:ind w:left="821" w:right="115" w:hanging="361"/>
        <w:jc w:val="left"/>
        <w:rPr>
          <w:sz w:val="24"/>
        </w:rPr>
      </w:pPr>
      <w:r>
        <w:rPr>
          <w:sz w:val="24"/>
        </w:rPr>
        <w:t>Luz ultravioleta: </w:t>
      </w:r>
      <w:r>
        <w:rPr>
          <w:spacing w:val="-5"/>
          <w:sz w:val="24"/>
        </w:rPr>
        <w:t>la </w:t>
      </w:r>
      <w:r>
        <w:rPr>
          <w:sz w:val="24"/>
        </w:rPr>
        <w:t>cual, junto con </w:t>
      </w:r>
      <w:r>
        <w:rPr>
          <w:spacing w:val="-5"/>
          <w:sz w:val="24"/>
        </w:rPr>
        <w:t>la </w:t>
      </w:r>
      <w:r>
        <w:rPr>
          <w:sz w:val="24"/>
        </w:rPr>
        <w:t>temperatura, aumentan </w:t>
      </w:r>
      <w:r>
        <w:rPr>
          <w:spacing w:val="-3"/>
          <w:sz w:val="24"/>
        </w:rPr>
        <w:t>la </w:t>
      </w:r>
      <w:r>
        <w:rPr>
          <w:sz w:val="24"/>
        </w:rPr>
        <w:t>velocidad de ataque  del oxígeno presente hacia </w:t>
      </w:r>
      <w:r>
        <w:rPr>
          <w:spacing w:val="3"/>
          <w:sz w:val="24"/>
        </w:rPr>
        <w:t>el</w:t>
      </w:r>
      <w:r>
        <w:rPr>
          <w:spacing w:val="-16"/>
          <w:sz w:val="24"/>
        </w:rPr>
        <w:t> </w:t>
      </w:r>
      <w:r>
        <w:rPr>
          <w:sz w:val="24"/>
        </w:rPr>
        <w:t>sustrato.</w:t>
      </w:r>
    </w:p>
    <w:p>
      <w:pPr>
        <w:pStyle w:val="ListParagraph"/>
        <w:numPr>
          <w:ilvl w:val="0"/>
          <w:numId w:val="7"/>
        </w:numPr>
        <w:tabs>
          <w:tab w:pos="820" w:val="left" w:leader="none"/>
          <w:tab w:pos="821" w:val="left" w:leader="none"/>
        </w:tabs>
        <w:spacing w:line="355" w:lineRule="auto" w:before="6" w:after="0"/>
        <w:ind w:left="821" w:right="123" w:hanging="361"/>
        <w:jc w:val="left"/>
        <w:rPr>
          <w:sz w:val="24"/>
        </w:rPr>
      </w:pPr>
      <w:r>
        <w:rPr>
          <w:sz w:val="24"/>
        </w:rPr>
        <w:t>La oxidación del ácido graso insaturado debido al peróxido de hidrógeno, producido por </w:t>
      </w:r>
      <w:r>
        <w:rPr>
          <w:spacing w:val="-5"/>
          <w:sz w:val="24"/>
        </w:rPr>
        <w:t>la </w:t>
      </w:r>
      <w:r>
        <w:rPr>
          <w:sz w:val="24"/>
        </w:rPr>
        <w:t>descomposición del agua por catálisis en </w:t>
      </w:r>
      <w:r>
        <w:rPr>
          <w:spacing w:val="-5"/>
          <w:sz w:val="24"/>
        </w:rPr>
        <w:t>la </w:t>
      </w:r>
      <w:r>
        <w:rPr>
          <w:sz w:val="24"/>
        </w:rPr>
        <w:t>superficie de algún</w:t>
      </w:r>
      <w:r>
        <w:rPr>
          <w:spacing w:val="6"/>
          <w:sz w:val="24"/>
        </w:rPr>
        <w:t> </w:t>
      </w:r>
      <w:r>
        <w:rPr>
          <w:spacing w:val="-3"/>
          <w:sz w:val="24"/>
        </w:rPr>
        <w:t>metal.</w:t>
      </w:r>
    </w:p>
    <w:p>
      <w:pPr>
        <w:pStyle w:val="ListParagraph"/>
        <w:numPr>
          <w:ilvl w:val="0"/>
          <w:numId w:val="7"/>
        </w:numPr>
        <w:tabs>
          <w:tab w:pos="820" w:val="left" w:leader="none"/>
          <w:tab w:pos="821" w:val="left" w:leader="none"/>
        </w:tabs>
        <w:spacing w:line="240" w:lineRule="auto" w:before="6" w:after="0"/>
        <w:ind w:left="821" w:right="0" w:hanging="361"/>
        <w:jc w:val="left"/>
        <w:rPr>
          <w:sz w:val="24"/>
        </w:rPr>
      </w:pPr>
      <w:r>
        <w:rPr>
          <w:sz w:val="24"/>
        </w:rPr>
        <w:t>Por </w:t>
      </w:r>
      <w:r>
        <w:rPr>
          <w:spacing w:val="-5"/>
          <w:sz w:val="24"/>
        </w:rPr>
        <w:t>la </w:t>
      </w:r>
      <w:r>
        <w:rPr>
          <w:sz w:val="24"/>
        </w:rPr>
        <w:t>combinación de sustratos insaturados con trazas de oxígeno</w:t>
      </w:r>
      <w:r>
        <w:rPr>
          <w:spacing w:val="-7"/>
          <w:sz w:val="24"/>
        </w:rPr>
        <w:t> </w:t>
      </w:r>
      <w:r>
        <w:rPr>
          <w:sz w:val="24"/>
        </w:rPr>
        <w:t>singulete.</w:t>
      </w:r>
    </w:p>
    <w:p>
      <w:pPr>
        <w:pStyle w:val="BodyText"/>
      </w:pPr>
    </w:p>
    <w:p>
      <w:pPr>
        <w:pStyle w:val="BodyText"/>
        <w:spacing w:before="6"/>
      </w:pPr>
    </w:p>
    <w:p>
      <w:pPr>
        <w:pStyle w:val="BodyText"/>
        <w:spacing w:line="360" w:lineRule="auto" w:before="1"/>
        <w:ind w:left="100" w:right="110"/>
        <w:jc w:val="both"/>
      </w:pPr>
      <w:r>
        <w:rPr/>
        <w:t>Una vez que es formado el primer hidroperóxido, éste acelera drásticamente la velocidad de iniciación como consecuencia de la constante de formación de radicales, producto de la descomposición de los hidroperóxidos. Es esta descomposición la causante de la forma lineal o exponencial que puede presentar la curva cinética de la oxidación [</w:t>
      </w:r>
      <w:r>
        <w:rPr>
          <w:b/>
        </w:rPr>
        <w:t>24</w:t>
      </w:r>
      <w:r>
        <w:rPr/>
        <w:t>].</w:t>
      </w:r>
    </w:p>
    <w:p>
      <w:pPr>
        <w:pStyle w:val="BodyText"/>
      </w:pPr>
    </w:p>
    <w:p>
      <w:pPr>
        <w:pStyle w:val="BodyText"/>
        <w:spacing w:before="2"/>
        <w:rPr>
          <w:sz w:val="30"/>
        </w:rPr>
      </w:pPr>
    </w:p>
    <w:p>
      <w:pPr>
        <w:pStyle w:val="Heading2"/>
        <w:numPr>
          <w:ilvl w:val="2"/>
          <w:numId w:val="6"/>
        </w:numPr>
        <w:tabs>
          <w:tab w:pos="821" w:val="left" w:leader="none"/>
        </w:tabs>
        <w:spacing w:line="240" w:lineRule="auto" w:before="0" w:after="0"/>
        <w:ind w:left="821" w:right="0" w:hanging="721"/>
        <w:jc w:val="both"/>
      </w:pPr>
      <w:bookmarkStart w:name="_TOC_250008" w:id="2"/>
      <w:r>
        <w:rPr/>
        <w:t>Fase de</w:t>
      </w:r>
      <w:r>
        <w:rPr>
          <w:spacing w:val="-12"/>
        </w:rPr>
        <w:t> </w:t>
      </w:r>
      <w:bookmarkEnd w:id="2"/>
      <w:r>
        <w:rPr/>
        <w:t>propagación</w:t>
      </w:r>
    </w:p>
    <w:p>
      <w:pPr>
        <w:pStyle w:val="BodyText"/>
        <w:spacing w:line="360" w:lineRule="auto" w:before="137"/>
        <w:ind w:left="100" w:right="117"/>
        <w:jc w:val="both"/>
      </w:pPr>
      <w:r>
        <w:rPr/>
        <w:t>Se debe a la abstracción de un átomo de hidrógeno de una posición alílica o bisalílica del ácido graso poliinsaturado (LH) por un radical peroxilo (ROO*), para generar hidroperóxido (LOOH) y otro radical (L*). La facilidad para abstraer el hidrógeno depende de la energía de disociación de  los enlaces C-H del ácido  graso, por lo  que  la  presencia de dobles    enlaces</w:t>
      </w:r>
    </w:p>
    <w:p>
      <w:pPr>
        <w:spacing w:after="0" w:line="360" w:lineRule="auto"/>
        <w:jc w:val="both"/>
        <w:sectPr>
          <w:pgSz w:w="11900" w:h="16840"/>
          <w:pgMar w:header="0" w:footer="1026" w:top="1360" w:bottom="1220" w:left="1340" w:right="1320"/>
        </w:sectPr>
      </w:pPr>
    </w:p>
    <w:p>
      <w:pPr>
        <w:pStyle w:val="BodyText"/>
        <w:spacing w:line="360" w:lineRule="auto" w:before="54"/>
        <w:ind w:left="100" w:right="113"/>
        <w:jc w:val="both"/>
      </w:pPr>
      <w:r>
        <w:rPr/>
        <w:t>debilita los enlaces C-H adyacentes haciendo que la remoción del átomo de hidrógeno en estos sea más fácil [</w:t>
      </w:r>
      <w:r>
        <w:rPr>
          <w:b/>
        </w:rPr>
        <w:t>24</w:t>
      </w:r>
      <w:r>
        <w:rPr/>
        <w:t>].</w:t>
      </w:r>
    </w:p>
    <w:p>
      <w:pPr>
        <w:pStyle w:val="BodyText"/>
      </w:pPr>
    </w:p>
    <w:p>
      <w:pPr>
        <w:pStyle w:val="BodyText"/>
        <w:spacing w:before="2"/>
        <w:rPr>
          <w:sz w:val="30"/>
        </w:rPr>
      </w:pPr>
    </w:p>
    <w:p>
      <w:pPr>
        <w:pStyle w:val="Heading2"/>
        <w:numPr>
          <w:ilvl w:val="2"/>
          <w:numId w:val="6"/>
        </w:numPr>
        <w:tabs>
          <w:tab w:pos="821" w:val="left" w:leader="none"/>
        </w:tabs>
        <w:spacing w:line="240" w:lineRule="auto" w:before="0" w:after="0"/>
        <w:ind w:left="821" w:right="0" w:hanging="721"/>
        <w:jc w:val="both"/>
      </w:pPr>
      <w:bookmarkStart w:name="_TOC_250007" w:id="3"/>
      <w:r>
        <w:rPr/>
        <w:t>Fase de</w:t>
      </w:r>
      <w:r>
        <w:rPr>
          <w:spacing w:val="-10"/>
        </w:rPr>
        <w:t> </w:t>
      </w:r>
      <w:bookmarkEnd w:id="3"/>
      <w:r>
        <w:rPr/>
        <w:t>terminación</w:t>
      </w:r>
    </w:p>
    <w:p>
      <w:pPr>
        <w:pStyle w:val="BodyText"/>
        <w:spacing w:line="360" w:lineRule="auto" w:before="137"/>
        <w:ind w:left="100" w:right="117"/>
        <w:jc w:val="both"/>
      </w:pPr>
      <w:r>
        <w:rPr/>
        <w:t>Los hidroperóxidos son compuestos relativamente estables en ciertas condiciones como baja temperatura, presencia de antioxidantes y ausencia de catalizadores. Como usualmente estas condiciones no están presentes, los hidroperóxidos son susceptibles a descomponerse. Una vez que el PUFA alcanza cierto contenido de hidroperóxidos, su descomposición se vuelve significativa y la velocidad de oxidación del ácido graso insaturado incrementa. Durante la fase de propagación, la velocidad de formación de hidroperóxidos es mayor que su descomposición pero al alcanzar cierto valor crítico la descomposición es más rápida que la formación de hidroperóxidos.</w:t>
      </w:r>
    </w:p>
    <w:p>
      <w:pPr>
        <w:pStyle w:val="BodyText"/>
      </w:pPr>
    </w:p>
    <w:p>
      <w:pPr>
        <w:pStyle w:val="BodyText"/>
        <w:spacing w:line="360" w:lineRule="auto" w:before="145"/>
        <w:ind w:left="100" w:right="111"/>
        <w:jc w:val="both"/>
      </w:pPr>
      <w:r>
        <w:rPr/>
        <w:t>En esta última fase de autooxidación, una compleja mezcla de compuestos volátiles, no volátiles, dímeros, polímeros, y otros productos de oxidación secundaria son formados por diferentes reacciones de descomposición de hidroperóxidos. Los compuestos formados dependerán finalmente del sistema, ya sea tipo y concentración de PUFA, presencia de agentes oxidantes o antioxidantes y de las condiciones de reacción [</w:t>
      </w:r>
      <w:r>
        <w:rPr>
          <w:b/>
        </w:rPr>
        <w:t>24</w:t>
      </w:r>
      <w:r>
        <w:rPr/>
        <w:t>].</w:t>
      </w:r>
    </w:p>
    <w:p>
      <w:pPr>
        <w:pStyle w:val="BodyText"/>
      </w:pPr>
    </w:p>
    <w:p>
      <w:pPr>
        <w:pStyle w:val="Heading2"/>
        <w:numPr>
          <w:ilvl w:val="2"/>
          <w:numId w:val="6"/>
        </w:numPr>
        <w:tabs>
          <w:tab w:pos="821" w:val="left" w:leader="none"/>
        </w:tabs>
        <w:spacing w:line="240" w:lineRule="auto" w:before="208" w:after="0"/>
        <w:ind w:left="821" w:right="0" w:hanging="721"/>
        <w:jc w:val="both"/>
      </w:pPr>
      <w:bookmarkStart w:name="_TOC_250006" w:id="4"/>
      <w:r>
        <w:rPr/>
        <w:t>Oxidación de aceites comestibles</w:t>
      </w:r>
      <w:r>
        <w:rPr>
          <w:spacing w:val="-18"/>
        </w:rPr>
        <w:t> </w:t>
      </w:r>
      <w:bookmarkEnd w:id="4"/>
      <w:r>
        <w:rPr/>
        <w:t>microencapsulados</w:t>
      </w:r>
    </w:p>
    <w:p>
      <w:pPr>
        <w:pStyle w:val="BodyText"/>
        <w:spacing w:line="360" w:lineRule="auto" w:before="132"/>
        <w:ind w:left="100" w:right="113"/>
        <w:jc w:val="both"/>
      </w:pPr>
      <w:r>
        <w:rPr/>
        <w:t>La microencapsulación de aceites se realiza para proteger los aceites sensibles, enmascarar o preservar aromas y sabores, y convertir los líquidos en sólidos de fácil manejo. El ejemplo más común se encuentra en las fórmulas infantiles lácteas.</w:t>
      </w:r>
    </w:p>
    <w:p>
      <w:pPr>
        <w:pStyle w:val="BodyText"/>
      </w:pPr>
    </w:p>
    <w:p>
      <w:pPr>
        <w:pStyle w:val="BodyText"/>
        <w:spacing w:line="360" w:lineRule="auto" w:before="141"/>
        <w:ind w:left="100" w:right="113"/>
        <w:jc w:val="both"/>
      </w:pPr>
      <w:r>
        <w:rPr/>
        <w:t>La oxidación en este tipo de sistemas es de alta relevancia debido a la pérdida del valor nutricional que conlleva, junto con el desarrollo de olores y sabores inaceptables para el consumidor. Puesto que el proceso de oxidación conduce a la formación de múltiples compuestos, es difícil llevar a cabo la evaluación del grado de oxidación, más aún  si el sustrato se encuentra microencapsulado, puesto que más factores relevantes derivados de la presencia de otros componentes y de la distribución del lípido en la matriz entran en juego. Así mismo, algunas de las variables que afectan la oxidación de aceites microencapsulados son: tipo y concentración de los componentes de la matriz, procedimiento de obtención de las</w:t>
      </w:r>
    </w:p>
    <w:p>
      <w:pPr>
        <w:spacing w:after="0" w:line="360" w:lineRule="auto"/>
        <w:jc w:val="both"/>
        <w:sectPr>
          <w:pgSz w:w="11900" w:h="16840"/>
          <w:pgMar w:header="0" w:footer="1370" w:top="1360" w:bottom="1560" w:left="1340" w:right="1320"/>
        </w:sectPr>
      </w:pPr>
    </w:p>
    <w:p>
      <w:pPr>
        <w:pStyle w:val="BodyText"/>
        <w:spacing w:line="357" w:lineRule="auto" w:before="54"/>
        <w:ind w:left="100" w:right="151"/>
      </w:pPr>
      <w:r>
        <w:rPr/>
        <w:t>microcápsulas, presencia o adición de antioxidantes, interacción entre los componentes de la </w:t>
      </w:r>
      <w:r>
        <w:rPr>
          <w:position w:val="2"/>
        </w:rPr>
        <w:t>matriz e inherentemente las condiciones de almacenamiento como </w:t>
      </w:r>
      <w:r>
        <w:rPr>
          <w:i/>
          <w:position w:val="2"/>
        </w:rPr>
        <w:t>a</w:t>
      </w:r>
      <w:r>
        <w:rPr>
          <w:i/>
          <w:sz w:val="16"/>
        </w:rPr>
        <w:t>w </w:t>
      </w:r>
      <w:r>
        <w:rPr>
          <w:position w:val="2"/>
        </w:rPr>
        <w:t>y temperatura.</w:t>
      </w:r>
    </w:p>
    <w:p>
      <w:pPr>
        <w:spacing w:after="0" w:line="357" w:lineRule="auto"/>
        <w:sectPr>
          <w:pgSz w:w="11900" w:h="16840"/>
          <w:pgMar w:header="0" w:footer="1026" w:top="1360" w:bottom="1220" w:left="1340" w:right="1340"/>
        </w:sectPr>
      </w:pPr>
    </w:p>
    <w:p>
      <w:pPr>
        <w:pStyle w:val="Heading1"/>
        <w:numPr>
          <w:ilvl w:val="0"/>
          <w:numId w:val="6"/>
        </w:numPr>
        <w:tabs>
          <w:tab w:pos="3721" w:val="left" w:leader="none"/>
          <w:tab w:pos="3722" w:val="left" w:leader="none"/>
        </w:tabs>
        <w:spacing w:line="240" w:lineRule="auto" w:before="35" w:after="0"/>
        <w:ind w:left="3721" w:right="0" w:hanging="432"/>
        <w:jc w:val="left"/>
      </w:pPr>
      <w:bookmarkStart w:name="_TOC_250005" w:id="5"/>
      <w:bookmarkEnd w:id="5"/>
      <w:r>
        <w:rPr/>
        <w:t>JUSTIFICACIÓN</w:t>
      </w:r>
    </w:p>
    <w:p>
      <w:pPr>
        <w:pStyle w:val="BodyText"/>
        <w:rPr>
          <w:b/>
          <w:sz w:val="28"/>
        </w:rPr>
      </w:pPr>
    </w:p>
    <w:p>
      <w:pPr>
        <w:pStyle w:val="BodyText"/>
        <w:spacing w:before="11"/>
        <w:rPr>
          <w:b/>
          <w:sz w:val="21"/>
        </w:rPr>
      </w:pPr>
    </w:p>
    <w:p>
      <w:pPr>
        <w:pStyle w:val="BodyText"/>
        <w:spacing w:line="360" w:lineRule="auto"/>
        <w:ind w:left="100" w:right="115"/>
        <w:jc w:val="both"/>
      </w:pPr>
      <w:r>
        <w:rPr/>
        <w:t>Se </w:t>
      </w:r>
      <w:r>
        <w:rPr>
          <w:spacing w:val="-3"/>
        </w:rPr>
        <w:t>sabe </w:t>
      </w:r>
      <w:r>
        <w:rPr/>
        <w:t>que </w:t>
      </w:r>
      <w:r>
        <w:rPr>
          <w:spacing w:val="-3"/>
        </w:rPr>
        <w:t>la </w:t>
      </w:r>
      <w:r>
        <w:rPr/>
        <w:t>inclusión de ácidos grasos esenciales en </w:t>
      </w:r>
      <w:r>
        <w:rPr>
          <w:spacing w:val="-3"/>
        </w:rPr>
        <w:t>la </w:t>
      </w:r>
      <w:r>
        <w:rPr/>
        <w:t>dieta es fundamental por los beneficios que aporta, </w:t>
      </w:r>
      <w:r>
        <w:rPr>
          <w:spacing w:val="-5"/>
        </w:rPr>
        <w:t>ya </w:t>
      </w:r>
      <w:r>
        <w:rPr/>
        <w:t>que el ser humano </w:t>
      </w:r>
      <w:r>
        <w:rPr>
          <w:spacing w:val="-3"/>
        </w:rPr>
        <w:t>no </w:t>
      </w:r>
      <w:r>
        <w:rPr/>
        <w:t>puede sintetizarlos. Una fuente </w:t>
      </w:r>
      <w:r>
        <w:rPr>
          <w:spacing w:val="-3"/>
        </w:rPr>
        <w:t>rica </w:t>
      </w:r>
      <w:r>
        <w:rPr/>
        <w:t>en estos compuestos es el aceite de chía, que posee </w:t>
      </w:r>
      <w:r>
        <w:rPr>
          <w:spacing w:val="-3"/>
        </w:rPr>
        <w:t>la mayor </w:t>
      </w:r>
      <w:r>
        <w:rPr/>
        <w:t>cantidad de ácido graso omega-3 entre los aceites comestibles. No obstante, su estructura insaturada </w:t>
      </w:r>
      <w:r>
        <w:rPr>
          <w:spacing w:val="-5"/>
        </w:rPr>
        <w:t>lo </w:t>
      </w:r>
      <w:r>
        <w:rPr/>
        <w:t>hace susceptible a degradación por factores ambientales, especialmente </w:t>
      </w:r>
      <w:r>
        <w:rPr>
          <w:spacing w:val="-5"/>
        </w:rPr>
        <w:t>la </w:t>
      </w:r>
      <w:r>
        <w:rPr/>
        <w:t>oxidación, por </w:t>
      </w:r>
      <w:r>
        <w:rPr>
          <w:spacing w:val="-5"/>
        </w:rPr>
        <w:t>lo </w:t>
      </w:r>
      <w:r>
        <w:rPr/>
        <w:t>que es necesario realizar </w:t>
      </w:r>
      <w:r>
        <w:rPr>
          <w:spacing w:val="-5"/>
        </w:rPr>
        <w:t>la </w:t>
      </w:r>
      <w:r>
        <w:rPr/>
        <w:t>microencapsulación de este aceite para protegerlo de dichos</w:t>
      </w:r>
      <w:r>
        <w:rPr>
          <w:spacing w:val="-12"/>
        </w:rPr>
        <w:t> </w:t>
      </w:r>
      <w:r>
        <w:rPr/>
        <w:t>inconvenientes.</w:t>
      </w:r>
    </w:p>
    <w:p>
      <w:pPr>
        <w:pStyle w:val="BodyText"/>
      </w:pPr>
    </w:p>
    <w:p>
      <w:pPr>
        <w:pStyle w:val="BodyText"/>
        <w:spacing w:line="360" w:lineRule="auto" w:before="145"/>
        <w:ind w:left="100" w:right="117"/>
        <w:jc w:val="both"/>
      </w:pPr>
      <w:r>
        <w:rPr/>
        <w:t>Debido a </w:t>
      </w:r>
      <w:r>
        <w:rPr>
          <w:spacing w:val="-5"/>
        </w:rPr>
        <w:t>lo </w:t>
      </w:r>
      <w:r>
        <w:rPr/>
        <w:t>anterior, es perentorio realizar un análisis de </w:t>
      </w:r>
      <w:r>
        <w:rPr>
          <w:spacing w:val="-3"/>
        </w:rPr>
        <w:t>la </w:t>
      </w:r>
      <w:r>
        <w:rPr/>
        <w:t>estabilidad oxidativa del aceite microencapsulado, por </w:t>
      </w:r>
      <w:r>
        <w:rPr>
          <w:spacing w:val="-5"/>
        </w:rPr>
        <w:t>lo </w:t>
      </w:r>
      <w:r>
        <w:rPr/>
        <w:t>que en este trabajo se busca el obtener una relación de </w:t>
      </w:r>
      <w:r>
        <w:rPr>
          <w:spacing w:val="-3"/>
        </w:rPr>
        <w:t>la  </w:t>
      </w:r>
      <w:r>
        <w:rPr/>
        <w:t>estabilidad desde el punto de vista termodinámico con </w:t>
      </w:r>
      <w:r>
        <w:rPr>
          <w:spacing w:val="-5"/>
        </w:rPr>
        <w:t>la </w:t>
      </w:r>
      <w:r>
        <w:rPr/>
        <w:t>estabilidad térmico-oxidativa a diferentes condiciones de temperatura, humedad y actividad de agua del aceite de chía microencapsulado mediante secado por</w:t>
      </w:r>
      <w:r>
        <w:rPr>
          <w:spacing w:val="-23"/>
        </w:rPr>
        <w:t> </w:t>
      </w:r>
      <w:r>
        <w:rPr/>
        <w:t>aspersión.</w:t>
      </w:r>
    </w:p>
    <w:p>
      <w:pPr>
        <w:spacing w:after="0" w:line="360" w:lineRule="auto"/>
        <w:jc w:val="both"/>
        <w:sectPr>
          <w:pgSz w:w="11900" w:h="16840"/>
          <w:pgMar w:header="0" w:footer="1370" w:top="1380" w:bottom="1560" w:left="1340" w:right="1320"/>
        </w:sectPr>
      </w:pPr>
    </w:p>
    <w:p>
      <w:pPr>
        <w:pStyle w:val="Heading1"/>
        <w:numPr>
          <w:ilvl w:val="0"/>
          <w:numId w:val="6"/>
        </w:numPr>
        <w:tabs>
          <w:tab w:pos="4071" w:val="left" w:leader="none"/>
          <w:tab w:pos="4072" w:val="left" w:leader="none"/>
        </w:tabs>
        <w:spacing w:line="240" w:lineRule="auto" w:before="35" w:after="0"/>
        <w:ind w:left="4072" w:right="0" w:hanging="433"/>
        <w:jc w:val="left"/>
      </w:pPr>
      <w:bookmarkStart w:name="_TOC_250004" w:id="6"/>
      <w:bookmarkEnd w:id="6"/>
      <w:r>
        <w:rPr/>
        <w:t>HIPÓTESIS</w:t>
      </w:r>
    </w:p>
    <w:p>
      <w:pPr>
        <w:pStyle w:val="BodyText"/>
        <w:rPr>
          <w:b/>
          <w:sz w:val="28"/>
        </w:rPr>
      </w:pPr>
    </w:p>
    <w:p>
      <w:pPr>
        <w:pStyle w:val="BodyText"/>
        <w:spacing w:before="11"/>
        <w:rPr>
          <w:b/>
          <w:sz w:val="21"/>
        </w:rPr>
      </w:pPr>
    </w:p>
    <w:p>
      <w:pPr>
        <w:pStyle w:val="BodyText"/>
        <w:spacing w:line="360" w:lineRule="auto"/>
        <w:ind w:left="100" w:right="116"/>
        <w:jc w:val="both"/>
      </w:pPr>
      <w:r>
        <w:rPr/>
        <w:t>La estabilidad térmica-oxidativa del aceite de chía microencapsulado mediante secado por aspersión está correlacionada directamente con la estabilidad termodinámica de las microcápsulas.</w:t>
      </w:r>
    </w:p>
    <w:p>
      <w:pPr>
        <w:spacing w:after="0" w:line="360" w:lineRule="auto"/>
        <w:jc w:val="both"/>
        <w:sectPr>
          <w:pgSz w:w="11900" w:h="16840"/>
          <w:pgMar w:header="0" w:footer="1026" w:top="1380" w:bottom="1220" w:left="1340" w:right="1320"/>
        </w:sectPr>
      </w:pPr>
    </w:p>
    <w:p>
      <w:pPr>
        <w:pStyle w:val="Heading1"/>
        <w:numPr>
          <w:ilvl w:val="0"/>
          <w:numId w:val="6"/>
        </w:numPr>
        <w:tabs>
          <w:tab w:pos="4023" w:val="left" w:leader="none"/>
          <w:tab w:pos="4024" w:val="left" w:leader="none"/>
        </w:tabs>
        <w:spacing w:line="240" w:lineRule="auto" w:before="35" w:after="0"/>
        <w:ind w:left="4024" w:right="0" w:hanging="433"/>
        <w:jc w:val="left"/>
      </w:pPr>
      <w:bookmarkStart w:name="_TOC_250003" w:id="7"/>
      <w:bookmarkEnd w:id="7"/>
      <w:r>
        <w:rPr/>
        <w:t>OBJETIVOS</w:t>
      </w:r>
    </w:p>
    <w:p>
      <w:pPr>
        <w:pStyle w:val="BodyText"/>
        <w:rPr>
          <w:b/>
          <w:sz w:val="20"/>
        </w:rPr>
      </w:pPr>
    </w:p>
    <w:p>
      <w:pPr>
        <w:pStyle w:val="BodyText"/>
        <w:rPr>
          <w:b/>
          <w:sz w:val="20"/>
        </w:rPr>
      </w:pPr>
    </w:p>
    <w:p>
      <w:pPr>
        <w:pStyle w:val="BodyText"/>
        <w:spacing w:before="6"/>
        <w:rPr>
          <w:b/>
          <w:sz w:val="21"/>
        </w:rPr>
      </w:pPr>
    </w:p>
    <w:p>
      <w:pPr>
        <w:pStyle w:val="ListParagraph"/>
        <w:numPr>
          <w:ilvl w:val="1"/>
          <w:numId w:val="8"/>
        </w:numPr>
        <w:tabs>
          <w:tab w:pos="676" w:val="left" w:leader="none"/>
          <w:tab w:pos="677" w:val="left" w:leader="none"/>
        </w:tabs>
        <w:spacing w:line="240" w:lineRule="auto" w:before="69" w:after="0"/>
        <w:ind w:left="677" w:right="0" w:hanging="577"/>
        <w:jc w:val="left"/>
        <w:rPr>
          <w:b/>
          <w:sz w:val="24"/>
        </w:rPr>
      </w:pPr>
      <w:bookmarkStart w:name="_TOC_250002" w:id="8"/>
      <w:r>
        <w:rPr>
          <w:b/>
          <w:sz w:val="24"/>
        </w:rPr>
        <w:t>OBJETIVO</w:t>
      </w:r>
      <w:r>
        <w:rPr>
          <w:b/>
          <w:spacing w:val="-9"/>
          <w:sz w:val="24"/>
        </w:rPr>
        <w:t> </w:t>
      </w:r>
      <w:bookmarkEnd w:id="8"/>
      <w:r>
        <w:rPr>
          <w:b/>
          <w:sz w:val="24"/>
        </w:rPr>
        <w:t>GENERAL</w:t>
      </w:r>
    </w:p>
    <w:p>
      <w:pPr>
        <w:pStyle w:val="BodyText"/>
        <w:rPr>
          <w:b/>
        </w:rPr>
      </w:pPr>
    </w:p>
    <w:p>
      <w:pPr>
        <w:pStyle w:val="BodyText"/>
        <w:spacing w:before="9"/>
        <w:rPr>
          <w:b/>
          <w:sz w:val="23"/>
        </w:rPr>
      </w:pPr>
    </w:p>
    <w:p>
      <w:pPr>
        <w:pStyle w:val="BodyText"/>
        <w:spacing w:line="360" w:lineRule="auto"/>
        <w:ind w:left="100" w:right="75"/>
      </w:pPr>
      <w:r>
        <w:rPr/>
        <w:t>Evaluar y analizar la estabilidad termodinámica y térmico-oxidativa de microcápsulas de aceite de chía obtenidas a través de secado por aspersión.</w:t>
      </w:r>
    </w:p>
    <w:p>
      <w:pPr>
        <w:pStyle w:val="BodyText"/>
      </w:pPr>
    </w:p>
    <w:p>
      <w:pPr>
        <w:pStyle w:val="BodyText"/>
        <w:spacing w:before="2"/>
        <w:rPr>
          <w:sz w:val="30"/>
        </w:rPr>
      </w:pPr>
    </w:p>
    <w:p>
      <w:pPr>
        <w:pStyle w:val="ListParagraph"/>
        <w:numPr>
          <w:ilvl w:val="1"/>
          <w:numId w:val="8"/>
        </w:numPr>
        <w:tabs>
          <w:tab w:pos="676" w:val="left" w:leader="none"/>
          <w:tab w:pos="677" w:val="left" w:leader="none"/>
        </w:tabs>
        <w:spacing w:line="240" w:lineRule="auto" w:before="0" w:after="0"/>
        <w:ind w:left="677" w:right="0" w:hanging="577"/>
        <w:jc w:val="left"/>
        <w:rPr>
          <w:b/>
          <w:sz w:val="24"/>
        </w:rPr>
      </w:pPr>
      <w:bookmarkStart w:name="_TOC_250001" w:id="9"/>
      <w:r>
        <w:rPr>
          <w:b/>
          <w:sz w:val="24"/>
        </w:rPr>
        <w:t>OBJETIVOS</w:t>
      </w:r>
      <w:r>
        <w:rPr>
          <w:b/>
          <w:spacing w:val="-15"/>
          <w:sz w:val="24"/>
        </w:rPr>
        <w:t> </w:t>
      </w:r>
      <w:bookmarkEnd w:id="9"/>
      <w:r>
        <w:rPr>
          <w:b/>
          <w:sz w:val="24"/>
        </w:rPr>
        <w:t>ESPECÍFICOS</w:t>
      </w:r>
    </w:p>
    <w:p>
      <w:pPr>
        <w:pStyle w:val="BodyText"/>
        <w:rPr>
          <w:b/>
        </w:rPr>
      </w:pPr>
    </w:p>
    <w:p>
      <w:pPr>
        <w:pStyle w:val="BodyText"/>
        <w:spacing w:before="6"/>
        <w:rPr>
          <w:b/>
          <w:sz w:val="23"/>
        </w:rPr>
      </w:pPr>
    </w:p>
    <w:p>
      <w:pPr>
        <w:pStyle w:val="ListParagraph"/>
        <w:numPr>
          <w:ilvl w:val="2"/>
          <w:numId w:val="8"/>
        </w:numPr>
        <w:tabs>
          <w:tab w:pos="820" w:val="left" w:leader="none"/>
          <w:tab w:pos="821" w:val="left" w:leader="none"/>
        </w:tabs>
        <w:spacing w:line="240" w:lineRule="auto" w:before="0" w:after="0"/>
        <w:ind w:left="821" w:right="0" w:hanging="361"/>
        <w:jc w:val="left"/>
        <w:rPr>
          <w:sz w:val="24"/>
        </w:rPr>
      </w:pPr>
      <w:r>
        <w:rPr>
          <w:sz w:val="24"/>
        </w:rPr>
        <w:t>Extraer el aceite de</w:t>
      </w:r>
      <w:r>
        <w:rPr>
          <w:spacing w:val="-15"/>
          <w:sz w:val="24"/>
        </w:rPr>
        <w:t> </w:t>
      </w:r>
      <w:r>
        <w:rPr>
          <w:sz w:val="24"/>
        </w:rPr>
        <w:t>chía.</w:t>
      </w:r>
    </w:p>
    <w:p>
      <w:pPr>
        <w:pStyle w:val="ListParagraph"/>
        <w:numPr>
          <w:ilvl w:val="2"/>
          <w:numId w:val="8"/>
        </w:numPr>
        <w:tabs>
          <w:tab w:pos="820" w:val="left" w:leader="none"/>
          <w:tab w:pos="821" w:val="left" w:leader="none"/>
        </w:tabs>
        <w:spacing w:line="355" w:lineRule="auto" w:before="138" w:after="0"/>
        <w:ind w:left="821" w:right="118" w:hanging="361"/>
        <w:jc w:val="left"/>
        <w:rPr>
          <w:sz w:val="24"/>
        </w:rPr>
      </w:pPr>
      <w:r>
        <w:rPr>
          <w:sz w:val="24"/>
        </w:rPr>
        <w:t>Formular emulsiones aceite en agua (O/W) empleando como material de pared una mezcla de WPC y goma de mezquite (67:33</w:t>
      </w:r>
      <w:r>
        <w:rPr>
          <w:spacing w:val="-4"/>
          <w:sz w:val="24"/>
        </w:rPr>
        <w:t> </w:t>
      </w:r>
      <w:r>
        <w:rPr>
          <w:spacing w:val="-3"/>
          <w:sz w:val="24"/>
        </w:rPr>
        <w:t>m/m).</w:t>
      </w:r>
    </w:p>
    <w:p>
      <w:pPr>
        <w:pStyle w:val="ListParagraph"/>
        <w:numPr>
          <w:ilvl w:val="2"/>
          <w:numId w:val="8"/>
        </w:numPr>
        <w:tabs>
          <w:tab w:pos="820" w:val="left" w:leader="none"/>
          <w:tab w:pos="821" w:val="left" w:leader="none"/>
        </w:tabs>
        <w:spacing w:line="240" w:lineRule="auto" w:before="6" w:after="0"/>
        <w:ind w:left="821" w:right="0" w:hanging="361"/>
        <w:jc w:val="left"/>
        <w:rPr>
          <w:sz w:val="24"/>
        </w:rPr>
      </w:pPr>
      <w:r>
        <w:rPr>
          <w:sz w:val="24"/>
        </w:rPr>
        <w:t>Elaborar microcápsulas de aceite de chía mediante secado por</w:t>
      </w:r>
      <w:r>
        <w:rPr>
          <w:spacing w:val="-29"/>
          <w:sz w:val="24"/>
        </w:rPr>
        <w:t> </w:t>
      </w:r>
      <w:r>
        <w:rPr>
          <w:sz w:val="24"/>
        </w:rPr>
        <w:t>aspersión.</w:t>
      </w:r>
    </w:p>
    <w:p>
      <w:pPr>
        <w:pStyle w:val="ListParagraph"/>
        <w:numPr>
          <w:ilvl w:val="2"/>
          <w:numId w:val="8"/>
        </w:numPr>
        <w:tabs>
          <w:tab w:pos="820" w:val="left" w:leader="none"/>
          <w:tab w:pos="821" w:val="left" w:leader="none"/>
        </w:tabs>
        <w:spacing w:line="240" w:lineRule="auto" w:before="138" w:after="0"/>
        <w:ind w:left="821" w:right="0" w:hanging="361"/>
        <w:jc w:val="left"/>
        <w:rPr>
          <w:sz w:val="24"/>
        </w:rPr>
      </w:pPr>
      <w:r>
        <w:rPr>
          <w:sz w:val="24"/>
        </w:rPr>
        <w:t>Obtener isotermas de adsorción de manera</w:t>
      </w:r>
      <w:r>
        <w:rPr>
          <w:spacing w:val="-31"/>
          <w:sz w:val="24"/>
        </w:rPr>
        <w:t> </w:t>
      </w:r>
      <w:r>
        <w:rPr>
          <w:sz w:val="24"/>
        </w:rPr>
        <w:t>experimental.</w:t>
      </w:r>
    </w:p>
    <w:p>
      <w:pPr>
        <w:pStyle w:val="ListParagraph"/>
        <w:numPr>
          <w:ilvl w:val="2"/>
          <w:numId w:val="8"/>
        </w:numPr>
        <w:tabs>
          <w:tab w:pos="821" w:val="left" w:leader="none"/>
        </w:tabs>
        <w:spacing w:line="360" w:lineRule="auto" w:before="133" w:after="0"/>
        <w:ind w:left="821" w:right="117" w:hanging="361"/>
        <w:jc w:val="both"/>
        <w:rPr>
          <w:sz w:val="24"/>
        </w:rPr>
      </w:pPr>
      <w:r>
        <w:rPr>
          <w:sz w:val="24"/>
        </w:rPr>
        <w:t>Establecer </w:t>
      </w:r>
      <w:r>
        <w:rPr>
          <w:spacing w:val="-4"/>
          <w:sz w:val="24"/>
        </w:rPr>
        <w:t>las </w:t>
      </w:r>
      <w:r>
        <w:rPr>
          <w:sz w:val="24"/>
        </w:rPr>
        <w:t>condiciones de estabilidad a partir </w:t>
      </w:r>
      <w:r>
        <w:rPr>
          <w:spacing w:val="2"/>
          <w:sz w:val="24"/>
        </w:rPr>
        <w:t>del </w:t>
      </w:r>
      <w:r>
        <w:rPr>
          <w:sz w:val="24"/>
        </w:rPr>
        <w:t>cálculo de las propiedades termodinámicas diferenciales e integrales del aceite de </w:t>
      </w:r>
      <w:r>
        <w:rPr>
          <w:spacing w:val="-3"/>
          <w:sz w:val="24"/>
        </w:rPr>
        <w:t>chía </w:t>
      </w:r>
      <w:r>
        <w:rPr>
          <w:sz w:val="24"/>
        </w:rPr>
        <w:t>microencapsulado (entalpía, entropía y energía libre de</w:t>
      </w:r>
      <w:r>
        <w:rPr>
          <w:spacing w:val="-20"/>
          <w:sz w:val="24"/>
        </w:rPr>
        <w:t> </w:t>
      </w:r>
      <w:r>
        <w:rPr>
          <w:sz w:val="24"/>
        </w:rPr>
        <w:t>Gibbs).</w:t>
      </w:r>
    </w:p>
    <w:p>
      <w:pPr>
        <w:pStyle w:val="ListParagraph"/>
        <w:numPr>
          <w:ilvl w:val="2"/>
          <w:numId w:val="8"/>
        </w:numPr>
        <w:tabs>
          <w:tab w:pos="820" w:val="left" w:leader="none"/>
          <w:tab w:pos="821" w:val="left" w:leader="none"/>
        </w:tabs>
        <w:spacing w:line="355" w:lineRule="auto" w:before="1" w:after="0"/>
        <w:ind w:left="821" w:right="121" w:hanging="361"/>
        <w:jc w:val="left"/>
        <w:rPr>
          <w:sz w:val="24"/>
        </w:rPr>
      </w:pPr>
      <w:r>
        <w:rPr>
          <w:sz w:val="24"/>
        </w:rPr>
        <w:t>Determinar </w:t>
      </w:r>
      <w:r>
        <w:rPr>
          <w:spacing w:val="-5"/>
          <w:sz w:val="24"/>
        </w:rPr>
        <w:t>la </w:t>
      </w:r>
      <w:r>
        <w:rPr>
          <w:sz w:val="24"/>
        </w:rPr>
        <w:t>temperatura de transición vítrea de las microcápsulas, así como su radio de poro y área superficial de</w:t>
      </w:r>
      <w:r>
        <w:rPr>
          <w:spacing w:val="-16"/>
          <w:sz w:val="24"/>
        </w:rPr>
        <w:t> </w:t>
      </w:r>
      <w:r>
        <w:rPr>
          <w:sz w:val="24"/>
        </w:rPr>
        <w:t>adsorción.</w:t>
      </w:r>
    </w:p>
    <w:p>
      <w:pPr>
        <w:pStyle w:val="ListParagraph"/>
        <w:numPr>
          <w:ilvl w:val="2"/>
          <w:numId w:val="8"/>
        </w:numPr>
        <w:tabs>
          <w:tab w:pos="820" w:val="left" w:leader="none"/>
          <w:tab w:pos="821" w:val="left" w:leader="none"/>
        </w:tabs>
        <w:spacing w:line="355" w:lineRule="auto" w:before="7" w:after="0"/>
        <w:ind w:left="821" w:right="112" w:hanging="361"/>
        <w:jc w:val="left"/>
        <w:rPr>
          <w:sz w:val="24"/>
        </w:rPr>
      </w:pPr>
      <w:r>
        <w:rPr>
          <w:sz w:val="24"/>
        </w:rPr>
        <w:t>Determinar </w:t>
      </w:r>
      <w:r>
        <w:rPr>
          <w:spacing w:val="-5"/>
          <w:sz w:val="24"/>
        </w:rPr>
        <w:t>la </w:t>
      </w:r>
      <w:r>
        <w:rPr>
          <w:sz w:val="24"/>
        </w:rPr>
        <w:t>cinética de oxidación del aceite microencapsulado a distintas temperaturas y actividades de</w:t>
      </w:r>
      <w:r>
        <w:rPr>
          <w:spacing w:val="-10"/>
          <w:sz w:val="24"/>
        </w:rPr>
        <w:t> </w:t>
      </w:r>
      <w:r>
        <w:rPr>
          <w:sz w:val="24"/>
        </w:rPr>
        <w:t>agua.</w:t>
      </w:r>
    </w:p>
    <w:p>
      <w:pPr>
        <w:spacing w:after="0" w:line="355" w:lineRule="auto"/>
        <w:jc w:val="left"/>
        <w:rPr>
          <w:sz w:val="24"/>
        </w:rPr>
        <w:sectPr>
          <w:pgSz w:w="11900" w:h="16840"/>
          <w:pgMar w:header="0" w:footer="1370" w:top="1380" w:bottom="1560" w:left="1340" w:right="1320"/>
        </w:sectPr>
      </w:pPr>
    </w:p>
    <w:p>
      <w:pPr>
        <w:pStyle w:val="Heading1"/>
        <w:numPr>
          <w:ilvl w:val="0"/>
          <w:numId w:val="8"/>
        </w:numPr>
        <w:tabs>
          <w:tab w:pos="3721" w:val="left" w:leader="none"/>
          <w:tab w:pos="3722" w:val="left" w:leader="none"/>
        </w:tabs>
        <w:spacing w:line="240" w:lineRule="auto" w:before="35" w:after="0"/>
        <w:ind w:left="3721" w:right="0" w:hanging="432"/>
        <w:jc w:val="left"/>
      </w:pPr>
      <w:bookmarkStart w:name="_TOC_250000" w:id="10"/>
      <w:bookmarkEnd w:id="10"/>
      <w:r>
        <w:rPr/>
        <w:t>METODOLOGÍA</w:t>
      </w:r>
    </w:p>
    <w:p>
      <w:pPr>
        <w:pStyle w:val="BodyText"/>
        <w:rPr>
          <w:b/>
          <w:sz w:val="20"/>
        </w:rPr>
      </w:pPr>
    </w:p>
    <w:p>
      <w:pPr>
        <w:pStyle w:val="BodyText"/>
        <w:rPr>
          <w:b/>
          <w:sz w:val="20"/>
        </w:rPr>
      </w:pPr>
    </w:p>
    <w:p>
      <w:pPr>
        <w:pStyle w:val="BodyText"/>
        <w:spacing w:before="6"/>
        <w:rPr>
          <w:b/>
          <w:sz w:val="21"/>
        </w:rPr>
      </w:pPr>
    </w:p>
    <w:p>
      <w:pPr>
        <w:pStyle w:val="Heading2"/>
        <w:numPr>
          <w:ilvl w:val="1"/>
          <w:numId w:val="9"/>
        </w:numPr>
        <w:tabs>
          <w:tab w:pos="677" w:val="left" w:leader="none"/>
        </w:tabs>
        <w:spacing w:line="240" w:lineRule="auto" w:before="69" w:after="0"/>
        <w:ind w:left="677" w:right="0" w:hanging="577"/>
        <w:jc w:val="both"/>
      </w:pPr>
      <w:r>
        <w:rPr/>
        <w:t>MATERIALES</w:t>
      </w:r>
    </w:p>
    <w:p>
      <w:pPr>
        <w:pStyle w:val="BodyText"/>
        <w:rPr>
          <w:b/>
        </w:rPr>
      </w:pPr>
    </w:p>
    <w:p>
      <w:pPr>
        <w:pStyle w:val="BodyText"/>
        <w:spacing w:before="9"/>
        <w:rPr>
          <w:b/>
          <w:sz w:val="23"/>
        </w:rPr>
      </w:pPr>
    </w:p>
    <w:p>
      <w:pPr>
        <w:pStyle w:val="BodyText"/>
        <w:spacing w:line="360" w:lineRule="auto"/>
        <w:ind w:left="100" w:right="118"/>
        <w:jc w:val="both"/>
      </w:pPr>
      <w:r>
        <w:rPr/>
        <w:t>Para la extracción del aceite en estudio se utilizaron semillas de chía, que se obtuvieron de la región de Atlixco, Estado de Puebla.</w:t>
      </w:r>
    </w:p>
    <w:p>
      <w:pPr>
        <w:pStyle w:val="BodyText"/>
      </w:pPr>
    </w:p>
    <w:p>
      <w:pPr>
        <w:pStyle w:val="BodyText"/>
        <w:spacing w:line="360" w:lineRule="auto" w:before="146"/>
        <w:ind w:left="100" w:right="110"/>
        <w:jc w:val="both"/>
      </w:pPr>
      <w:r>
        <w:rPr/>
        <w:t>Los agentes encapsulantes utilizados fueron: (1) Goma de mezquite (GM) (</w:t>
      </w:r>
      <w:r>
        <w:rPr>
          <w:i/>
        </w:rPr>
        <w:t>Prosopis </w:t>
      </w:r>
      <w:r>
        <w:rPr>
          <w:i/>
        </w:rPr>
        <w:t>laevigata</w:t>
      </w:r>
      <w:r>
        <w:rPr/>
        <w:t>), que fue recolectada del Estado de San Luis Potosí, México, en forma de lágrimas, que se purificó de acuerdo a Vernon-Carter et al. [</w:t>
      </w:r>
      <w:r>
        <w:rPr>
          <w:b/>
        </w:rPr>
        <w:t>25</w:t>
      </w:r>
      <w:r>
        <w:rPr/>
        <w:t>]; y (2) Concentrado de proteína de suero de leche (WPC), la cual fue adquirida en la compañía Hilmar Ingredients, Gilmar, CA, USA.</w:t>
      </w:r>
    </w:p>
    <w:p>
      <w:pPr>
        <w:pStyle w:val="BodyText"/>
      </w:pPr>
    </w:p>
    <w:p>
      <w:pPr>
        <w:pStyle w:val="BodyText"/>
        <w:spacing w:line="360" w:lineRule="auto" w:before="146"/>
        <w:ind w:left="100" w:right="110"/>
        <w:jc w:val="both"/>
      </w:pPr>
      <w:r>
        <w:rPr/>
        <w:t>Los disolventes empleados fueron: (1) Agua destilada, proporcionada por el Departamento de Ingeniería Química de la Universidad Autónoma del Estado de México; (2) Reactivos grado analítico, que se adquirieron de la compañía Sigma Aldrich S. A. de C. V., Toluca, México.</w:t>
      </w:r>
    </w:p>
    <w:p>
      <w:pPr>
        <w:pStyle w:val="BodyText"/>
      </w:pPr>
    </w:p>
    <w:p>
      <w:pPr>
        <w:pStyle w:val="BodyText"/>
        <w:spacing w:before="2"/>
        <w:rPr>
          <w:sz w:val="30"/>
        </w:rPr>
      </w:pPr>
    </w:p>
    <w:p>
      <w:pPr>
        <w:pStyle w:val="ListParagraph"/>
        <w:numPr>
          <w:ilvl w:val="1"/>
          <w:numId w:val="9"/>
        </w:numPr>
        <w:tabs>
          <w:tab w:pos="677" w:val="left" w:leader="none"/>
        </w:tabs>
        <w:spacing w:line="240" w:lineRule="auto" w:before="0" w:after="0"/>
        <w:ind w:left="677" w:right="0" w:hanging="577"/>
        <w:jc w:val="both"/>
        <w:rPr>
          <w:b/>
          <w:sz w:val="24"/>
        </w:rPr>
      </w:pPr>
      <w:r>
        <w:rPr>
          <w:b/>
          <w:sz w:val="24"/>
        </w:rPr>
        <w:t>MÉTODOS</w:t>
      </w:r>
    </w:p>
    <w:p>
      <w:pPr>
        <w:pStyle w:val="BodyText"/>
        <w:rPr>
          <w:b/>
        </w:rPr>
      </w:pPr>
    </w:p>
    <w:p>
      <w:pPr>
        <w:pStyle w:val="BodyText"/>
        <w:rPr>
          <w:b/>
        </w:rPr>
      </w:pPr>
    </w:p>
    <w:p>
      <w:pPr>
        <w:pStyle w:val="ListParagraph"/>
        <w:numPr>
          <w:ilvl w:val="2"/>
          <w:numId w:val="9"/>
        </w:numPr>
        <w:tabs>
          <w:tab w:pos="821" w:val="left" w:leader="none"/>
        </w:tabs>
        <w:spacing w:line="240" w:lineRule="auto" w:before="199" w:after="0"/>
        <w:ind w:left="821" w:right="0" w:hanging="721"/>
        <w:jc w:val="both"/>
        <w:rPr>
          <w:b/>
          <w:sz w:val="24"/>
        </w:rPr>
      </w:pPr>
      <w:r>
        <w:rPr>
          <w:b/>
          <w:sz w:val="24"/>
        </w:rPr>
        <w:t>Extracción de aceite de</w:t>
      </w:r>
      <w:r>
        <w:rPr>
          <w:b/>
          <w:spacing w:val="-7"/>
          <w:sz w:val="24"/>
        </w:rPr>
        <w:t> </w:t>
      </w:r>
      <w:r>
        <w:rPr>
          <w:b/>
          <w:sz w:val="24"/>
        </w:rPr>
        <w:t>chía</w:t>
      </w:r>
    </w:p>
    <w:p>
      <w:pPr>
        <w:pStyle w:val="BodyText"/>
        <w:spacing w:line="360" w:lineRule="auto" w:before="137"/>
        <w:ind w:left="100" w:right="109"/>
        <w:jc w:val="both"/>
      </w:pPr>
      <w:r>
        <w:rPr/>
        <w:t>Se recurrió al método de prensado para </w:t>
      </w:r>
      <w:r>
        <w:rPr>
          <w:spacing w:val="-5"/>
        </w:rPr>
        <w:t>la </w:t>
      </w:r>
      <w:r>
        <w:rPr/>
        <w:t>extracción del aceite. Se colocaron 300g de  semillas de chía dentro de un émbolo de 40 cm de largo por 10 cm de diámetro, y este a su vez se puso en una prensa hidráulica Tamer (modelo PHT-20, Shangai, China). Se ejerció presión gradual sobre el pistón hasta alcanzar las 9 toneladas, a temperatura ambiente. El aceite extraído se recolectó en un vaso de precipitado, a continuación fue envasado en frascos de vidrio color </w:t>
      </w:r>
      <w:r>
        <w:rPr>
          <w:spacing w:val="-3"/>
        </w:rPr>
        <w:t>ámbar </w:t>
      </w:r>
      <w:r>
        <w:rPr/>
        <w:t>y almacenado a 5</w:t>
      </w:r>
      <w:r>
        <w:rPr>
          <w:spacing w:val="14"/>
        </w:rPr>
        <w:t> </w:t>
      </w:r>
      <w:r>
        <w:rPr>
          <w:spacing w:val="-3"/>
        </w:rPr>
        <w:t>°C.</w:t>
      </w:r>
    </w:p>
    <w:p>
      <w:pPr>
        <w:pStyle w:val="BodyText"/>
      </w:pPr>
    </w:p>
    <w:p>
      <w:pPr>
        <w:pStyle w:val="BodyText"/>
        <w:spacing w:before="2"/>
        <w:rPr>
          <w:sz w:val="30"/>
        </w:rPr>
      </w:pPr>
    </w:p>
    <w:p>
      <w:pPr>
        <w:pStyle w:val="ListParagraph"/>
        <w:numPr>
          <w:ilvl w:val="2"/>
          <w:numId w:val="9"/>
        </w:numPr>
        <w:tabs>
          <w:tab w:pos="821" w:val="left" w:leader="none"/>
        </w:tabs>
        <w:spacing w:line="240" w:lineRule="auto" w:before="0" w:after="0"/>
        <w:ind w:left="821" w:right="0" w:hanging="721"/>
        <w:jc w:val="both"/>
        <w:rPr>
          <w:b/>
          <w:sz w:val="24"/>
        </w:rPr>
      </w:pPr>
      <w:r>
        <w:rPr>
          <w:b/>
          <w:sz w:val="24"/>
        </w:rPr>
        <w:t>Formulación de emulsiones aceite-en-agua</w:t>
      </w:r>
      <w:r>
        <w:rPr>
          <w:b/>
          <w:spacing w:val="-13"/>
          <w:sz w:val="24"/>
        </w:rPr>
        <w:t> </w:t>
      </w:r>
      <w:r>
        <w:rPr>
          <w:b/>
          <w:sz w:val="24"/>
        </w:rPr>
        <w:t>(O/W)</w:t>
      </w:r>
    </w:p>
    <w:p>
      <w:pPr>
        <w:pStyle w:val="BodyText"/>
        <w:spacing w:line="360" w:lineRule="auto" w:before="137"/>
        <w:ind w:left="100" w:right="109"/>
        <w:jc w:val="both"/>
      </w:pPr>
      <w:r>
        <w:rPr/>
        <w:t>Se formuló una emulsión O/W empleando como agentes encapsulates WPC y GM. El procedimiento consistió en dos etapas: (1) Se formuló la fase continua dispersando el biopolímero en agua; (2) La fase dispersa fue añadida gota a gota a la fase continua emulsionada  en  un  homogeneizador  Ultra-turrax  T50  basic  (IKA-WERKE  Works   Inc.,</w:t>
      </w:r>
    </w:p>
    <w:p>
      <w:pPr>
        <w:spacing w:after="0" w:line="360" w:lineRule="auto"/>
        <w:jc w:val="both"/>
        <w:sectPr>
          <w:pgSz w:w="11900" w:h="16840"/>
          <w:pgMar w:header="0" w:footer="1026" w:top="1380" w:bottom="1220" w:left="1340" w:right="1320"/>
        </w:sectPr>
      </w:pPr>
    </w:p>
    <w:p>
      <w:pPr>
        <w:pStyle w:val="BodyText"/>
        <w:spacing w:line="360" w:lineRule="auto" w:before="54"/>
        <w:ind w:left="100" w:right="117"/>
        <w:jc w:val="both"/>
      </w:pPr>
      <w:r>
        <w:rPr/>
        <w:t>Wilmington, NC, EUA), a una velocidad de 6400 rpm durante 10 min. La emulsión se mantuvo en un baño con hielo para mantener la temperatura por debajo de los 30 ºC.</w:t>
      </w:r>
    </w:p>
    <w:p>
      <w:pPr>
        <w:pStyle w:val="BodyText"/>
      </w:pPr>
    </w:p>
    <w:p>
      <w:pPr>
        <w:pStyle w:val="BodyText"/>
        <w:spacing w:line="360" w:lineRule="auto" w:before="146"/>
        <w:ind w:left="100" w:right="118"/>
        <w:jc w:val="both"/>
      </w:pPr>
      <w:r>
        <w:rPr/>
        <w:t>La preparación de la emulsión descrita anteriormente se formuló de acuerdo a la metodología descrita por Rodea-González et al. [</w:t>
      </w:r>
      <w:r>
        <w:rPr>
          <w:b/>
        </w:rPr>
        <w:t>17</w:t>
      </w:r>
      <w:r>
        <w:rPr/>
        <w:t>], tomando como base aquella en donde se obtuvo la mayor eficiencia de encapsulamiento. Siguiendo esto, la emulsión contuvo 30% de sólidos con una relación 1:3 de material activo a material de pared</w:t>
      </w:r>
    </w:p>
    <w:p>
      <w:pPr>
        <w:pStyle w:val="BodyText"/>
      </w:pPr>
    </w:p>
    <w:p>
      <w:pPr>
        <w:pStyle w:val="BodyText"/>
        <w:spacing w:before="2"/>
        <w:rPr>
          <w:sz w:val="30"/>
        </w:rPr>
      </w:pPr>
    </w:p>
    <w:p>
      <w:pPr>
        <w:pStyle w:val="ListParagraph"/>
        <w:numPr>
          <w:ilvl w:val="2"/>
          <w:numId w:val="9"/>
        </w:numPr>
        <w:tabs>
          <w:tab w:pos="821" w:val="left" w:leader="none"/>
        </w:tabs>
        <w:spacing w:line="240" w:lineRule="auto" w:before="0" w:after="0"/>
        <w:ind w:left="821" w:right="0" w:hanging="721"/>
        <w:jc w:val="both"/>
        <w:rPr>
          <w:b/>
          <w:sz w:val="24"/>
        </w:rPr>
      </w:pPr>
      <w:r>
        <w:rPr>
          <w:b/>
          <w:sz w:val="24"/>
        </w:rPr>
        <w:t>Obtención de microcápsulas a través de secado por</w:t>
      </w:r>
      <w:r>
        <w:rPr>
          <w:b/>
          <w:spacing w:val="-27"/>
          <w:sz w:val="24"/>
        </w:rPr>
        <w:t> </w:t>
      </w:r>
      <w:r>
        <w:rPr>
          <w:b/>
          <w:sz w:val="24"/>
        </w:rPr>
        <w:t>aspersión</w:t>
      </w:r>
    </w:p>
    <w:p>
      <w:pPr>
        <w:pStyle w:val="BodyText"/>
        <w:spacing w:line="360" w:lineRule="auto" w:before="137"/>
        <w:ind w:left="100" w:right="115"/>
        <w:jc w:val="both"/>
      </w:pPr>
      <w:r>
        <w:rPr/>
        <w:t>Se alimentó </w:t>
      </w:r>
      <w:r>
        <w:rPr>
          <w:spacing w:val="-5"/>
        </w:rPr>
        <w:t>la </w:t>
      </w:r>
      <w:r>
        <w:rPr/>
        <w:t>emulsión O/W descrita anteriormente a un </w:t>
      </w:r>
      <w:r>
        <w:rPr>
          <w:spacing w:val="-3"/>
        </w:rPr>
        <w:t>flujo </w:t>
      </w:r>
      <w:r>
        <w:rPr/>
        <w:t>de 40 </w:t>
      </w:r>
      <w:r>
        <w:rPr>
          <w:spacing w:val="-3"/>
        </w:rPr>
        <w:t>mL/min </w:t>
      </w:r>
      <w:r>
        <w:rPr/>
        <w:t>por </w:t>
      </w:r>
      <w:r>
        <w:rPr>
          <w:spacing w:val="-4"/>
        </w:rPr>
        <w:t>medio  </w:t>
      </w:r>
      <w:r>
        <w:rPr/>
        <w:t>de  un dosificador a un secador por aspersión Nichols/Niro a nivel planta piloto (Turbo Spray </w:t>
      </w:r>
      <w:r>
        <w:rPr>
          <w:spacing w:val="-3"/>
        </w:rPr>
        <w:t>PLA, </w:t>
      </w:r>
      <w:r>
        <w:rPr/>
        <w:t>Nueva York, EUA), a una temperatura de entrada del aire de 135 ± 5 ºC, inyectando  aire comprimido a 4 bar. La temperatura del aire a </w:t>
      </w:r>
      <w:r>
        <w:rPr>
          <w:spacing w:val="-5"/>
        </w:rPr>
        <w:t>la </w:t>
      </w:r>
      <w:r>
        <w:rPr/>
        <w:t>salida del secador se ajustó a 80 ± 5 ºC [</w:t>
      </w:r>
      <w:r>
        <w:rPr>
          <w:b/>
        </w:rPr>
        <w:t>18</w:t>
      </w:r>
      <w:r>
        <w:rPr/>
        <w:t>].</w:t>
      </w:r>
    </w:p>
    <w:p>
      <w:pPr>
        <w:pStyle w:val="BodyText"/>
      </w:pPr>
    </w:p>
    <w:p>
      <w:pPr>
        <w:pStyle w:val="BodyText"/>
        <w:spacing w:before="9"/>
        <w:rPr>
          <w:sz w:val="29"/>
        </w:rPr>
      </w:pPr>
    </w:p>
    <w:p>
      <w:pPr>
        <w:pStyle w:val="ListParagraph"/>
        <w:numPr>
          <w:ilvl w:val="2"/>
          <w:numId w:val="9"/>
        </w:numPr>
        <w:tabs>
          <w:tab w:pos="821" w:val="left" w:leader="none"/>
        </w:tabs>
        <w:spacing w:line="240" w:lineRule="auto" w:before="0" w:after="0"/>
        <w:ind w:left="821" w:right="0" w:hanging="721"/>
        <w:jc w:val="both"/>
        <w:rPr>
          <w:b/>
          <w:sz w:val="24"/>
        </w:rPr>
      </w:pPr>
      <w:r>
        <w:rPr>
          <w:b/>
          <w:sz w:val="24"/>
        </w:rPr>
        <w:t>Isotermas de adsorción de las</w:t>
      </w:r>
      <w:r>
        <w:rPr>
          <w:b/>
          <w:spacing w:val="-17"/>
          <w:sz w:val="24"/>
        </w:rPr>
        <w:t> </w:t>
      </w:r>
      <w:r>
        <w:rPr>
          <w:b/>
          <w:sz w:val="24"/>
        </w:rPr>
        <w:t>microcápsulas</w:t>
      </w:r>
    </w:p>
    <w:p>
      <w:pPr>
        <w:pStyle w:val="BodyText"/>
        <w:spacing w:line="360" w:lineRule="auto" w:before="137"/>
        <w:ind w:left="100" w:right="114"/>
        <w:jc w:val="both"/>
      </w:pPr>
      <w:r>
        <w:rPr/>
        <w:t>Las isotermas de adsorción de agua en las microcápsulas se determinaron a 25, 35 y 40 °C, utilizando el método descrito por Lang et al. [</w:t>
      </w:r>
      <w:r>
        <w:rPr>
          <w:b/>
        </w:rPr>
        <w:t>26</w:t>
      </w:r>
      <w:r>
        <w:rPr/>
        <w:t>]. Se pesó 1.0 g de microcápsulas en una balanza analítica marca Ohaus (modelo AP210, Nueva Jersey, EUA). Las muestras se colocaron en desecadores de vidrio de 10 cm de diámetro, previamente acondicionados, que contenían diferentes soluciones salinas saturadas en el fondo en el intervalo de actividad </w:t>
      </w:r>
      <w:r>
        <w:rPr>
          <w:position w:val="2"/>
        </w:rPr>
        <w:t>acuosa (</w:t>
      </w:r>
      <w:r>
        <w:rPr>
          <w:i/>
          <w:position w:val="2"/>
        </w:rPr>
        <w:t>a</w:t>
      </w:r>
      <w:r>
        <w:rPr>
          <w:i/>
          <w:sz w:val="16"/>
        </w:rPr>
        <w:t>w</w:t>
      </w:r>
      <w:r>
        <w:rPr>
          <w:position w:val="2"/>
        </w:rPr>
        <w:t>) de 0.1 a 0.9 [</w:t>
      </w:r>
      <w:r>
        <w:rPr>
          <w:b/>
          <w:position w:val="2"/>
        </w:rPr>
        <w:t>27</w:t>
      </w:r>
      <w:r>
        <w:rPr>
          <w:position w:val="2"/>
        </w:rPr>
        <w:t>]. Posteriormente los desecadores se introdujeron en estufas de </w:t>
      </w:r>
      <w:r>
        <w:rPr/>
        <w:t>convección forzada (marca Felisa) y se mantuvieron a las temperaturas ya mencionadas. Las muestras fueron pesadas cada 5 días en una balanza electrónica Ohaus (modelo  AP210, </w:t>
      </w:r>
      <w:r>
        <w:rPr>
          <w:position w:val="2"/>
        </w:rPr>
        <w:t>Nueva Jersey, EUA) y su </w:t>
      </w:r>
      <w:r>
        <w:rPr>
          <w:i/>
          <w:position w:val="2"/>
        </w:rPr>
        <w:t>a</w:t>
      </w:r>
      <w:r>
        <w:rPr>
          <w:i/>
          <w:sz w:val="16"/>
        </w:rPr>
        <w:t>w </w:t>
      </w:r>
      <w:r>
        <w:rPr>
          <w:position w:val="2"/>
        </w:rPr>
        <w:t>se obtuvo con un medidor de actividad de agua Aqualab con </w:t>
      </w:r>
      <w:r>
        <w:rPr/>
        <w:t>compensador de temperatura (modelo series 3 TE, Decagon Devices, Inc., Pullman, WA, EUA).</w:t>
      </w:r>
    </w:p>
    <w:p>
      <w:pPr>
        <w:pStyle w:val="BodyText"/>
      </w:pPr>
    </w:p>
    <w:p>
      <w:pPr>
        <w:pStyle w:val="BodyText"/>
        <w:spacing w:line="360" w:lineRule="auto" w:before="141"/>
        <w:ind w:left="100" w:right="111"/>
        <w:jc w:val="both"/>
      </w:pPr>
      <w:r>
        <w:rPr/>
        <w:t>Los datos experimentales se ajustaron de acuerdo al </w:t>
      </w:r>
      <w:r>
        <w:rPr>
          <w:spacing w:val="-3"/>
        </w:rPr>
        <w:t>modelo </w:t>
      </w:r>
      <w:r>
        <w:rPr/>
        <w:t>Guggenheim-Anderson-De Boer (GAB), que es reconocido </w:t>
      </w:r>
      <w:r>
        <w:rPr>
          <w:spacing w:val="-3"/>
        </w:rPr>
        <w:t>como </w:t>
      </w:r>
      <w:r>
        <w:rPr/>
        <w:t>el </w:t>
      </w:r>
      <w:r>
        <w:rPr>
          <w:spacing w:val="-3"/>
        </w:rPr>
        <w:t>modelo </w:t>
      </w:r>
      <w:r>
        <w:rPr/>
        <w:t>más versátil para adsorción de alimentos [</w:t>
      </w:r>
      <w:r>
        <w:rPr>
          <w:b/>
        </w:rPr>
        <w:t>28</w:t>
      </w:r>
      <w:r>
        <w:rPr/>
        <w:t>].  Este </w:t>
      </w:r>
      <w:r>
        <w:rPr>
          <w:spacing w:val="-3"/>
        </w:rPr>
        <w:t>modelo </w:t>
      </w:r>
      <w:r>
        <w:rPr/>
        <w:t>consta de tres parámetros y se expresa como</w:t>
      </w:r>
      <w:r>
        <w:rPr>
          <w:spacing w:val="1"/>
        </w:rPr>
        <w:t> </w:t>
      </w:r>
      <w:r>
        <w:rPr/>
        <w:t>[</w:t>
      </w:r>
      <w:r>
        <w:rPr>
          <w:b/>
        </w:rPr>
        <w:t>29</w:t>
      </w:r>
      <w:r>
        <w:rPr/>
        <w:t>]:</w:t>
      </w:r>
    </w:p>
    <w:p>
      <w:pPr>
        <w:spacing w:after="0" w:line="360" w:lineRule="auto"/>
        <w:jc w:val="both"/>
        <w:sectPr>
          <w:footerReference w:type="even" r:id="rId15"/>
          <w:footerReference w:type="default" r:id="rId16"/>
          <w:pgSz w:w="11900" w:h="16840"/>
          <w:pgMar w:footer="1370" w:header="0" w:top="1360" w:bottom="1560" w:left="1340" w:right="1320"/>
        </w:sectPr>
      </w:pPr>
    </w:p>
    <w:p>
      <w:pPr>
        <w:tabs>
          <w:tab w:pos="3399" w:val="left" w:leader="none"/>
        </w:tabs>
        <w:spacing w:line="339" w:lineRule="exact" w:before="49"/>
        <w:ind w:left="2067" w:right="0" w:firstLine="0"/>
        <w:jc w:val="left"/>
        <w:rPr>
          <w:i/>
          <w:sz w:val="13"/>
        </w:rPr>
      </w:pPr>
      <w:r>
        <w:rPr/>
        <w:pict>
          <v:line style="position:absolute;mso-position-horizontal-relative:page;mso-position-vertical-relative:paragraph;z-index:-76192" from="194.577698pt,17.743589pt" to="323.333676pt,17.743589pt" stroked="true" strokeweight=".574769pt" strokecolor="#000000">
            <w10:wrap type="none"/>
          </v:line>
        </w:pict>
      </w:r>
      <w:r>
        <w:rPr>
          <w:i/>
          <w:w w:val="105"/>
          <w:position w:val="-14"/>
          <w:sz w:val="23"/>
        </w:rPr>
        <w:t>M</w:t>
      </w:r>
      <w:r>
        <w:rPr>
          <w:i/>
          <w:spacing w:val="31"/>
          <w:w w:val="105"/>
          <w:position w:val="-14"/>
          <w:sz w:val="23"/>
        </w:rPr>
        <w:t> </w:t>
      </w:r>
      <w:r>
        <w:rPr>
          <w:rFonts w:ascii="Symbol" w:hAnsi="Symbol"/>
          <w:w w:val="105"/>
          <w:position w:val="-14"/>
          <w:sz w:val="23"/>
        </w:rPr>
        <w:t></w:t>
      </w:r>
      <w:r>
        <w:rPr>
          <w:w w:val="105"/>
          <w:position w:val="-14"/>
          <w:sz w:val="23"/>
        </w:rPr>
        <w:tab/>
      </w:r>
      <w:r>
        <w:rPr>
          <w:i/>
          <w:w w:val="105"/>
          <w:sz w:val="23"/>
        </w:rPr>
        <w:t>M</w:t>
      </w:r>
      <w:r>
        <w:rPr>
          <w:i/>
          <w:spacing w:val="-47"/>
          <w:w w:val="105"/>
          <w:sz w:val="23"/>
        </w:rPr>
        <w:t> </w:t>
      </w:r>
      <w:r>
        <w:rPr>
          <w:w w:val="105"/>
          <w:position w:val="-5"/>
          <w:sz w:val="13"/>
        </w:rPr>
        <w:t>0</w:t>
      </w:r>
      <w:r>
        <w:rPr>
          <w:i/>
          <w:w w:val="105"/>
          <w:sz w:val="23"/>
        </w:rPr>
        <w:t>CKa</w:t>
      </w:r>
      <w:r>
        <w:rPr>
          <w:i/>
          <w:w w:val="105"/>
          <w:position w:val="-5"/>
          <w:sz w:val="13"/>
        </w:rPr>
        <w:t>W</w:t>
      </w:r>
    </w:p>
    <w:p>
      <w:pPr>
        <w:spacing w:line="293" w:lineRule="exact" w:before="0"/>
        <w:ind w:left="2558" w:right="-9" w:firstLine="0"/>
        <w:jc w:val="left"/>
        <w:rPr>
          <w:rFonts w:ascii="Symbol" w:hAnsi="Symbol"/>
          <w:sz w:val="30"/>
        </w:rPr>
      </w:pPr>
      <w:r>
        <w:rPr>
          <w:rFonts w:ascii="Symbol" w:hAnsi="Symbol"/>
          <w:spacing w:val="4"/>
          <w:sz w:val="30"/>
        </w:rPr>
        <w:t></w:t>
      </w:r>
      <w:r>
        <w:rPr>
          <w:spacing w:val="4"/>
          <w:position w:val="2"/>
          <w:sz w:val="23"/>
        </w:rPr>
        <w:t>1</w:t>
      </w:r>
      <w:r>
        <w:rPr>
          <w:rFonts w:ascii="Symbol" w:hAnsi="Symbol"/>
          <w:spacing w:val="4"/>
          <w:position w:val="2"/>
          <w:sz w:val="23"/>
        </w:rPr>
        <w:t></w:t>
      </w:r>
      <w:r>
        <w:rPr>
          <w:spacing w:val="4"/>
          <w:position w:val="2"/>
          <w:sz w:val="23"/>
        </w:rPr>
        <w:t> </w:t>
      </w:r>
      <w:r>
        <w:rPr>
          <w:i/>
          <w:position w:val="2"/>
          <w:sz w:val="23"/>
        </w:rPr>
        <w:t>Ka</w:t>
      </w:r>
      <w:r>
        <w:rPr>
          <w:i/>
          <w:position w:val="-3"/>
          <w:sz w:val="13"/>
        </w:rPr>
        <w:t>w </w:t>
      </w:r>
      <w:r>
        <w:rPr>
          <w:rFonts w:ascii="Symbol" w:hAnsi="Symbol"/>
          <w:sz w:val="30"/>
        </w:rPr>
        <w:t></w:t>
      </w:r>
      <w:r>
        <w:rPr>
          <w:spacing w:val="-54"/>
          <w:sz w:val="30"/>
        </w:rPr>
        <w:t> </w:t>
      </w:r>
      <w:r>
        <w:rPr>
          <w:rFonts w:ascii="Symbol" w:hAnsi="Symbol"/>
          <w:spacing w:val="4"/>
          <w:sz w:val="30"/>
        </w:rPr>
        <w:t></w:t>
      </w:r>
      <w:r>
        <w:rPr>
          <w:spacing w:val="4"/>
          <w:position w:val="2"/>
          <w:sz w:val="23"/>
        </w:rPr>
        <w:t>1</w:t>
      </w:r>
      <w:r>
        <w:rPr>
          <w:rFonts w:ascii="Symbol" w:hAnsi="Symbol"/>
          <w:spacing w:val="4"/>
          <w:position w:val="2"/>
          <w:sz w:val="23"/>
        </w:rPr>
        <w:t></w:t>
      </w:r>
      <w:r>
        <w:rPr>
          <w:spacing w:val="4"/>
          <w:position w:val="2"/>
          <w:sz w:val="23"/>
        </w:rPr>
        <w:t> </w:t>
      </w:r>
      <w:r>
        <w:rPr>
          <w:i/>
          <w:position w:val="2"/>
          <w:sz w:val="23"/>
        </w:rPr>
        <w:t>Ka</w:t>
      </w:r>
      <w:r>
        <w:rPr>
          <w:i/>
          <w:position w:val="-3"/>
          <w:sz w:val="13"/>
        </w:rPr>
        <w:t>w </w:t>
      </w:r>
      <w:r>
        <w:rPr>
          <w:rFonts w:ascii="Symbol" w:hAnsi="Symbol"/>
          <w:position w:val="2"/>
          <w:sz w:val="23"/>
        </w:rPr>
        <w:t></w:t>
      </w:r>
      <w:r>
        <w:rPr>
          <w:position w:val="2"/>
          <w:sz w:val="23"/>
        </w:rPr>
        <w:t> </w:t>
      </w:r>
      <w:r>
        <w:rPr>
          <w:i/>
          <w:position w:val="2"/>
          <w:sz w:val="23"/>
        </w:rPr>
        <w:t>CKa</w:t>
      </w:r>
      <w:r>
        <w:rPr>
          <w:i/>
          <w:position w:val="-3"/>
          <w:sz w:val="13"/>
        </w:rPr>
        <w:t>w </w:t>
      </w:r>
      <w:r>
        <w:rPr>
          <w:rFonts w:ascii="Symbol" w:hAnsi="Symbol"/>
          <w:sz w:val="30"/>
        </w:rPr>
        <w:t></w:t>
      </w:r>
    </w:p>
    <w:p>
      <w:pPr>
        <w:pStyle w:val="BodyText"/>
        <w:spacing w:before="182"/>
        <w:ind w:left="1214"/>
      </w:pPr>
      <w:r>
        <w:rPr/>
        <w:br w:type="column"/>
      </w:r>
      <w:r>
        <w:rPr/>
        <w:t>(Ec. 5.1)</w:t>
      </w:r>
    </w:p>
    <w:p>
      <w:pPr>
        <w:spacing w:after="0"/>
        <w:sectPr>
          <w:pgSz w:w="11900" w:h="16840"/>
          <w:pgMar w:header="0" w:footer="1026" w:top="1380" w:bottom="1220" w:left="1340" w:right="1320"/>
          <w:cols w:num="2" w:equalWidth="0">
            <w:col w:w="5119" w:space="40"/>
            <w:col w:w="4081"/>
          </w:cols>
        </w:sectPr>
      </w:pPr>
    </w:p>
    <w:p>
      <w:pPr>
        <w:pStyle w:val="BodyText"/>
        <w:rPr>
          <w:sz w:val="20"/>
        </w:rPr>
      </w:pPr>
    </w:p>
    <w:p>
      <w:pPr>
        <w:pStyle w:val="BodyText"/>
        <w:spacing w:before="4"/>
        <w:rPr>
          <w:sz w:val="26"/>
        </w:rPr>
      </w:pPr>
    </w:p>
    <w:p>
      <w:pPr>
        <w:pStyle w:val="BodyText"/>
        <w:spacing w:line="360" w:lineRule="auto" w:before="55"/>
        <w:ind w:left="100" w:right="110"/>
        <w:jc w:val="both"/>
      </w:pPr>
      <w:r>
        <w:rPr>
          <w:position w:val="2"/>
        </w:rPr>
        <w:t>donde </w:t>
      </w:r>
      <w:r>
        <w:rPr>
          <w:i/>
          <w:position w:val="2"/>
        </w:rPr>
        <w:t>M </w:t>
      </w:r>
      <w:r>
        <w:rPr>
          <w:position w:val="2"/>
        </w:rPr>
        <w:t>es el contenido de humedad en el equilibrio </w:t>
      </w:r>
      <w:r>
        <w:rPr>
          <w:rFonts w:ascii="Symbol" w:hAnsi="Symbol"/>
          <w:position w:val="2"/>
        </w:rPr>
        <w:t></w:t>
      </w:r>
      <w:r>
        <w:rPr>
          <w:position w:val="2"/>
        </w:rPr>
        <w:t>kg H</w:t>
      </w:r>
      <w:r>
        <w:rPr>
          <w:sz w:val="16"/>
        </w:rPr>
        <w:t>2</w:t>
      </w:r>
      <w:r>
        <w:rPr>
          <w:position w:val="2"/>
        </w:rPr>
        <w:t>O/100 kg sólidos secos</w:t>
      </w:r>
      <w:r>
        <w:rPr>
          <w:rFonts w:ascii="Symbol" w:hAnsi="Symbol"/>
          <w:position w:val="2"/>
        </w:rPr>
        <w:t></w:t>
      </w:r>
      <w:r>
        <w:rPr>
          <w:position w:val="2"/>
        </w:rPr>
        <w:t>, </w:t>
      </w:r>
      <w:r>
        <w:rPr>
          <w:i/>
          <w:position w:val="2"/>
        </w:rPr>
        <w:t>M</w:t>
      </w:r>
      <w:r>
        <w:rPr>
          <w:i/>
          <w:sz w:val="16"/>
        </w:rPr>
        <w:t>0 </w:t>
      </w:r>
      <w:r>
        <w:rPr>
          <w:position w:val="2"/>
        </w:rPr>
        <w:t>es el contenido de humedad de </w:t>
      </w:r>
      <w:r>
        <w:rPr>
          <w:spacing w:val="-5"/>
          <w:position w:val="2"/>
        </w:rPr>
        <w:t>la </w:t>
      </w:r>
      <w:r>
        <w:rPr>
          <w:position w:val="2"/>
        </w:rPr>
        <w:t>monocapa </w:t>
      </w:r>
      <w:r>
        <w:rPr>
          <w:rFonts w:ascii="Symbol" w:hAnsi="Symbol"/>
          <w:position w:val="2"/>
        </w:rPr>
        <w:t></w:t>
      </w:r>
      <w:r>
        <w:rPr>
          <w:position w:val="2"/>
        </w:rPr>
        <w:t>kg H</w:t>
      </w:r>
      <w:r>
        <w:rPr>
          <w:sz w:val="16"/>
        </w:rPr>
        <w:t>2</w:t>
      </w:r>
      <w:r>
        <w:rPr>
          <w:position w:val="2"/>
        </w:rPr>
        <w:t>O/100 kg s.s.</w:t>
      </w:r>
      <w:r>
        <w:rPr>
          <w:rFonts w:ascii="Symbol" w:hAnsi="Symbol"/>
          <w:position w:val="2"/>
        </w:rPr>
        <w:t></w:t>
      </w:r>
      <w:r>
        <w:rPr>
          <w:position w:val="2"/>
        </w:rPr>
        <w:t>, </w:t>
      </w:r>
      <w:r>
        <w:rPr>
          <w:i/>
          <w:position w:val="2"/>
        </w:rPr>
        <w:t>a</w:t>
      </w:r>
      <w:r>
        <w:rPr>
          <w:i/>
          <w:sz w:val="16"/>
        </w:rPr>
        <w:t>w </w:t>
      </w:r>
      <w:r>
        <w:rPr>
          <w:position w:val="2"/>
        </w:rPr>
        <w:t>es </w:t>
      </w:r>
      <w:r>
        <w:rPr>
          <w:spacing w:val="-5"/>
          <w:position w:val="2"/>
        </w:rPr>
        <w:t>la </w:t>
      </w:r>
      <w:r>
        <w:rPr>
          <w:position w:val="2"/>
        </w:rPr>
        <w:t>actividad de agua, </w:t>
      </w:r>
      <w:r>
        <w:rPr>
          <w:i/>
          <w:position w:val="2"/>
        </w:rPr>
        <w:t>C </w:t>
      </w:r>
      <w:r>
        <w:rPr/>
        <w:t>(adimensional) es </w:t>
      </w:r>
      <w:r>
        <w:rPr>
          <w:spacing w:val="-5"/>
        </w:rPr>
        <w:t>la </w:t>
      </w:r>
      <w:r>
        <w:rPr/>
        <w:t>constante de Guggenheim, </w:t>
      </w:r>
      <w:r>
        <w:rPr>
          <w:i/>
        </w:rPr>
        <w:t>R </w:t>
      </w:r>
      <w:r>
        <w:rPr/>
        <w:t>es </w:t>
      </w:r>
      <w:r>
        <w:rPr>
          <w:spacing w:val="-5"/>
        </w:rPr>
        <w:t>la </w:t>
      </w:r>
      <w:r>
        <w:rPr/>
        <w:t>constante universal de los gases [kJ/mol K], </w:t>
      </w:r>
      <w:r>
        <w:rPr>
          <w:i/>
        </w:rPr>
        <w:t>T </w:t>
      </w:r>
      <w:r>
        <w:rPr/>
        <w:t>es </w:t>
      </w:r>
      <w:r>
        <w:rPr>
          <w:spacing w:val="-5"/>
        </w:rPr>
        <w:t>la </w:t>
      </w:r>
      <w:r>
        <w:rPr/>
        <w:t>temperatura en </w:t>
      </w:r>
      <w:r>
        <w:rPr>
          <w:spacing w:val="-5"/>
        </w:rPr>
        <w:t>la </w:t>
      </w:r>
      <w:r>
        <w:rPr/>
        <w:t>escala absoluta </w:t>
      </w:r>
      <w:r>
        <w:rPr>
          <w:rFonts w:ascii="Symbol" w:hAnsi="Symbol"/>
        </w:rPr>
        <w:t></w:t>
      </w:r>
      <w:r>
        <w:rPr/>
        <w:t>K</w:t>
      </w:r>
      <w:r>
        <w:rPr>
          <w:rFonts w:ascii="Symbol" w:hAnsi="Symbol"/>
        </w:rPr>
        <w:t></w:t>
      </w:r>
      <w:r>
        <w:rPr/>
        <w:t> y </w:t>
      </w:r>
      <w:r>
        <w:rPr>
          <w:i/>
        </w:rPr>
        <w:t>K </w:t>
      </w:r>
      <w:r>
        <w:rPr/>
        <w:t>(adimensional) es </w:t>
      </w:r>
      <w:r>
        <w:rPr>
          <w:spacing w:val="-5"/>
        </w:rPr>
        <w:t>la </w:t>
      </w:r>
      <w:r>
        <w:rPr/>
        <w:t>constante que corrige las propiedades de </w:t>
      </w:r>
      <w:r>
        <w:rPr>
          <w:spacing w:val="-4"/>
        </w:rPr>
        <w:t>las </w:t>
      </w:r>
      <w:r>
        <w:rPr/>
        <w:t>moléculas de </w:t>
      </w:r>
      <w:r>
        <w:rPr>
          <w:spacing w:val="-5"/>
        </w:rPr>
        <w:t>la </w:t>
      </w:r>
      <w:r>
        <w:rPr/>
        <w:t>multicapa con respecto al seno del líquido. </w:t>
      </w:r>
      <w:r>
        <w:rPr>
          <w:position w:val="2"/>
        </w:rPr>
        <w:t>Los valores de los parámetros de </w:t>
      </w:r>
      <w:r>
        <w:rPr>
          <w:spacing w:val="-5"/>
          <w:position w:val="2"/>
        </w:rPr>
        <w:t>la </w:t>
      </w:r>
      <w:r>
        <w:rPr>
          <w:position w:val="2"/>
        </w:rPr>
        <w:t>ecuación de GAB (</w:t>
      </w:r>
      <w:r>
        <w:rPr>
          <w:i/>
          <w:position w:val="2"/>
        </w:rPr>
        <w:t>M</w:t>
      </w:r>
      <w:r>
        <w:rPr>
          <w:i/>
          <w:sz w:val="16"/>
        </w:rPr>
        <w:t>0</w:t>
      </w:r>
      <w:r>
        <w:rPr>
          <w:position w:val="2"/>
        </w:rPr>
        <w:t>, </w:t>
      </w:r>
      <w:r>
        <w:rPr>
          <w:i/>
          <w:position w:val="2"/>
        </w:rPr>
        <w:t>C, K</w:t>
      </w:r>
      <w:r>
        <w:rPr>
          <w:position w:val="2"/>
        </w:rPr>
        <w:t>) se determinaron mediante  </w:t>
      </w:r>
      <w:r>
        <w:rPr/>
        <w:t>un análisis de regresión</w:t>
      </w:r>
      <w:r>
        <w:rPr>
          <w:spacing w:val="-20"/>
        </w:rPr>
        <w:t> </w:t>
      </w:r>
      <w:r>
        <w:rPr/>
        <w:t>no-lineal.</w:t>
      </w:r>
    </w:p>
    <w:p>
      <w:pPr>
        <w:pStyle w:val="BodyText"/>
      </w:pPr>
    </w:p>
    <w:p>
      <w:pPr>
        <w:pStyle w:val="BodyText"/>
        <w:spacing w:line="360" w:lineRule="auto" w:before="141"/>
        <w:ind w:left="100" w:right="118"/>
        <w:jc w:val="both"/>
      </w:pPr>
      <w:r>
        <w:rPr/>
        <w:t>La bondad del ajuste se evaluó utilizando el porcentaje de error (módulo de desviación relativo promedio, </w:t>
      </w:r>
      <w:r>
        <w:rPr>
          <w:i/>
        </w:rPr>
        <w:t>E</w:t>
      </w:r>
      <w:r>
        <w:rPr/>
        <w:t>) entre los valores experimentales y los valores estimados del contenido de humedad; mediante la siguiente ecuación [</w:t>
      </w:r>
      <w:r>
        <w:rPr>
          <w:b/>
        </w:rPr>
        <w:t>30</w:t>
      </w:r>
      <w:r>
        <w:rPr/>
        <w:t>]:</w:t>
      </w:r>
    </w:p>
    <w:p>
      <w:pPr>
        <w:pStyle w:val="BodyText"/>
        <w:rPr>
          <w:sz w:val="20"/>
        </w:rPr>
      </w:pPr>
    </w:p>
    <w:p>
      <w:pPr>
        <w:spacing w:after="0"/>
        <w:rPr>
          <w:sz w:val="20"/>
        </w:rPr>
        <w:sectPr>
          <w:type w:val="continuous"/>
          <w:pgSz w:w="11900" w:h="16840"/>
          <w:pgMar w:top="1580" w:bottom="280" w:left="1340" w:right="1320"/>
        </w:sectPr>
      </w:pPr>
    </w:p>
    <w:p>
      <w:pPr>
        <w:spacing w:line="438" w:lineRule="exact" w:before="239"/>
        <w:ind w:left="2496" w:right="0" w:firstLine="0"/>
        <w:jc w:val="left"/>
        <w:rPr>
          <w:rFonts w:ascii="Symbol" w:hAnsi="Symbol"/>
          <w:sz w:val="37"/>
        </w:rPr>
      </w:pPr>
      <w:r>
        <w:rPr/>
        <w:pict>
          <v:line style="position:absolute;mso-position-horizontal-relative:page;mso-position-vertical-relative:paragraph;z-index:-76168" from="212.320023pt,28.343929pt" to="230.371407pt,28.343934pt" stroked="true" strokeweight=".605347pt" strokecolor="#000000">
            <w10:wrap type="none"/>
          </v:line>
        </w:pict>
      </w:r>
      <w:r>
        <w:rPr/>
        <w:pict>
          <v:group style="position:absolute;margin-left:246.857391pt;margin-top:11.698572pt;width:50.9pt;height:17pt;mso-position-horizontal-relative:page;mso-position-vertical-relative:paragraph;z-index:1360" coordorigin="4937,234" coordsize="1018,340">
            <v:shape style="position:absolute;left:1144;top:8617;width:998;height:320" coordorigin="1144,8617" coordsize="998,320" path="m4968,240l4968,536m5919,240l5919,536m4944,567l5948,567e" filled="false" stroked="true" strokeweight=".600639pt" strokecolor="#000000">
              <v:path arrowok="t"/>
            </v:shape>
            <v:shape style="position:absolute;left:4938;top:234;width:1017;height:339" type="#_x0000_t202" filled="false" stroked="false">
              <v:textbox inset="0,0,0,0">
                <w:txbxContent>
                  <w:p>
                    <w:pPr>
                      <w:spacing w:line="306" w:lineRule="exact" w:before="0"/>
                      <w:ind w:left="64" w:right="0" w:firstLine="0"/>
                      <w:jc w:val="left"/>
                      <w:rPr>
                        <w:i/>
                        <w:sz w:val="14"/>
                      </w:rPr>
                    </w:pPr>
                    <w:r>
                      <w:rPr>
                        <w:i/>
                        <w:sz w:val="25"/>
                      </w:rPr>
                      <w:t>M</w:t>
                    </w:r>
                    <w:r>
                      <w:rPr>
                        <w:i/>
                        <w:position w:val="-5"/>
                        <w:sz w:val="14"/>
                      </w:rPr>
                      <w:t>i </w:t>
                    </w:r>
                    <w:r>
                      <w:rPr>
                        <w:rFonts w:ascii="Symbol" w:hAnsi="Symbol"/>
                        <w:sz w:val="25"/>
                      </w:rPr>
                      <w:t></w:t>
                    </w:r>
                    <w:r>
                      <w:rPr>
                        <w:sz w:val="25"/>
                      </w:rPr>
                      <w:t> </w:t>
                    </w:r>
                    <w:r>
                      <w:rPr>
                        <w:i/>
                        <w:sz w:val="25"/>
                      </w:rPr>
                      <w:t>M</w:t>
                    </w:r>
                    <w:r>
                      <w:rPr>
                        <w:i/>
                        <w:position w:val="-5"/>
                        <w:sz w:val="14"/>
                      </w:rPr>
                      <w:t>Ei</w:t>
                    </w:r>
                  </w:p>
                </w:txbxContent>
              </v:textbox>
              <w10:wrap type="none"/>
            </v:shape>
            <w10:wrap type="none"/>
          </v:group>
        </w:pict>
      </w:r>
      <w:r>
        <w:rPr>
          <w:i/>
          <w:position w:val="-15"/>
          <w:sz w:val="25"/>
        </w:rPr>
        <w:t>E </w:t>
      </w:r>
      <w:r>
        <w:rPr>
          <w:rFonts w:ascii="Symbol" w:hAnsi="Symbol"/>
          <w:position w:val="-15"/>
          <w:sz w:val="25"/>
        </w:rPr>
        <w:t></w:t>
      </w:r>
      <w:r>
        <w:rPr>
          <w:position w:val="-15"/>
          <w:sz w:val="25"/>
        </w:rPr>
        <w:t> </w:t>
      </w:r>
      <w:r>
        <w:rPr>
          <w:sz w:val="25"/>
        </w:rPr>
        <w:t>100 </w:t>
      </w:r>
      <w:r>
        <w:rPr>
          <w:rFonts w:ascii="Symbol" w:hAnsi="Symbol"/>
          <w:position w:val="-20"/>
          <w:sz w:val="37"/>
        </w:rPr>
        <w:t></w:t>
      </w:r>
    </w:p>
    <w:p>
      <w:pPr>
        <w:tabs>
          <w:tab w:pos="962" w:val="left" w:leader="none"/>
        </w:tabs>
        <w:spacing w:line="237" w:lineRule="exact" w:before="0"/>
        <w:ind w:left="0" w:right="0" w:firstLine="0"/>
        <w:jc w:val="right"/>
        <w:rPr>
          <w:i/>
          <w:sz w:val="14"/>
        </w:rPr>
      </w:pPr>
      <w:r>
        <w:rPr>
          <w:i/>
          <w:sz w:val="25"/>
        </w:rPr>
        <w:t>N</w:t>
        <w:tab/>
      </w:r>
      <w:r>
        <w:rPr>
          <w:i/>
          <w:spacing w:val="8"/>
          <w:w w:val="95"/>
          <w:sz w:val="25"/>
        </w:rPr>
        <w:t>M</w:t>
      </w:r>
      <w:r>
        <w:rPr>
          <w:i/>
          <w:spacing w:val="8"/>
          <w:w w:val="95"/>
          <w:position w:val="-5"/>
          <w:sz w:val="14"/>
        </w:rPr>
        <w:t>i</w:t>
      </w:r>
    </w:p>
    <w:p>
      <w:pPr>
        <w:pStyle w:val="BodyText"/>
        <w:spacing w:before="10"/>
        <w:rPr>
          <w:i/>
          <w:sz w:val="35"/>
        </w:rPr>
      </w:pPr>
      <w:r>
        <w:rPr/>
        <w:br w:type="column"/>
      </w:r>
      <w:r>
        <w:rPr>
          <w:i/>
          <w:sz w:val="35"/>
        </w:rPr>
      </w:r>
    </w:p>
    <w:p>
      <w:pPr>
        <w:pStyle w:val="BodyText"/>
        <w:ind w:left="1649" w:right="2449"/>
        <w:jc w:val="center"/>
      </w:pPr>
      <w:r>
        <w:rPr/>
        <w:t>(Ec. 5.2)</w:t>
      </w:r>
    </w:p>
    <w:p>
      <w:pPr>
        <w:spacing w:after="0"/>
        <w:jc w:val="center"/>
        <w:sectPr>
          <w:type w:val="continuous"/>
          <w:pgSz w:w="11900" w:h="16840"/>
          <w:pgMar w:top="1580" w:bottom="280" w:left="1340" w:right="1320"/>
          <w:cols w:num="2" w:equalWidth="0">
            <w:col w:w="4228" w:space="40"/>
            <w:col w:w="4972"/>
          </w:cols>
        </w:sectPr>
      </w:pPr>
    </w:p>
    <w:p>
      <w:pPr>
        <w:pStyle w:val="BodyText"/>
        <w:spacing w:before="9"/>
        <w:rPr>
          <w:sz w:val="29"/>
        </w:rPr>
      </w:pPr>
    </w:p>
    <w:p>
      <w:pPr>
        <w:pStyle w:val="BodyText"/>
        <w:spacing w:line="360" w:lineRule="auto" w:before="55"/>
        <w:ind w:left="100" w:right="109"/>
        <w:jc w:val="both"/>
      </w:pPr>
      <w:r>
        <w:rPr>
          <w:position w:val="2"/>
        </w:rPr>
        <w:t>siendo </w:t>
      </w:r>
      <w:r>
        <w:rPr>
          <w:i/>
          <w:position w:val="2"/>
        </w:rPr>
        <w:t>M</w:t>
      </w:r>
      <w:r>
        <w:rPr>
          <w:i/>
          <w:sz w:val="16"/>
        </w:rPr>
        <w:t>i </w:t>
      </w:r>
      <w:r>
        <w:rPr>
          <w:position w:val="2"/>
        </w:rPr>
        <w:t>los valores experimentales del contenido de humedad </w:t>
      </w:r>
      <w:r>
        <w:rPr>
          <w:rFonts w:ascii="Symbol" w:hAnsi="Symbol"/>
          <w:position w:val="2"/>
        </w:rPr>
        <w:t></w:t>
      </w:r>
      <w:r>
        <w:rPr>
          <w:position w:val="2"/>
        </w:rPr>
        <w:t>kg H</w:t>
      </w:r>
      <w:r>
        <w:rPr>
          <w:sz w:val="16"/>
        </w:rPr>
        <w:t>2</w:t>
      </w:r>
      <w:r>
        <w:rPr>
          <w:position w:val="2"/>
        </w:rPr>
        <w:t>O/100 kg s.s.</w:t>
      </w:r>
      <w:r>
        <w:rPr>
          <w:rFonts w:ascii="Symbol" w:hAnsi="Symbol"/>
          <w:position w:val="2"/>
        </w:rPr>
        <w:t></w:t>
      </w:r>
      <w:r>
        <w:rPr>
          <w:position w:val="2"/>
        </w:rPr>
        <w:t>, </w:t>
      </w:r>
      <w:r>
        <w:rPr>
          <w:i/>
          <w:position w:val="2"/>
        </w:rPr>
        <w:t>M</w:t>
      </w:r>
      <w:r>
        <w:rPr>
          <w:i/>
          <w:sz w:val="16"/>
        </w:rPr>
        <w:t>Ei </w:t>
      </w:r>
      <w:r>
        <w:rPr>
          <w:position w:val="2"/>
        </w:rPr>
        <w:t>los valores de humedad </w:t>
      </w:r>
      <w:r>
        <w:rPr>
          <w:rFonts w:ascii="Symbol" w:hAnsi="Symbol"/>
          <w:position w:val="2"/>
        </w:rPr>
        <w:t></w:t>
      </w:r>
      <w:r>
        <w:rPr>
          <w:position w:val="2"/>
        </w:rPr>
        <w:t>kg H</w:t>
      </w:r>
      <w:r>
        <w:rPr>
          <w:sz w:val="16"/>
        </w:rPr>
        <w:t>2</w:t>
      </w:r>
      <w:r>
        <w:rPr>
          <w:position w:val="2"/>
        </w:rPr>
        <w:t>O/100 kg s.s.</w:t>
      </w:r>
      <w:r>
        <w:rPr>
          <w:rFonts w:ascii="Symbol" w:hAnsi="Symbol"/>
          <w:position w:val="2"/>
        </w:rPr>
        <w:t></w:t>
      </w:r>
      <w:r>
        <w:rPr>
          <w:position w:val="2"/>
        </w:rPr>
        <w:t> estimados por el modelo de GAB y </w:t>
      </w:r>
      <w:r>
        <w:rPr>
          <w:i/>
          <w:position w:val="2"/>
        </w:rPr>
        <w:t>N </w:t>
      </w:r>
      <w:r>
        <w:rPr>
          <w:position w:val="2"/>
        </w:rPr>
        <w:t>el número de </w:t>
      </w:r>
      <w:r>
        <w:rPr/>
        <w:t>datos experimentales. Se supone un buen ajuste cuando </w:t>
      </w:r>
      <w:r>
        <w:rPr>
          <w:i/>
        </w:rPr>
        <w:t>E </w:t>
      </w:r>
      <w:r>
        <w:rPr>
          <w:rFonts w:ascii="Symbol" w:hAnsi="Symbol"/>
        </w:rPr>
        <w:t></w:t>
      </w:r>
      <w:r>
        <w:rPr/>
        <w:t> 5 % [</w:t>
      </w:r>
      <w:r>
        <w:rPr>
          <w:b/>
        </w:rPr>
        <w:t>31</w:t>
      </w:r>
      <w:r>
        <w:rPr/>
        <w:t>].</w:t>
      </w:r>
    </w:p>
    <w:p>
      <w:pPr>
        <w:pStyle w:val="BodyText"/>
      </w:pPr>
    </w:p>
    <w:p>
      <w:pPr>
        <w:pStyle w:val="BodyText"/>
        <w:spacing w:before="8"/>
        <w:rPr>
          <w:sz w:val="29"/>
        </w:rPr>
      </w:pPr>
    </w:p>
    <w:p>
      <w:pPr>
        <w:pStyle w:val="ListParagraph"/>
        <w:numPr>
          <w:ilvl w:val="2"/>
          <w:numId w:val="9"/>
        </w:numPr>
        <w:tabs>
          <w:tab w:pos="821" w:val="left" w:leader="none"/>
        </w:tabs>
        <w:spacing w:line="240" w:lineRule="auto" w:before="0" w:after="0"/>
        <w:ind w:left="821" w:right="0" w:hanging="721"/>
        <w:jc w:val="both"/>
        <w:rPr>
          <w:b/>
          <w:sz w:val="24"/>
        </w:rPr>
      </w:pPr>
      <w:r>
        <w:rPr>
          <w:b/>
          <w:sz w:val="24"/>
        </w:rPr>
        <w:t>Propiedades termodinámicas de las</w:t>
      </w:r>
      <w:r>
        <w:rPr>
          <w:b/>
          <w:spacing w:val="-20"/>
          <w:sz w:val="24"/>
        </w:rPr>
        <w:t> </w:t>
      </w:r>
      <w:r>
        <w:rPr>
          <w:b/>
          <w:sz w:val="24"/>
        </w:rPr>
        <w:t>microcápsulas</w:t>
      </w:r>
    </w:p>
    <w:p>
      <w:pPr>
        <w:pStyle w:val="BodyText"/>
        <w:spacing w:line="360" w:lineRule="auto" w:before="137"/>
        <w:ind w:left="100" w:right="114"/>
        <w:jc w:val="both"/>
      </w:pPr>
      <w:r>
        <w:rPr/>
        <w:t>Las propiedades termodinámicas (entalpías y entropías diferenciales e integrales) de </w:t>
      </w:r>
      <w:r>
        <w:rPr>
          <w:spacing w:val="-4"/>
        </w:rPr>
        <w:t>las </w:t>
      </w:r>
      <w:r>
        <w:rPr/>
        <w:t>microcápsulas se estimaron por el método de Clausius-Clapeyron, según </w:t>
      </w:r>
      <w:r>
        <w:rPr>
          <w:spacing w:val="-5"/>
        </w:rPr>
        <w:t>lo </w:t>
      </w:r>
      <w:r>
        <w:rPr/>
        <w:t>reportado por Pérez-Alonso et </w:t>
      </w:r>
      <w:r>
        <w:rPr>
          <w:spacing w:val="-4"/>
        </w:rPr>
        <w:t>al. </w:t>
      </w:r>
      <w:r>
        <w:rPr/>
        <w:t>[</w:t>
      </w:r>
      <w:r>
        <w:rPr>
          <w:b/>
        </w:rPr>
        <w:t>28</w:t>
      </w:r>
      <w:r>
        <w:rPr/>
        <w:t>]. Se considera como el punto </w:t>
      </w:r>
      <w:r>
        <w:rPr>
          <w:spacing w:val="-3"/>
        </w:rPr>
        <w:t>máximo </w:t>
      </w:r>
      <w:r>
        <w:rPr/>
        <w:t>de estabilidad aquél en donde  se encuentre </w:t>
      </w:r>
      <w:r>
        <w:rPr>
          <w:spacing w:val="-5"/>
        </w:rPr>
        <w:t>la </w:t>
      </w:r>
      <w:r>
        <w:rPr/>
        <w:t>entropía mínima integral, el cual nos indicará </w:t>
      </w:r>
      <w:r>
        <w:rPr>
          <w:spacing w:val="-3"/>
        </w:rPr>
        <w:t>las </w:t>
      </w:r>
      <w:r>
        <w:rPr/>
        <w:t>condiciones óptimas de almacenamiento de </w:t>
      </w:r>
      <w:r>
        <w:rPr>
          <w:spacing w:val="-4"/>
        </w:rPr>
        <w:t>las</w:t>
      </w:r>
      <w:r>
        <w:rPr>
          <w:spacing w:val="-8"/>
        </w:rPr>
        <w:t> </w:t>
      </w:r>
      <w:r>
        <w:rPr/>
        <w:t>microcápsulas.</w:t>
      </w:r>
    </w:p>
    <w:p>
      <w:pPr>
        <w:spacing w:after="0" w:line="360" w:lineRule="auto"/>
        <w:jc w:val="both"/>
        <w:sectPr>
          <w:type w:val="continuous"/>
          <w:pgSz w:w="11900" w:h="16840"/>
          <w:pgMar w:top="1580" w:bottom="280" w:left="1340" w:right="1320"/>
        </w:sectPr>
      </w:pPr>
    </w:p>
    <w:p>
      <w:pPr>
        <w:pStyle w:val="ListParagraph"/>
        <w:numPr>
          <w:ilvl w:val="2"/>
          <w:numId w:val="9"/>
        </w:numPr>
        <w:tabs>
          <w:tab w:pos="821" w:val="left" w:leader="none"/>
        </w:tabs>
        <w:spacing w:line="240" w:lineRule="auto" w:before="54" w:after="0"/>
        <w:ind w:left="821" w:right="0" w:hanging="721"/>
        <w:jc w:val="both"/>
        <w:rPr>
          <w:b/>
          <w:sz w:val="24"/>
        </w:rPr>
      </w:pPr>
      <w:r>
        <w:rPr>
          <w:b/>
          <w:sz w:val="24"/>
        </w:rPr>
        <w:t>Temperatura de transición vítrea</w:t>
      </w:r>
      <w:r>
        <w:rPr>
          <w:b/>
          <w:spacing w:val="-11"/>
          <w:sz w:val="24"/>
        </w:rPr>
        <w:t> </w:t>
      </w:r>
      <w:r>
        <w:rPr>
          <w:b/>
          <w:sz w:val="24"/>
        </w:rPr>
        <w:t>(</w:t>
      </w:r>
      <w:r>
        <w:rPr>
          <w:b/>
          <w:i/>
          <w:sz w:val="24"/>
        </w:rPr>
        <w:t>Tg</w:t>
      </w:r>
      <w:r>
        <w:rPr>
          <w:b/>
          <w:sz w:val="24"/>
        </w:rPr>
        <w:t>)</w:t>
      </w:r>
    </w:p>
    <w:p>
      <w:pPr>
        <w:pStyle w:val="BodyText"/>
        <w:spacing w:line="362" w:lineRule="auto" w:before="137"/>
        <w:ind w:left="100" w:right="113"/>
        <w:jc w:val="both"/>
      </w:pPr>
      <w:r>
        <w:rPr/>
        <w:t>Ya que las microcápsulas estaban acondicionadas a las distintas actividades de agua y temperaturas de las isotermas de adsorción, se procedió a determinar la temperatura de transición vítrea de cada una de ellas mediante calorimetría diferencial de barrido.</w:t>
      </w:r>
    </w:p>
    <w:p>
      <w:pPr>
        <w:pStyle w:val="BodyText"/>
      </w:pPr>
    </w:p>
    <w:p>
      <w:pPr>
        <w:pStyle w:val="BodyText"/>
        <w:spacing w:line="360" w:lineRule="auto" w:before="138"/>
        <w:ind w:left="100" w:right="111"/>
        <w:jc w:val="both"/>
      </w:pPr>
      <w:r>
        <w:rPr/>
        <w:t>Se tomaron muestras entre 4 y 5 </w:t>
      </w:r>
      <w:r>
        <w:rPr>
          <w:spacing w:val="-5"/>
        </w:rPr>
        <w:t>mg </w:t>
      </w:r>
      <w:r>
        <w:rPr/>
        <w:t>de microcápsulas acondicionadas a cada temperatura de estudio (25, 35 y 40 </w:t>
      </w:r>
      <w:r>
        <w:rPr>
          <w:spacing w:val="-3"/>
        </w:rPr>
        <w:t>°C) </w:t>
      </w:r>
      <w:r>
        <w:rPr/>
        <w:t>y actividad de agua, y se colocaron en un calorímetro diferencial de barrido modulado TA Instruments </w:t>
      </w:r>
      <w:r>
        <w:rPr>
          <w:spacing w:val="-3"/>
        </w:rPr>
        <w:t>modelo </w:t>
      </w:r>
      <w:r>
        <w:rPr/>
        <w:t>Q1000 (New Castle, DE, EUA), empleando una rampa de calentamiento de 2.5 °C/min desde un temperatura de -20 </w:t>
      </w:r>
      <w:r>
        <w:rPr>
          <w:spacing w:val="-3"/>
        </w:rPr>
        <w:t>°C </w:t>
      </w:r>
      <w:r>
        <w:rPr/>
        <w:t>hasta 100 </w:t>
      </w:r>
      <w:r>
        <w:rPr>
          <w:spacing w:val="-3"/>
        </w:rPr>
        <w:t>°C. </w:t>
      </w:r>
      <w:r>
        <w:rPr/>
        <w:t>Se consideró </w:t>
      </w:r>
      <w:r>
        <w:rPr>
          <w:spacing w:val="-3"/>
        </w:rPr>
        <w:t>como </w:t>
      </w:r>
      <w:r>
        <w:rPr>
          <w:spacing w:val="-5"/>
        </w:rPr>
        <w:t>la </w:t>
      </w:r>
      <w:r>
        <w:rPr/>
        <w:t>temperatura de transición vítrea al punto </w:t>
      </w:r>
      <w:r>
        <w:rPr>
          <w:spacing w:val="-4"/>
        </w:rPr>
        <w:t>medio</w:t>
      </w:r>
      <w:r>
        <w:rPr>
          <w:spacing w:val="52"/>
        </w:rPr>
        <w:t> </w:t>
      </w:r>
      <w:r>
        <w:rPr/>
        <w:t>obtenido del cambio de pendiente del termograma generado por el software del equipo. Hecho esto, se ajustaron los datos de transición vítrea al </w:t>
      </w:r>
      <w:r>
        <w:rPr>
          <w:spacing w:val="-3"/>
        </w:rPr>
        <w:t>modelo </w:t>
      </w:r>
      <w:r>
        <w:rPr/>
        <w:t>de Gordon-Taylor [</w:t>
      </w:r>
      <w:r>
        <w:rPr>
          <w:b/>
        </w:rPr>
        <w:t>32</w:t>
      </w:r>
      <w:r>
        <w:rPr/>
        <w:t>]:</w:t>
      </w:r>
    </w:p>
    <w:p>
      <w:pPr>
        <w:pStyle w:val="BodyText"/>
        <w:rPr>
          <w:sz w:val="20"/>
        </w:rPr>
      </w:pPr>
    </w:p>
    <w:p>
      <w:pPr>
        <w:spacing w:after="0"/>
        <w:rPr>
          <w:sz w:val="20"/>
        </w:rPr>
        <w:sectPr>
          <w:footerReference w:type="default" r:id="rId17"/>
          <w:footerReference w:type="even" r:id="rId18"/>
          <w:pgSz w:w="11900" w:h="16840"/>
          <w:pgMar w:footer="1370" w:header="0" w:top="1360" w:bottom="1560" w:left="1340" w:right="1320"/>
          <w:pgNumType w:start="3"/>
        </w:sectPr>
      </w:pPr>
    </w:p>
    <w:p>
      <w:pPr>
        <w:spacing w:line="410" w:lineRule="exact" w:before="177"/>
        <w:ind w:left="2612" w:right="-13" w:firstLine="0"/>
        <w:jc w:val="left"/>
        <w:rPr>
          <w:i/>
          <w:sz w:val="14"/>
        </w:rPr>
      </w:pPr>
      <w:r>
        <w:rPr/>
        <w:pict>
          <v:line style="position:absolute;mso-position-horizontal-relative:page;mso-position-vertical-relative:paragraph;z-index:-76096" from="223.351791pt,26.292pt" to="299.421457pt,26.292039pt" stroked="true" strokeweight=".602123pt" strokecolor="#000000">
            <w10:wrap type="none"/>
          </v:line>
        </w:pict>
      </w:r>
      <w:r>
        <w:rPr>
          <w:i/>
          <w:position w:val="-15"/>
          <w:sz w:val="25"/>
        </w:rPr>
        <w:t>Tg </w:t>
      </w:r>
      <w:r>
        <w:rPr>
          <w:rFonts w:ascii="Symbol" w:hAnsi="Symbol"/>
          <w:position w:val="-15"/>
          <w:sz w:val="25"/>
        </w:rPr>
        <w:t></w:t>
      </w:r>
      <w:r>
        <w:rPr>
          <w:position w:val="-15"/>
          <w:sz w:val="25"/>
        </w:rPr>
        <w:t> </w:t>
      </w:r>
      <w:r>
        <w:rPr>
          <w:i/>
          <w:sz w:val="25"/>
        </w:rPr>
        <w:t>w</w:t>
      </w:r>
      <w:r>
        <w:rPr>
          <w:i/>
          <w:position w:val="-5"/>
          <w:sz w:val="14"/>
        </w:rPr>
        <w:t>s</w:t>
      </w:r>
      <w:r>
        <w:rPr>
          <w:i/>
          <w:sz w:val="25"/>
        </w:rPr>
        <w:t>Tg</w:t>
      </w:r>
      <w:r>
        <w:rPr>
          <w:i/>
          <w:position w:val="-5"/>
          <w:sz w:val="14"/>
        </w:rPr>
        <w:t>s  </w:t>
      </w:r>
      <w:r>
        <w:rPr>
          <w:rFonts w:ascii="Symbol" w:hAnsi="Symbol"/>
          <w:sz w:val="25"/>
        </w:rPr>
        <w:t></w:t>
      </w:r>
      <w:r>
        <w:rPr>
          <w:spacing w:val="-49"/>
          <w:sz w:val="25"/>
        </w:rPr>
        <w:t> </w:t>
      </w:r>
      <w:r>
        <w:rPr>
          <w:i/>
          <w:spacing w:val="-3"/>
          <w:sz w:val="25"/>
        </w:rPr>
        <w:t>kw</w:t>
      </w:r>
      <w:r>
        <w:rPr>
          <w:i/>
          <w:spacing w:val="-3"/>
          <w:position w:val="-5"/>
          <w:sz w:val="14"/>
        </w:rPr>
        <w:t>w</w:t>
      </w:r>
      <w:r>
        <w:rPr>
          <w:i/>
          <w:spacing w:val="-3"/>
          <w:sz w:val="25"/>
        </w:rPr>
        <w:t>Tg</w:t>
      </w:r>
      <w:r>
        <w:rPr>
          <w:i/>
          <w:spacing w:val="-3"/>
          <w:position w:val="-5"/>
          <w:sz w:val="14"/>
        </w:rPr>
        <w:t>w</w:t>
      </w:r>
    </w:p>
    <w:p>
      <w:pPr>
        <w:spacing w:line="286" w:lineRule="exact" w:before="0"/>
        <w:ind w:left="0" w:right="335" w:firstLine="0"/>
        <w:jc w:val="right"/>
        <w:rPr>
          <w:i/>
          <w:sz w:val="14"/>
        </w:rPr>
      </w:pPr>
      <w:r>
        <w:rPr>
          <w:i/>
          <w:sz w:val="25"/>
        </w:rPr>
        <w:t>w</w:t>
      </w:r>
      <w:r>
        <w:rPr>
          <w:i/>
          <w:position w:val="-5"/>
          <w:sz w:val="14"/>
        </w:rPr>
        <w:t>s  </w:t>
      </w:r>
      <w:r>
        <w:rPr>
          <w:rFonts w:ascii="Symbol" w:hAnsi="Symbol"/>
          <w:sz w:val="25"/>
        </w:rPr>
        <w:t></w:t>
      </w:r>
      <w:r>
        <w:rPr>
          <w:sz w:val="25"/>
        </w:rPr>
        <w:t> </w:t>
      </w:r>
      <w:r>
        <w:rPr>
          <w:i/>
          <w:sz w:val="25"/>
        </w:rPr>
        <w:t>kw</w:t>
      </w:r>
      <w:r>
        <w:rPr>
          <w:i/>
          <w:position w:val="-5"/>
          <w:sz w:val="14"/>
        </w:rPr>
        <w:t>w</w:t>
      </w:r>
    </w:p>
    <w:p>
      <w:pPr>
        <w:pStyle w:val="BodyText"/>
        <w:spacing w:before="4"/>
        <w:rPr>
          <w:i/>
          <w:sz w:val="33"/>
        </w:rPr>
      </w:pPr>
      <w:r>
        <w:rPr/>
        <w:br w:type="column"/>
      </w:r>
      <w:r>
        <w:rPr>
          <w:i/>
          <w:sz w:val="33"/>
        </w:rPr>
      </w:r>
    </w:p>
    <w:p>
      <w:pPr>
        <w:pStyle w:val="BodyText"/>
        <w:ind w:left="1143"/>
      </w:pPr>
      <w:r>
        <w:rPr/>
        <w:t>(Ec. 5.3)</w:t>
      </w:r>
    </w:p>
    <w:p>
      <w:pPr>
        <w:spacing w:after="0"/>
        <w:sectPr>
          <w:type w:val="continuous"/>
          <w:pgSz w:w="11900" w:h="16840"/>
          <w:pgMar w:top="1580" w:bottom="280" w:left="1340" w:right="1320"/>
          <w:cols w:num="2" w:equalWidth="0">
            <w:col w:w="4617" w:space="40"/>
            <w:col w:w="4583"/>
          </w:cols>
        </w:sectPr>
      </w:pPr>
    </w:p>
    <w:p>
      <w:pPr>
        <w:pStyle w:val="BodyText"/>
        <w:rPr>
          <w:sz w:val="20"/>
        </w:rPr>
      </w:pPr>
    </w:p>
    <w:p>
      <w:pPr>
        <w:pStyle w:val="BodyText"/>
        <w:rPr>
          <w:sz w:val="25"/>
        </w:rPr>
      </w:pPr>
    </w:p>
    <w:p>
      <w:pPr>
        <w:pStyle w:val="BodyText"/>
        <w:spacing w:before="69"/>
        <w:ind w:left="100"/>
        <w:jc w:val="both"/>
      </w:pPr>
      <w:r>
        <w:rPr/>
        <w:t>donde:</w:t>
      </w:r>
    </w:p>
    <w:p>
      <w:pPr>
        <w:pStyle w:val="BodyText"/>
        <w:spacing w:before="136"/>
        <w:ind w:left="100"/>
        <w:jc w:val="both"/>
      </w:pPr>
      <w:r>
        <w:rPr>
          <w:i/>
          <w:position w:val="2"/>
        </w:rPr>
        <w:t>w</w:t>
      </w:r>
      <w:r>
        <w:rPr>
          <w:i/>
          <w:sz w:val="16"/>
        </w:rPr>
        <w:t>s</w:t>
      </w:r>
      <w:r>
        <w:rPr>
          <w:position w:val="2"/>
        </w:rPr>
        <w:t>: Es la cantidad de agua respecto a la del sólido seco (g H</w:t>
      </w:r>
      <w:r>
        <w:rPr>
          <w:sz w:val="16"/>
        </w:rPr>
        <w:t>2</w:t>
      </w:r>
      <w:r>
        <w:rPr>
          <w:position w:val="2"/>
        </w:rPr>
        <w:t>O/g s.s.).</w:t>
      </w:r>
    </w:p>
    <w:p>
      <w:pPr>
        <w:pStyle w:val="BodyText"/>
        <w:spacing w:before="139"/>
        <w:ind w:left="100"/>
        <w:jc w:val="both"/>
      </w:pPr>
      <w:r>
        <w:rPr>
          <w:i/>
          <w:position w:val="2"/>
        </w:rPr>
        <w:t>w</w:t>
      </w:r>
      <w:r>
        <w:rPr>
          <w:i/>
          <w:sz w:val="16"/>
        </w:rPr>
        <w:t>w </w:t>
      </w:r>
      <w:r>
        <w:rPr>
          <w:position w:val="2"/>
        </w:rPr>
        <w:t>: Es la fracción masa de agua (g agua/ g totales de producto).</w:t>
      </w:r>
    </w:p>
    <w:p>
      <w:pPr>
        <w:pStyle w:val="BodyText"/>
        <w:spacing w:before="135"/>
        <w:ind w:left="100"/>
        <w:jc w:val="both"/>
      </w:pPr>
      <w:r>
        <w:rPr>
          <w:i/>
        </w:rPr>
        <w:t>Tg</w:t>
      </w:r>
      <w:r>
        <w:rPr/>
        <w:t>: Es la temperatura de transición vítrea (°C).</w:t>
      </w:r>
    </w:p>
    <w:p>
      <w:pPr>
        <w:pStyle w:val="BodyText"/>
        <w:spacing w:before="137"/>
        <w:ind w:left="100"/>
        <w:jc w:val="both"/>
      </w:pPr>
      <w:r>
        <w:rPr>
          <w:i/>
        </w:rPr>
        <w:t>k</w:t>
      </w:r>
      <w:r>
        <w:rPr/>
        <w:t>: Es el parámetro de Gordon-Taylor.</w:t>
      </w:r>
    </w:p>
    <w:p>
      <w:pPr>
        <w:pStyle w:val="BodyText"/>
        <w:spacing w:before="136"/>
        <w:ind w:left="100"/>
        <w:jc w:val="both"/>
      </w:pPr>
      <w:r>
        <w:rPr>
          <w:i/>
          <w:position w:val="2"/>
        </w:rPr>
        <w:t>Tg</w:t>
      </w:r>
      <w:r>
        <w:rPr>
          <w:i/>
          <w:sz w:val="16"/>
        </w:rPr>
        <w:t>w</w:t>
      </w:r>
      <w:r>
        <w:rPr>
          <w:position w:val="2"/>
        </w:rPr>
        <w:t>: Es la temperatura de transición vítrea del agua amorfa (-135°C).</w:t>
      </w:r>
    </w:p>
    <w:p>
      <w:pPr>
        <w:pStyle w:val="BodyText"/>
        <w:spacing w:before="139"/>
        <w:ind w:left="100"/>
        <w:jc w:val="both"/>
      </w:pPr>
      <w:r>
        <w:rPr>
          <w:i/>
        </w:rPr>
        <w:t>Tgs</w:t>
      </w:r>
      <w:r>
        <w:rPr/>
        <w:t>: Es la temperatura de transición vítrea de sólidos anhidros.</w:t>
      </w:r>
    </w:p>
    <w:p>
      <w:pPr>
        <w:pStyle w:val="BodyText"/>
      </w:pPr>
    </w:p>
    <w:p>
      <w:pPr>
        <w:pStyle w:val="BodyText"/>
      </w:pPr>
    </w:p>
    <w:p>
      <w:pPr>
        <w:pStyle w:val="ListParagraph"/>
        <w:numPr>
          <w:ilvl w:val="2"/>
          <w:numId w:val="9"/>
        </w:numPr>
        <w:tabs>
          <w:tab w:pos="821" w:val="left" w:leader="none"/>
        </w:tabs>
        <w:spacing w:line="240" w:lineRule="auto" w:before="200" w:after="0"/>
        <w:ind w:left="821" w:right="0" w:hanging="721"/>
        <w:jc w:val="both"/>
        <w:rPr>
          <w:b/>
          <w:sz w:val="24"/>
        </w:rPr>
      </w:pPr>
      <w:r>
        <w:rPr>
          <w:b/>
          <w:sz w:val="24"/>
        </w:rPr>
        <w:t>Oxidación del aceite de chía en las</w:t>
      </w:r>
      <w:r>
        <w:rPr>
          <w:b/>
          <w:spacing w:val="-18"/>
          <w:sz w:val="24"/>
        </w:rPr>
        <w:t> </w:t>
      </w:r>
      <w:r>
        <w:rPr>
          <w:b/>
          <w:sz w:val="24"/>
        </w:rPr>
        <w:t>microcápsulas</w:t>
      </w:r>
    </w:p>
    <w:p>
      <w:pPr>
        <w:pStyle w:val="BodyText"/>
        <w:spacing w:line="360" w:lineRule="auto" w:before="137"/>
        <w:ind w:left="100" w:right="115"/>
        <w:jc w:val="both"/>
      </w:pPr>
      <w:r>
        <w:rPr/>
        <w:t>Se determinaron </w:t>
      </w:r>
      <w:r>
        <w:rPr>
          <w:spacing w:val="-3"/>
        </w:rPr>
        <w:t>las </w:t>
      </w:r>
      <w:r>
        <w:rPr/>
        <w:t>cinéticas de oxidación del aceite (concentración de hidroperóxidos que  se formen) en tres etapas diferentes de </w:t>
      </w:r>
      <w:r>
        <w:rPr>
          <w:spacing w:val="-5"/>
        </w:rPr>
        <w:t>la </w:t>
      </w:r>
      <w:r>
        <w:rPr/>
        <w:t>investigación: </w:t>
      </w:r>
      <w:r>
        <w:rPr>
          <w:spacing w:val="-5"/>
        </w:rPr>
        <w:t>i) </w:t>
      </w:r>
      <w:r>
        <w:rPr/>
        <w:t>posterior a </w:t>
      </w:r>
      <w:r>
        <w:rPr>
          <w:spacing w:val="-5"/>
        </w:rPr>
        <w:t>la </w:t>
      </w:r>
      <w:r>
        <w:rPr/>
        <w:t>extracción del aceite de </w:t>
      </w:r>
      <w:r>
        <w:rPr>
          <w:spacing w:val="-5"/>
        </w:rPr>
        <w:t>la </w:t>
      </w:r>
      <w:r>
        <w:rPr/>
        <w:t>semilla de chía; </w:t>
      </w:r>
      <w:r>
        <w:rPr>
          <w:spacing w:val="-4"/>
        </w:rPr>
        <w:t>ii) </w:t>
      </w:r>
      <w:r>
        <w:rPr/>
        <w:t>después de </w:t>
      </w:r>
      <w:r>
        <w:rPr>
          <w:spacing w:val="-5"/>
        </w:rPr>
        <w:t>la </w:t>
      </w:r>
      <w:r>
        <w:rPr/>
        <w:t>formulación de </w:t>
      </w:r>
      <w:r>
        <w:rPr>
          <w:spacing w:val="-5"/>
        </w:rPr>
        <w:t>la </w:t>
      </w:r>
      <w:r>
        <w:rPr/>
        <w:t>emulsión, y </w:t>
      </w:r>
      <w:r>
        <w:rPr>
          <w:spacing w:val="-3"/>
        </w:rPr>
        <w:t>iii) </w:t>
      </w:r>
      <w:r>
        <w:rPr/>
        <w:t>después de obtener  las microcápsulas mediante secado por aspersión; para esto último, se acondicionaron </w:t>
      </w:r>
      <w:r>
        <w:rPr>
          <w:spacing w:val="-3"/>
        </w:rPr>
        <w:t>las </w:t>
      </w:r>
      <w:r>
        <w:rPr/>
        <w:t>microcápsulas a diferentes actividades de agua por arriba de </w:t>
      </w:r>
      <w:r>
        <w:rPr>
          <w:spacing w:val="-3"/>
        </w:rPr>
        <w:t>la </w:t>
      </w:r>
      <w:r>
        <w:rPr/>
        <w:t>entropía mínima integral, por </w:t>
      </w:r>
      <w:r>
        <w:rPr>
          <w:spacing w:val="-3"/>
        </w:rPr>
        <w:t>debajo </w:t>
      </w:r>
      <w:r>
        <w:rPr/>
        <w:t>de ésta, y a </w:t>
      </w:r>
      <w:r>
        <w:rPr>
          <w:spacing w:val="-4"/>
        </w:rPr>
        <w:t>las </w:t>
      </w:r>
      <w:r>
        <w:rPr/>
        <w:t>condiciones de </w:t>
      </w:r>
      <w:r>
        <w:rPr>
          <w:spacing w:val="-3"/>
        </w:rPr>
        <w:t>la </w:t>
      </w:r>
      <w:r>
        <w:rPr/>
        <w:t>entropía mínima integral, a </w:t>
      </w:r>
      <w:r>
        <w:rPr>
          <w:spacing w:val="-3"/>
        </w:rPr>
        <w:t>las </w:t>
      </w:r>
      <w:r>
        <w:rPr/>
        <w:t>tres temperaturas de acondicionamiento  (25,  35  y 40  °C).  La  extracción del aceite  se  realizó  de  acuerdo  a</w:t>
      </w:r>
      <w:r>
        <w:rPr>
          <w:spacing w:val="-5"/>
        </w:rPr>
        <w:t> lo</w:t>
      </w:r>
    </w:p>
    <w:p>
      <w:pPr>
        <w:pStyle w:val="BodyText"/>
        <w:spacing w:before="8"/>
        <w:ind w:left="100"/>
        <w:jc w:val="both"/>
      </w:pPr>
      <w:r>
        <w:rPr/>
        <w:t>propuesto por Partanen et al. [</w:t>
      </w:r>
      <w:r>
        <w:rPr>
          <w:b/>
        </w:rPr>
        <w:t>33</w:t>
      </w:r>
      <w:r>
        <w:rPr/>
        <w:t>]. 1.0 g de microcápsulas fueron pesadas y disueltas en 10</w:t>
      </w:r>
    </w:p>
    <w:p>
      <w:pPr>
        <w:spacing w:after="0"/>
        <w:jc w:val="both"/>
        <w:sectPr>
          <w:type w:val="continuous"/>
          <w:pgSz w:w="11900" w:h="16840"/>
          <w:pgMar w:top="1580" w:bottom="280" w:left="1340" w:right="1320"/>
        </w:sectPr>
      </w:pPr>
    </w:p>
    <w:p>
      <w:pPr>
        <w:pStyle w:val="BodyText"/>
        <w:spacing w:line="360" w:lineRule="auto" w:before="54"/>
        <w:ind w:left="100" w:right="109"/>
        <w:jc w:val="both"/>
      </w:pPr>
      <w:r>
        <w:rPr>
          <w:spacing w:val="-3"/>
        </w:rPr>
        <w:t>mL </w:t>
      </w:r>
      <w:r>
        <w:rPr/>
        <w:t>de agua destilada. Una porción de 400 μL de microcápsula disueltas se </w:t>
      </w:r>
      <w:r>
        <w:rPr>
          <w:spacing w:val="-3"/>
        </w:rPr>
        <w:t>mezcló </w:t>
      </w:r>
      <w:r>
        <w:rPr/>
        <w:t>con 1.5  </w:t>
      </w:r>
      <w:r>
        <w:rPr>
          <w:spacing w:val="-3"/>
        </w:rPr>
        <w:t>mL </w:t>
      </w:r>
      <w:r>
        <w:rPr/>
        <w:t>de una solución de iso-octano/isopropanol (2:1 v/v), </w:t>
      </w:r>
      <w:r>
        <w:rPr>
          <w:spacing w:val="-5"/>
        </w:rPr>
        <w:t>la </w:t>
      </w:r>
      <w:r>
        <w:rPr/>
        <w:t>cual se dispuso en un vórtex tres veces durante 10 s. De </w:t>
      </w:r>
      <w:r>
        <w:rPr>
          <w:spacing w:val="-3"/>
        </w:rPr>
        <w:t>las </w:t>
      </w:r>
      <w:r>
        <w:rPr/>
        <w:t>fases separadas se </w:t>
      </w:r>
      <w:r>
        <w:rPr>
          <w:spacing w:val="-3"/>
        </w:rPr>
        <w:t>tomó </w:t>
      </w:r>
      <w:r>
        <w:rPr>
          <w:spacing w:val="-5"/>
        </w:rPr>
        <w:t>la </w:t>
      </w:r>
      <w:r>
        <w:rPr/>
        <w:t>de </w:t>
      </w:r>
      <w:r>
        <w:rPr>
          <w:spacing w:val="-5"/>
        </w:rPr>
        <w:t>la </w:t>
      </w:r>
      <w:r>
        <w:rPr>
          <w:spacing w:val="2"/>
        </w:rPr>
        <w:t>parte </w:t>
      </w:r>
      <w:r>
        <w:rPr/>
        <w:t>superior para su posterior análisis. Las determinaciones de concentración de hidroperóxidos en el aceite y en las microcápsulas se realizaron empleando </w:t>
      </w:r>
      <w:r>
        <w:rPr>
          <w:spacing w:val="-5"/>
        </w:rPr>
        <w:t>la </w:t>
      </w:r>
      <w:r>
        <w:rPr/>
        <w:t>metodología descrita por Shantha y Decker [</w:t>
      </w:r>
      <w:r>
        <w:rPr>
          <w:b/>
        </w:rPr>
        <w:t>34</w:t>
      </w:r>
      <w:r>
        <w:rPr/>
        <w:t>]. Una porción de 400 μL del </w:t>
      </w:r>
      <w:r>
        <w:rPr>
          <w:spacing w:val="-3"/>
        </w:rPr>
        <w:t>medio </w:t>
      </w:r>
      <w:r>
        <w:rPr/>
        <w:t>de extracción (o 0.2 g en el caso del aceite) se </w:t>
      </w:r>
      <w:r>
        <w:rPr>
          <w:spacing w:val="-3"/>
        </w:rPr>
        <w:t>añadió </w:t>
      </w:r>
      <w:r>
        <w:rPr/>
        <w:t>a 9.6 </w:t>
      </w:r>
      <w:r>
        <w:rPr>
          <w:spacing w:val="-3"/>
        </w:rPr>
        <w:t>mL </w:t>
      </w:r>
      <w:r>
        <w:rPr/>
        <w:t>de una mezcla de cloroformo/metanol (7:3 v/v). Para </w:t>
      </w:r>
      <w:r>
        <w:rPr>
          <w:spacing w:val="-3"/>
        </w:rPr>
        <w:t>la </w:t>
      </w:r>
      <w:r>
        <w:rPr/>
        <w:t>formación de color se agregaron 50 μL de una solución de tiocianato de amonio/cloruro de hierro (II). La muestra se dispuso en el vortex durante 4 s y se dejó reaccionar en </w:t>
      </w:r>
      <w:r>
        <w:rPr>
          <w:spacing w:val="-3"/>
        </w:rPr>
        <w:t>la </w:t>
      </w:r>
      <w:r>
        <w:rPr/>
        <w:t>oscuridad por 5 </w:t>
      </w:r>
      <w:r>
        <w:rPr>
          <w:spacing w:val="-4"/>
        </w:rPr>
        <w:t>min </w:t>
      </w:r>
      <w:r>
        <w:rPr/>
        <w:t>exactamente; </w:t>
      </w:r>
      <w:r>
        <w:rPr>
          <w:spacing w:val="-5"/>
        </w:rPr>
        <w:t>la </w:t>
      </w:r>
      <w:r>
        <w:rPr/>
        <w:t>absorbancia se </w:t>
      </w:r>
      <w:r>
        <w:rPr>
          <w:spacing w:val="-4"/>
        </w:rPr>
        <w:t>midió </w:t>
      </w:r>
      <w:r>
        <w:rPr/>
        <w:t>a 500 nm en un espectrofotómetro Genesis 10 UV (Thermo Scientific, Waltham, MA,</w:t>
      </w:r>
      <w:r>
        <w:rPr>
          <w:spacing w:val="-9"/>
        </w:rPr>
        <w:t> </w:t>
      </w:r>
      <w:r>
        <w:rPr/>
        <w:t>EUA).</w:t>
      </w:r>
    </w:p>
    <w:p>
      <w:pPr>
        <w:pStyle w:val="ListParagraph"/>
        <w:numPr>
          <w:ilvl w:val="2"/>
          <w:numId w:val="9"/>
        </w:numPr>
        <w:tabs>
          <w:tab w:pos="821" w:val="left" w:leader="none"/>
        </w:tabs>
        <w:spacing w:line="240" w:lineRule="auto" w:before="211" w:after="0"/>
        <w:ind w:left="821" w:right="0" w:hanging="721"/>
        <w:jc w:val="both"/>
        <w:rPr>
          <w:b/>
          <w:sz w:val="24"/>
        </w:rPr>
      </w:pPr>
      <w:r>
        <w:rPr>
          <w:b/>
          <w:sz w:val="24"/>
        </w:rPr>
        <w:t>Morfología de las</w:t>
      </w:r>
      <w:r>
        <w:rPr>
          <w:b/>
          <w:spacing w:val="-16"/>
          <w:sz w:val="24"/>
        </w:rPr>
        <w:t> </w:t>
      </w:r>
      <w:r>
        <w:rPr>
          <w:b/>
          <w:sz w:val="24"/>
        </w:rPr>
        <w:t>microcápsulas</w:t>
      </w:r>
    </w:p>
    <w:p>
      <w:pPr>
        <w:pStyle w:val="BodyText"/>
        <w:spacing w:line="360" w:lineRule="auto" w:before="137"/>
        <w:ind w:left="100" w:right="108" w:firstLine="427"/>
        <w:jc w:val="both"/>
      </w:pPr>
      <w:r>
        <w:rPr/>
        <w:t>Para investigar la microestructura de las microcápsulas se utilizó un microscopio electrónico de barrido (Jeol Co. Ltd., Tokio, Japón) modelo JSM-7600F con el modo GB-H a 1 kV de voltaje de aceleración para las microcápsulas sometidas a diferentes actividades de agua y temperaturas. Las muestras se dispusieron en porta-muestras usando cinta de carbón adhesiva por ambos lados. Se obtuvieron micrografías a diferentes acercamientos. Las muestras fueron recubiertas con oro ya que el equipo de microscopía opera en condiciones de bajo vacío.</w:t>
      </w:r>
    </w:p>
    <w:p>
      <w:pPr>
        <w:spacing w:after="0" w:line="360" w:lineRule="auto"/>
        <w:jc w:val="both"/>
        <w:sectPr>
          <w:pgSz w:w="11900" w:h="16840"/>
          <w:pgMar w:header="0" w:footer="1026" w:top="1360" w:bottom="1220" w:left="1340" w:right="1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p>
    <w:p>
      <w:pPr>
        <w:spacing w:line="360" w:lineRule="auto" w:before="29"/>
        <w:ind w:left="105" w:right="268" w:firstLine="3011"/>
        <w:jc w:val="left"/>
        <w:rPr>
          <w:b/>
          <w:sz w:val="56"/>
        </w:rPr>
      </w:pPr>
      <w:r>
        <w:rPr>
          <w:b/>
          <w:sz w:val="56"/>
        </w:rPr>
        <w:t>PARTE 2: “DISCUSIÓN DE RESULTADOS”</w:t>
      </w:r>
    </w:p>
    <w:p>
      <w:pPr>
        <w:spacing w:after="0" w:line="360" w:lineRule="auto"/>
        <w:jc w:val="left"/>
        <w:rPr>
          <w:sz w:val="56"/>
        </w:rPr>
        <w:sectPr>
          <w:pgSz w:w="11900" w:h="16840"/>
          <w:pgMar w:header="0" w:footer="1370" w:top="1580" w:bottom="1560" w:left="1580" w:right="1400"/>
        </w:sectPr>
      </w:pPr>
    </w:p>
    <w:p>
      <w:pPr>
        <w:spacing w:line="360" w:lineRule="auto" w:before="36"/>
        <w:ind w:left="177" w:right="194" w:hanging="9"/>
        <w:jc w:val="center"/>
        <w:rPr>
          <w:b/>
          <w:sz w:val="32"/>
        </w:rPr>
      </w:pPr>
      <w:r>
        <w:rPr>
          <w:b/>
          <w:sz w:val="32"/>
        </w:rPr>
        <w:t>Oxidation kinetics and thermodynamic analysis of chia oil microencapsulated in a whey protein concentrate-polysaccharide matrix</w:t>
      </w:r>
    </w:p>
    <w:p>
      <w:pPr>
        <w:pStyle w:val="BodyText"/>
        <w:rPr>
          <w:b/>
          <w:sz w:val="32"/>
        </w:rPr>
      </w:pPr>
    </w:p>
    <w:p>
      <w:pPr>
        <w:pStyle w:val="Heading3"/>
        <w:spacing w:before="188"/>
        <w:rPr>
          <w:i/>
        </w:rPr>
      </w:pPr>
      <w:r>
        <w:rPr>
          <w:i/>
        </w:rPr>
        <w:t>L.A. Escalona-García</w:t>
      </w:r>
      <w:r>
        <w:rPr>
          <w:i/>
          <w:position w:val="8"/>
          <w:sz w:val="16"/>
        </w:rPr>
        <w:t>a</w:t>
      </w:r>
      <w:r>
        <w:rPr>
          <w:i/>
        </w:rPr>
        <w:t>, R. Pedroza-Islas</w:t>
      </w:r>
      <w:r>
        <w:rPr>
          <w:i/>
          <w:position w:val="8"/>
          <w:sz w:val="16"/>
        </w:rPr>
        <w:t>b</w:t>
      </w:r>
      <w:r>
        <w:rPr>
          <w:i/>
        </w:rPr>
        <w:t>, R. Natividad</w:t>
      </w:r>
      <w:r>
        <w:rPr>
          <w:i/>
          <w:position w:val="8"/>
          <w:sz w:val="16"/>
        </w:rPr>
        <w:t>c</w:t>
      </w:r>
      <w:r>
        <w:rPr>
          <w:i/>
        </w:rPr>
        <w:t>, M.E. Rodríguez-Huezo</w:t>
      </w:r>
      <w:r>
        <w:rPr>
          <w:i/>
          <w:position w:val="8"/>
          <w:sz w:val="16"/>
        </w:rPr>
        <w:t>d</w:t>
      </w:r>
      <w:r>
        <w:rPr>
          <w:i/>
        </w:rPr>
        <w:t>,</w:t>
      </w:r>
    </w:p>
    <w:p>
      <w:pPr>
        <w:pStyle w:val="Heading3"/>
        <w:ind w:left="2746"/>
        <w:rPr>
          <w:b w:val="0"/>
          <w:i/>
          <w:sz w:val="13"/>
        </w:rPr>
      </w:pPr>
      <w:r>
        <w:rPr>
          <w:i/>
        </w:rPr>
        <w:t>H. Carrillo-Navas</w:t>
      </w:r>
      <w:r>
        <w:rPr>
          <w:i/>
          <w:position w:val="8"/>
          <w:sz w:val="16"/>
        </w:rPr>
        <w:t>e</w:t>
      </w:r>
      <w:r>
        <w:rPr>
          <w:i/>
        </w:rPr>
        <w:t>, C. Pérez-Alonso</w:t>
      </w:r>
      <w:r>
        <w:rPr>
          <w:i/>
          <w:position w:val="8"/>
          <w:sz w:val="16"/>
        </w:rPr>
        <w:t>a</w:t>
      </w:r>
      <w:r>
        <w:rPr>
          <w:b w:val="0"/>
          <w:i w:val="0"/>
          <w:position w:val="7"/>
          <w:sz w:val="13"/>
        </w:rPr>
        <w:t>*</w:t>
      </w:r>
    </w:p>
    <w:p>
      <w:pPr>
        <w:pStyle w:val="BodyText"/>
        <w:rPr>
          <w:i/>
          <w:sz w:val="26"/>
        </w:rPr>
      </w:pPr>
    </w:p>
    <w:p>
      <w:pPr>
        <w:spacing w:line="360" w:lineRule="auto" w:before="173"/>
        <w:ind w:left="100" w:right="75" w:firstLine="0"/>
        <w:jc w:val="left"/>
        <w:rPr>
          <w:i/>
          <w:sz w:val="20"/>
        </w:rPr>
      </w:pPr>
      <w:r>
        <w:rPr>
          <w:position w:val="7"/>
          <w:sz w:val="13"/>
        </w:rPr>
        <w:t>a </w:t>
      </w:r>
      <w:r>
        <w:rPr>
          <w:i/>
          <w:sz w:val="20"/>
        </w:rPr>
        <w:t>Departamento de Ingeniería Química, Facultad de Química, Universidad Autónoma del Estado de México, </w:t>
      </w:r>
      <w:r>
        <w:rPr>
          <w:i/>
          <w:sz w:val="20"/>
        </w:rPr>
        <w:t>Paseo Colón esq. Paseo Tollocan s/n, Col. Residencial Colón, Toluca, Estado de México, 50120, México.</w:t>
      </w:r>
    </w:p>
    <w:p>
      <w:pPr>
        <w:spacing w:line="360" w:lineRule="auto" w:before="0"/>
        <w:ind w:left="100" w:right="75" w:firstLine="0"/>
        <w:jc w:val="left"/>
        <w:rPr>
          <w:i/>
          <w:sz w:val="20"/>
        </w:rPr>
      </w:pPr>
      <w:r>
        <w:rPr>
          <w:i/>
          <w:position w:val="7"/>
          <w:sz w:val="13"/>
        </w:rPr>
        <w:t>b </w:t>
      </w:r>
      <w:r>
        <w:rPr>
          <w:i/>
          <w:sz w:val="20"/>
        </w:rPr>
        <w:t>Departamento de Ingeniería y Ciencias Químicas, Universidad Iberoamericana, Prol. Paseo de la Reforma </w:t>
      </w:r>
      <w:r>
        <w:rPr>
          <w:i/>
          <w:sz w:val="20"/>
        </w:rPr>
        <w:t>880, Col. Lomas de Santa Fé, México, D. F., 01219, México.</w:t>
      </w:r>
    </w:p>
    <w:p>
      <w:pPr>
        <w:spacing w:line="360" w:lineRule="auto" w:before="1"/>
        <w:ind w:left="100" w:right="163" w:firstLine="0"/>
        <w:jc w:val="left"/>
        <w:rPr>
          <w:i/>
          <w:sz w:val="20"/>
        </w:rPr>
      </w:pPr>
      <w:r>
        <w:rPr>
          <w:i/>
          <w:position w:val="7"/>
          <w:sz w:val="13"/>
        </w:rPr>
        <w:t>c </w:t>
      </w:r>
      <w:r>
        <w:rPr>
          <w:i/>
          <w:sz w:val="20"/>
        </w:rPr>
        <w:t>Centro Conjunto de Investigación en Química Sustentable UAEM – </w:t>
      </w:r>
      <w:r>
        <w:rPr>
          <w:i/>
          <w:spacing w:val="-3"/>
          <w:sz w:val="20"/>
        </w:rPr>
        <w:t>UNAM, </w:t>
      </w:r>
      <w:r>
        <w:rPr>
          <w:i/>
          <w:sz w:val="20"/>
        </w:rPr>
        <w:t>Carretera Toluca-Atlacomulco,  </w:t>
      </w:r>
      <w:r>
        <w:rPr>
          <w:i/>
          <w:sz w:val="20"/>
        </w:rPr>
        <w:t>km 14.5, Unidad El Rosedal,  Toluca, Estado de México, 50200,</w:t>
      </w:r>
      <w:r>
        <w:rPr>
          <w:i/>
          <w:spacing w:val="-16"/>
          <w:sz w:val="20"/>
        </w:rPr>
        <w:t> </w:t>
      </w:r>
      <w:r>
        <w:rPr>
          <w:i/>
          <w:sz w:val="20"/>
        </w:rPr>
        <w:t>México</w:t>
      </w:r>
    </w:p>
    <w:p>
      <w:pPr>
        <w:spacing w:before="0"/>
        <w:ind w:left="100" w:right="0" w:firstLine="0"/>
        <w:jc w:val="both"/>
        <w:rPr>
          <w:i/>
          <w:sz w:val="20"/>
        </w:rPr>
      </w:pPr>
      <w:r>
        <w:rPr>
          <w:i/>
          <w:position w:val="7"/>
          <w:sz w:val="13"/>
        </w:rPr>
        <w:t>d</w:t>
      </w:r>
      <w:r>
        <w:rPr>
          <w:i/>
          <w:sz w:val="20"/>
        </w:rPr>
        <w:t>Tecnológico  de  Estudios Superiores de  Ecatepec,  Departamento de  Ingeniería  Química y  Bioquímica,  Av.</w:t>
      </w:r>
    </w:p>
    <w:p>
      <w:pPr>
        <w:spacing w:before="111"/>
        <w:ind w:left="100" w:right="0" w:firstLine="0"/>
        <w:jc w:val="both"/>
        <w:rPr>
          <w:i/>
          <w:sz w:val="20"/>
        </w:rPr>
      </w:pPr>
      <w:r>
        <w:rPr>
          <w:i/>
          <w:sz w:val="20"/>
        </w:rPr>
        <w:t>Tecnológico s/n esq. Av. Central, Col. Valle deAnáhuac, Ecatepec, Estado de México, 55210, México</w:t>
      </w:r>
    </w:p>
    <w:p>
      <w:pPr>
        <w:spacing w:line="360" w:lineRule="auto" w:before="111"/>
        <w:ind w:left="100" w:right="75" w:firstLine="0"/>
        <w:jc w:val="left"/>
        <w:rPr>
          <w:i/>
          <w:sz w:val="20"/>
        </w:rPr>
      </w:pPr>
      <w:r>
        <w:rPr>
          <w:i/>
          <w:position w:val="7"/>
          <w:sz w:val="13"/>
        </w:rPr>
        <w:t>e </w:t>
      </w:r>
      <w:r>
        <w:rPr>
          <w:i/>
          <w:sz w:val="20"/>
        </w:rPr>
        <w:t>Departamento de Ingeniería de Procesos e Hidráulica, Universidad Autónoma Metropolitana-Iztapalapa, San </w:t>
      </w:r>
      <w:r>
        <w:rPr>
          <w:i/>
          <w:sz w:val="20"/>
        </w:rPr>
        <w:t>Rafael Atlixco 186, Col. Vicentina, México, D.F., 09340, México</w:t>
      </w:r>
    </w:p>
    <w:p>
      <w:pPr>
        <w:pStyle w:val="BodyText"/>
        <w:rPr>
          <w:i/>
          <w:sz w:val="20"/>
        </w:rPr>
      </w:pPr>
    </w:p>
    <w:p>
      <w:pPr>
        <w:pStyle w:val="BodyText"/>
        <w:spacing w:before="4"/>
        <w:rPr>
          <w:i/>
          <w:sz w:val="16"/>
        </w:rPr>
      </w:pPr>
    </w:p>
    <w:p>
      <w:pPr>
        <w:pStyle w:val="BodyText"/>
        <w:spacing w:line="360" w:lineRule="auto"/>
        <w:ind w:left="100" w:right="2222"/>
      </w:pPr>
      <w:r>
        <w:rPr/>
        <w:t>*Corresponding author: Tel.: +52 722 2173890; Fax: +52 722 2175109. E-mail: </w:t>
      </w:r>
      <w:hyperlink r:id="rId19">
        <w:r>
          <w:rPr/>
          <w:t>cpereza@uaemex.mx</w:t>
        </w:r>
      </w:hyperlink>
    </w:p>
    <w:p>
      <w:pPr>
        <w:pStyle w:val="BodyText"/>
      </w:pPr>
    </w:p>
    <w:p>
      <w:pPr>
        <w:pStyle w:val="BodyText"/>
      </w:pPr>
    </w:p>
    <w:p>
      <w:pPr>
        <w:pStyle w:val="BodyText"/>
        <w:rPr>
          <w:sz w:val="25"/>
        </w:rPr>
      </w:pPr>
    </w:p>
    <w:p>
      <w:pPr>
        <w:spacing w:before="0"/>
        <w:ind w:left="100" w:right="0" w:firstLine="0"/>
        <w:jc w:val="both"/>
        <w:rPr>
          <w:b/>
          <w:sz w:val="24"/>
        </w:rPr>
      </w:pPr>
      <w:r>
        <w:rPr>
          <w:b/>
          <w:sz w:val="24"/>
        </w:rPr>
        <w:t>Abstract</w:t>
      </w:r>
    </w:p>
    <w:p>
      <w:pPr>
        <w:pStyle w:val="BodyText"/>
        <w:spacing w:line="360" w:lineRule="auto" w:before="132"/>
        <w:ind w:left="100" w:right="113"/>
        <w:jc w:val="both"/>
      </w:pPr>
      <w:r>
        <w:rPr/>
        <w:t>The oxidation kinetics of chia oil (CO) </w:t>
      </w:r>
      <w:r>
        <w:rPr>
          <w:spacing w:val="-3"/>
        </w:rPr>
        <w:t>in </w:t>
      </w:r>
      <w:r>
        <w:rPr/>
        <w:t>bulk and microencapsulated by spray-drying </w:t>
      </w:r>
      <w:r>
        <w:rPr>
          <w:spacing w:val="-3"/>
        </w:rPr>
        <w:t>in </w:t>
      </w:r>
      <w:r>
        <w:rPr/>
        <w:t>a biopolymer matrix of whey protein concentrate </w:t>
      </w:r>
      <w:r>
        <w:rPr>
          <w:spacing w:val="-3"/>
        </w:rPr>
        <w:t>(WPC) </w:t>
      </w:r>
      <w:r>
        <w:rPr/>
        <w:t>with mesquite gum (MG) (67:33 w/w </w:t>
      </w:r>
      <w:r>
        <w:rPr>
          <w:position w:val="2"/>
        </w:rPr>
        <w:t>ratio) stored </w:t>
      </w:r>
      <w:r>
        <w:rPr>
          <w:spacing w:val="-3"/>
          <w:position w:val="2"/>
        </w:rPr>
        <w:t>at </w:t>
      </w:r>
      <w:r>
        <w:rPr>
          <w:position w:val="2"/>
        </w:rPr>
        <w:t>25, 35 and 40 ºC </w:t>
      </w:r>
      <w:r>
        <w:rPr>
          <w:spacing w:val="-3"/>
          <w:position w:val="2"/>
        </w:rPr>
        <w:t>at </w:t>
      </w:r>
      <w:r>
        <w:rPr>
          <w:position w:val="2"/>
        </w:rPr>
        <w:t>different water activities (</w:t>
      </w:r>
      <w:r>
        <w:rPr>
          <w:i/>
          <w:position w:val="2"/>
        </w:rPr>
        <w:t>a</w:t>
      </w:r>
      <w:r>
        <w:rPr>
          <w:i/>
          <w:sz w:val="16"/>
        </w:rPr>
        <w:t>w</w:t>
      </w:r>
      <w:r>
        <w:rPr>
          <w:position w:val="2"/>
        </w:rPr>
        <w:t>) was determined. Oxidation </w:t>
      </w:r>
      <w:r>
        <w:rPr/>
        <w:t>was described by a zero-order kinetic equation of the autocatalytic type </w:t>
      </w:r>
      <w:r>
        <w:rPr>
          <w:spacing w:val="-3"/>
        </w:rPr>
        <w:t>in </w:t>
      </w:r>
      <w:r>
        <w:rPr/>
        <w:t>all cases. </w:t>
      </w:r>
      <w:r>
        <w:rPr>
          <w:spacing w:val="2"/>
        </w:rPr>
        <w:t>The </w:t>
      </w:r>
      <w:r>
        <w:rPr/>
        <w:t>oxidation of CO within microcapsules was slower than </w:t>
      </w:r>
      <w:r>
        <w:rPr>
          <w:spacing w:val="-3"/>
        </w:rPr>
        <w:t>in bulk, </w:t>
      </w:r>
      <w:r>
        <w:rPr/>
        <w:t>independently of the storage </w:t>
      </w:r>
      <w:r>
        <w:rPr>
          <w:position w:val="2"/>
        </w:rPr>
        <w:t>temperature. The kinetics parameters, rate constant and activation energy, decreased as </w:t>
      </w:r>
      <w:r>
        <w:rPr>
          <w:i/>
          <w:position w:val="2"/>
        </w:rPr>
        <w:t>a</w:t>
      </w:r>
      <w:r>
        <w:rPr>
          <w:i/>
          <w:sz w:val="16"/>
        </w:rPr>
        <w:t>w </w:t>
      </w:r>
      <w:r>
        <w:rPr>
          <w:position w:val="2"/>
        </w:rPr>
        <w:t>increased. In the </w:t>
      </w:r>
      <w:r>
        <w:rPr>
          <w:i/>
          <w:position w:val="2"/>
        </w:rPr>
        <w:t>a</w:t>
      </w:r>
      <w:r>
        <w:rPr>
          <w:i/>
          <w:sz w:val="16"/>
        </w:rPr>
        <w:t>w </w:t>
      </w:r>
      <w:r>
        <w:rPr>
          <w:position w:val="2"/>
        </w:rPr>
        <w:t>range between 0.614 and 0.654 both kinetic parameters presented the lowest values, which corresponded to the minimum integral entropy (</w:t>
      </w:r>
      <w:r>
        <w:rPr>
          <w:rFonts w:ascii="Symbol" w:hAnsi="Symbol"/>
          <w:position w:val="2"/>
        </w:rPr>
        <w:t></w:t>
      </w:r>
      <w:r>
        <w:rPr>
          <w:position w:val="2"/>
        </w:rPr>
        <w:t>S</w:t>
      </w:r>
      <w:r>
        <w:rPr>
          <w:sz w:val="16"/>
        </w:rPr>
        <w:t>int</w:t>
      </w:r>
      <w:r>
        <w:rPr>
          <w:position w:val="2"/>
        </w:rPr>
        <w:t>)</w:t>
      </w:r>
      <w:r>
        <w:rPr>
          <w:sz w:val="16"/>
        </w:rPr>
        <w:t>T </w:t>
      </w:r>
      <w:r>
        <w:rPr>
          <w:position w:val="2"/>
        </w:rPr>
        <w:t>zone.  The (</w:t>
      </w:r>
      <w:r>
        <w:rPr>
          <w:rFonts w:ascii="Symbol" w:hAnsi="Symbol"/>
          <w:position w:val="2"/>
        </w:rPr>
        <w:t></w:t>
      </w:r>
      <w:r>
        <w:rPr>
          <w:position w:val="2"/>
        </w:rPr>
        <w:t>S</w:t>
      </w:r>
      <w:r>
        <w:rPr>
          <w:sz w:val="16"/>
        </w:rPr>
        <w:t>int</w:t>
      </w:r>
      <w:r>
        <w:rPr>
          <w:position w:val="2"/>
        </w:rPr>
        <w:t>)</w:t>
      </w:r>
      <w:r>
        <w:rPr>
          <w:sz w:val="16"/>
        </w:rPr>
        <w:t>T </w:t>
      </w:r>
      <w:r>
        <w:rPr>
          <w:position w:val="2"/>
        </w:rPr>
        <w:t>zone </w:t>
      </w:r>
      <w:r>
        <w:rPr>
          <w:spacing w:val="-3"/>
          <w:position w:val="2"/>
        </w:rPr>
        <w:t>is </w:t>
      </w:r>
      <w:r>
        <w:rPr>
          <w:position w:val="2"/>
        </w:rPr>
        <w:t>considered as the zone of maximum stability as </w:t>
      </w:r>
      <w:r>
        <w:rPr>
          <w:spacing w:val="-3"/>
          <w:position w:val="2"/>
        </w:rPr>
        <w:t>less </w:t>
      </w:r>
      <w:r>
        <w:rPr>
          <w:position w:val="2"/>
        </w:rPr>
        <w:t>water </w:t>
      </w:r>
      <w:r>
        <w:rPr>
          <w:spacing w:val="-5"/>
          <w:position w:val="2"/>
        </w:rPr>
        <w:t>is </w:t>
      </w:r>
      <w:r>
        <w:rPr>
          <w:position w:val="2"/>
        </w:rPr>
        <w:t>available to </w:t>
      </w:r>
      <w:r>
        <w:rPr/>
        <w:t>participate </w:t>
      </w:r>
      <w:r>
        <w:rPr>
          <w:spacing w:val="-3"/>
        </w:rPr>
        <w:t>in </w:t>
      </w:r>
      <w:r>
        <w:rPr/>
        <w:t>degradation reactions, acting as plasticizer </w:t>
      </w:r>
      <w:r>
        <w:rPr>
          <w:spacing w:val="-3"/>
        </w:rPr>
        <w:t>in </w:t>
      </w:r>
      <w:r>
        <w:rPr/>
        <w:t>the polymeric matrix and hindering oxygen diffusion through the pores, retarding the oxidation</w:t>
      </w:r>
      <w:r>
        <w:rPr>
          <w:spacing w:val="-36"/>
        </w:rPr>
        <w:t> </w:t>
      </w:r>
      <w:r>
        <w:rPr/>
        <w:t>process.</w:t>
      </w:r>
    </w:p>
    <w:p>
      <w:pPr>
        <w:spacing w:after="0" w:line="360" w:lineRule="auto"/>
        <w:jc w:val="both"/>
        <w:sectPr>
          <w:pgSz w:w="11900" w:h="16840"/>
          <w:pgMar w:header="0" w:footer="1026" w:top="1380" w:bottom="1220" w:left="1340" w:right="1320"/>
        </w:sectPr>
      </w:pPr>
    </w:p>
    <w:p>
      <w:pPr>
        <w:pStyle w:val="BodyText"/>
        <w:spacing w:line="360" w:lineRule="auto" w:before="54"/>
        <w:ind w:left="100" w:right="75"/>
      </w:pPr>
      <w:r>
        <w:rPr>
          <w:b/>
        </w:rPr>
        <w:t>Keywords: </w:t>
      </w:r>
      <w:r>
        <w:rPr/>
        <w:t>Chia oil, oxidation kinetics, spray drying, minimum integral entropy, glass transition temperature, water activity</w:t>
      </w:r>
    </w:p>
    <w:p>
      <w:pPr>
        <w:pStyle w:val="BodyText"/>
      </w:pPr>
    </w:p>
    <w:p>
      <w:pPr>
        <w:pStyle w:val="ListParagraph"/>
        <w:numPr>
          <w:ilvl w:val="0"/>
          <w:numId w:val="10"/>
        </w:numPr>
        <w:tabs>
          <w:tab w:pos="388" w:val="left" w:leader="none"/>
        </w:tabs>
        <w:spacing w:line="240" w:lineRule="auto" w:before="151" w:after="0"/>
        <w:ind w:left="387" w:right="0" w:hanging="287"/>
        <w:jc w:val="left"/>
        <w:rPr>
          <w:b/>
          <w:sz w:val="24"/>
        </w:rPr>
      </w:pPr>
      <w:r>
        <w:rPr>
          <w:b/>
          <w:spacing w:val="12"/>
          <w:sz w:val="24"/>
        </w:rPr>
        <w:t>Introduction</w:t>
      </w:r>
    </w:p>
    <w:p>
      <w:pPr>
        <w:pStyle w:val="BodyText"/>
        <w:rPr>
          <w:b/>
        </w:rPr>
      </w:pPr>
    </w:p>
    <w:p>
      <w:pPr>
        <w:pStyle w:val="BodyText"/>
        <w:spacing w:before="4"/>
        <w:rPr>
          <w:b/>
          <w:sz w:val="23"/>
        </w:rPr>
      </w:pPr>
    </w:p>
    <w:p>
      <w:pPr>
        <w:pStyle w:val="BodyText"/>
        <w:spacing w:line="360" w:lineRule="auto"/>
        <w:ind w:left="100" w:right="111" w:firstLine="427"/>
        <w:jc w:val="both"/>
      </w:pPr>
      <w:r>
        <w:rPr/>
        <w:t>Chia (</w:t>
      </w:r>
      <w:r>
        <w:rPr>
          <w:i/>
        </w:rPr>
        <w:t>Salvia hispanica </w:t>
      </w:r>
      <w:r>
        <w:rPr/>
        <w:t>L.) </w:t>
      </w:r>
      <w:r>
        <w:rPr>
          <w:spacing w:val="-3"/>
        </w:rPr>
        <w:t>is </w:t>
      </w:r>
      <w:r>
        <w:rPr/>
        <w:t>an ancient plant native of Mexico and Guatemala whose oil has received much attention for </w:t>
      </w:r>
      <w:r>
        <w:rPr>
          <w:spacing w:val="-3"/>
        </w:rPr>
        <w:t>being </w:t>
      </w:r>
      <w:r>
        <w:rPr/>
        <w:t>a rich source of polyunsaturated fatty acids (PUFA), containing mainly α-linolenic and linoleic acids (Álvarez-Chávez et </w:t>
      </w:r>
      <w:r>
        <w:rPr>
          <w:spacing w:val="-3"/>
        </w:rPr>
        <w:t>al., </w:t>
      </w:r>
      <w:r>
        <w:rPr/>
        <w:t>2008; Muñoz et </w:t>
      </w:r>
      <w:r>
        <w:rPr>
          <w:spacing w:val="-3"/>
        </w:rPr>
        <w:t>al., </w:t>
      </w:r>
      <w:r>
        <w:rPr/>
        <w:t>2013; Ramírez-Jaramillo and Lozano-Contreras, 2015). Chia oil </w:t>
      </w:r>
      <w:r>
        <w:rPr>
          <w:spacing w:val="-3"/>
        </w:rPr>
        <w:t>is </w:t>
      </w:r>
      <w:r>
        <w:rPr/>
        <w:t>used for diabetes, high blood pressure, and for generally reducing the </w:t>
      </w:r>
      <w:r>
        <w:rPr>
          <w:spacing w:val="-3"/>
        </w:rPr>
        <w:t>risk </w:t>
      </w:r>
      <w:r>
        <w:rPr/>
        <w:t>of heart disease and stroke (cardiovascular disease), and serves as precursor for a </w:t>
      </w:r>
      <w:r>
        <w:rPr>
          <w:spacing w:val="-3"/>
        </w:rPr>
        <w:t>vast </w:t>
      </w:r>
      <w:r>
        <w:rPr/>
        <w:t>number of signal molecules </w:t>
      </w:r>
      <w:r>
        <w:rPr>
          <w:spacing w:val="-3"/>
        </w:rPr>
        <w:t>like </w:t>
      </w:r>
      <w:r>
        <w:rPr/>
        <w:t>prostaglandins (Chapkin, 2008; Kaur et </w:t>
      </w:r>
      <w:r>
        <w:rPr>
          <w:spacing w:val="-3"/>
        </w:rPr>
        <w:t>al., </w:t>
      </w:r>
      <w:r>
        <w:rPr/>
        <w:t>2014). Despite the nutritional value of chia </w:t>
      </w:r>
      <w:r>
        <w:rPr>
          <w:spacing w:val="-3"/>
        </w:rPr>
        <w:t>oil, </w:t>
      </w:r>
      <w:r>
        <w:rPr/>
        <w:t>its high degree of unsaturation makes </w:t>
      </w:r>
      <w:r>
        <w:rPr>
          <w:spacing w:val="-5"/>
        </w:rPr>
        <w:t>it </w:t>
      </w:r>
      <w:r>
        <w:rPr/>
        <w:t>prone to oxidation, which </w:t>
      </w:r>
      <w:r>
        <w:rPr>
          <w:spacing w:val="-3"/>
        </w:rPr>
        <w:t>is </w:t>
      </w:r>
      <w:r>
        <w:rPr/>
        <w:t>carried out by a free radical process where three steps are involved: initiation, propagation, and termination (Kamal-Eldin et </w:t>
      </w:r>
      <w:r>
        <w:rPr>
          <w:spacing w:val="-3"/>
        </w:rPr>
        <w:t>al., </w:t>
      </w:r>
      <w:r>
        <w:rPr/>
        <w:t>2003). This </w:t>
      </w:r>
      <w:r>
        <w:rPr>
          <w:spacing w:val="-3"/>
        </w:rPr>
        <w:t>lipid </w:t>
      </w:r>
      <w:r>
        <w:rPr/>
        <w:t>oxidation leads to the formation </w:t>
      </w:r>
      <w:r>
        <w:rPr>
          <w:spacing w:val="4"/>
        </w:rPr>
        <w:t>of </w:t>
      </w:r>
      <w:r>
        <w:rPr/>
        <w:t>off-flavours and degradation products that </w:t>
      </w:r>
      <w:r>
        <w:rPr>
          <w:spacing w:val="-3"/>
        </w:rPr>
        <w:t>could be </w:t>
      </w:r>
      <w:r>
        <w:rPr/>
        <w:t>harmful </w:t>
      </w:r>
      <w:r>
        <w:rPr>
          <w:spacing w:val="2"/>
        </w:rPr>
        <w:t>to </w:t>
      </w:r>
      <w:r>
        <w:rPr/>
        <w:t>health, </w:t>
      </w:r>
      <w:r>
        <w:rPr>
          <w:spacing w:val="-3"/>
        </w:rPr>
        <w:t>in </w:t>
      </w:r>
      <w:r>
        <w:rPr/>
        <w:t>addition to alteration of the oil sensory characteristics (Tonon et </w:t>
      </w:r>
      <w:r>
        <w:rPr>
          <w:spacing w:val="-3"/>
        </w:rPr>
        <w:t>al., </w:t>
      </w:r>
      <w:r>
        <w:rPr/>
        <w:t>2011). One alternative to preserve chia oil properties </w:t>
      </w:r>
      <w:r>
        <w:rPr>
          <w:spacing w:val="-3"/>
        </w:rPr>
        <w:t>is </w:t>
      </w:r>
      <w:r>
        <w:rPr/>
        <w:t>to microencapsulate </w:t>
      </w:r>
      <w:r>
        <w:rPr>
          <w:spacing w:val="-5"/>
        </w:rPr>
        <w:t>it </w:t>
      </w:r>
      <w:r>
        <w:rPr/>
        <w:t>by spray- drying, which </w:t>
      </w:r>
      <w:r>
        <w:rPr>
          <w:spacing w:val="-3"/>
        </w:rPr>
        <w:t>is </w:t>
      </w:r>
      <w:r>
        <w:rPr/>
        <w:t>a widely used technique </w:t>
      </w:r>
      <w:r>
        <w:rPr>
          <w:spacing w:val="-3"/>
        </w:rPr>
        <w:t>in </w:t>
      </w:r>
      <w:r>
        <w:rPr/>
        <w:t>the food industry for protecting sensitive compounds. Spray-drying offers several advantages over other techniques: for instance, equipment availability, production capacity and costs, and capacity for treating heat sensitive products (Estevinho et </w:t>
      </w:r>
      <w:r>
        <w:rPr>
          <w:spacing w:val="-3"/>
        </w:rPr>
        <w:t>al., </w:t>
      </w:r>
      <w:r>
        <w:rPr/>
        <w:t>2013). There are four </w:t>
      </w:r>
      <w:r>
        <w:rPr>
          <w:spacing w:val="-3"/>
        </w:rPr>
        <w:t>main </w:t>
      </w:r>
      <w:r>
        <w:rPr/>
        <w:t>factors that </w:t>
      </w:r>
      <w:r>
        <w:rPr>
          <w:spacing w:val="-4"/>
        </w:rPr>
        <w:t>might</w:t>
      </w:r>
      <w:r>
        <w:rPr>
          <w:spacing w:val="52"/>
        </w:rPr>
        <w:t> </w:t>
      </w:r>
      <w:r>
        <w:rPr/>
        <w:t>affect microencapsulated unsaturated lipids oxidation during manufacturing and storage: </w:t>
      </w:r>
      <w:r>
        <w:rPr>
          <w:position w:val="2"/>
        </w:rPr>
        <w:t>temperature, water activity (</w:t>
      </w:r>
      <w:r>
        <w:rPr>
          <w:i/>
          <w:position w:val="2"/>
        </w:rPr>
        <w:t>a</w:t>
      </w:r>
      <w:r>
        <w:rPr>
          <w:i/>
          <w:sz w:val="16"/>
        </w:rPr>
        <w:t>w</w:t>
      </w:r>
      <w:r>
        <w:rPr>
          <w:position w:val="2"/>
        </w:rPr>
        <w:t>), moisture content (</w:t>
      </w:r>
      <w:r>
        <w:rPr>
          <w:i/>
          <w:position w:val="2"/>
        </w:rPr>
        <w:t>M</w:t>
      </w:r>
      <w:r>
        <w:rPr>
          <w:position w:val="2"/>
        </w:rPr>
        <w:t>) and glass transition temperature (</w:t>
      </w:r>
      <w:r>
        <w:rPr>
          <w:i/>
          <w:position w:val="2"/>
        </w:rPr>
        <w:t>Tg</w:t>
      </w:r>
      <w:r>
        <w:rPr>
          <w:position w:val="2"/>
        </w:rPr>
        <w:t>).</w:t>
      </w:r>
    </w:p>
    <w:p>
      <w:pPr>
        <w:pStyle w:val="BodyText"/>
        <w:spacing w:line="360" w:lineRule="auto" w:before="5"/>
        <w:ind w:left="100" w:right="116" w:firstLine="427"/>
        <w:jc w:val="both"/>
      </w:pPr>
      <w:r>
        <w:rPr/>
        <w:t>An aspect of considerable interest is the effect of the water activity on the physical changes of the solid matrix entrapping the oils, which may affect the oil distribution and, consequently, the accessibility of oxygen to the oil. After drying, a highly viscous  solid matrix in the glassy amorphous state is obtained; when moisture content or temperature increases, the solid changes from the glassy state to the rubbery amorphous state with a high molecular mobility. Temperature at the state change, called the glass transition temperature, depends on the solid matrix nature and decreases as moisture content increases (Roos et al., 1996). Because molecular mobility is increased by the plasticizing effect of water or by temperature,  the  so-called  collapse  may occur  (Levine  and  Slade,  1990).  These physical</w:t>
      </w:r>
    </w:p>
    <w:p>
      <w:pPr>
        <w:spacing w:after="0" w:line="360" w:lineRule="auto"/>
        <w:jc w:val="both"/>
        <w:sectPr>
          <w:pgSz w:w="11900" w:h="16840"/>
          <w:pgMar w:header="0" w:footer="1370" w:top="1360" w:bottom="1560" w:left="1340" w:right="1320"/>
        </w:sectPr>
      </w:pPr>
    </w:p>
    <w:p>
      <w:pPr>
        <w:pStyle w:val="BodyText"/>
        <w:spacing w:line="360" w:lineRule="auto" w:before="54"/>
        <w:ind w:left="100" w:right="163"/>
      </w:pPr>
      <w:r>
        <w:rPr/>
        <w:t>changes are associated with partial release of encapsulated lipids, and the released oil may then be more exposed and undergo rapid oxidation.</w:t>
      </w:r>
    </w:p>
    <w:p>
      <w:pPr>
        <w:pStyle w:val="BodyText"/>
        <w:spacing w:line="360" w:lineRule="auto" w:before="4"/>
        <w:ind w:left="100" w:right="114" w:firstLine="427"/>
        <w:jc w:val="both"/>
      </w:pPr>
      <w:r>
        <w:rPr/>
        <w:t>Water activity and glass transition temperature are interrelated, and together provoke structural changes on the matrix of the microcapsule, eventually leading to its collapse, stickiness, and shrinkage, so both of them have bearing on the stability </w:t>
      </w:r>
      <w:r>
        <w:rPr>
          <w:spacing w:val="4"/>
        </w:rPr>
        <w:t>of </w:t>
      </w:r>
      <w:r>
        <w:rPr/>
        <w:t>a food system (Roos, 2007). Hence, state diagrams can </w:t>
      </w:r>
      <w:r>
        <w:rPr>
          <w:spacing w:val="-3"/>
        </w:rPr>
        <w:t>be </w:t>
      </w:r>
      <w:r>
        <w:rPr/>
        <w:t>established </w:t>
      </w:r>
      <w:r>
        <w:rPr>
          <w:spacing w:val="2"/>
        </w:rPr>
        <w:t>to </w:t>
      </w:r>
      <w:r>
        <w:rPr/>
        <w:t>obtain critical storage conditions, where </w:t>
      </w:r>
      <w:r>
        <w:rPr>
          <w:spacing w:val="-5"/>
        </w:rPr>
        <w:t>it is </w:t>
      </w:r>
      <w:r>
        <w:rPr/>
        <w:t>assumed that an increase </w:t>
      </w:r>
      <w:r>
        <w:rPr>
          <w:spacing w:val="-3"/>
        </w:rPr>
        <w:t>in </w:t>
      </w:r>
      <w:r>
        <w:rPr/>
        <w:t>molecular mobility enhances structural  transformations and diffusion that accelerate deteriorative</w:t>
      </w:r>
      <w:r>
        <w:rPr>
          <w:spacing w:val="-30"/>
        </w:rPr>
        <w:t> </w:t>
      </w:r>
      <w:r>
        <w:rPr/>
        <w:t>changes.</w:t>
      </w:r>
    </w:p>
    <w:p>
      <w:pPr>
        <w:pStyle w:val="BodyText"/>
        <w:spacing w:line="360" w:lineRule="auto" w:before="4"/>
        <w:ind w:left="100" w:right="115" w:firstLine="710"/>
        <w:jc w:val="both"/>
      </w:pPr>
      <w:r>
        <w:rPr/>
        <w:t>The thermodynamics of water vapour sorption provide a reliable criterion for predicting the storage stability and shelf-life of spray-dried food products (Sánchez-Sáenz et al., 2011). Thermodynamic analysis </w:t>
      </w:r>
      <w:r>
        <w:rPr>
          <w:spacing w:val="4"/>
        </w:rPr>
        <w:t>of </w:t>
      </w:r>
      <w:r>
        <w:rPr/>
        <w:t>sorption needs the knowledge </w:t>
      </w:r>
      <w:r>
        <w:rPr>
          <w:spacing w:val="4"/>
        </w:rPr>
        <w:t>of </w:t>
      </w:r>
      <w:r>
        <w:rPr/>
        <w:t>isotherms behaviour as a function of temperature. The Guggenheim-Anderson-de Boer (GAB) equation </w:t>
      </w:r>
      <w:r>
        <w:rPr>
          <w:spacing w:val="-3"/>
        </w:rPr>
        <w:t>is </w:t>
      </w:r>
      <w:r>
        <w:rPr/>
        <w:t>a localized multilayer sorption and condensed </w:t>
      </w:r>
      <w:r>
        <w:rPr>
          <w:spacing w:val="-3"/>
        </w:rPr>
        <w:t>film model. </w:t>
      </w:r>
      <w:r>
        <w:rPr/>
        <w:t>The minimum integral entropy can  </w:t>
      </w:r>
      <w:r>
        <w:rPr>
          <w:spacing w:val="-3"/>
        </w:rPr>
        <w:t>be </w:t>
      </w:r>
      <w:r>
        <w:rPr/>
        <w:t>interpreted as the required moisture content for forming a monolayer, where the water activity at which a dry food product </w:t>
      </w:r>
      <w:r>
        <w:rPr>
          <w:spacing w:val="-5"/>
        </w:rPr>
        <w:t>is </w:t>
      </w:r>
      <w:r>
        <w:rPr>
          <w:spacing w:val="-3"/>
        </w:rPr>
        <w:t>most </w:t>
      </w:r>
      <w:r>
        <w:rPr/>
        <w:t>stable (Pérez-Alonso et al</w:t>
      </w:r>
      <w:r>
        <w:rPr>
          <w:i/>
        </w:rPr>
        <w:t>.</w:t>
      </w:r>
      <w:r>
        <w:rPr/>
        <w:t>, 2006), and strong bondings occurs between the water (adsorbate) and the food (adsorbent) that corresponds to less water </w:t>
      </w:r>
      <w:r>
        <w:rPr>
          <w:spacing w:val="-3"/>
        </w:rPr>
        <w:t>being </w:t>
      </w:r>
      <w:r>
        <w:rPr/>
        <w:t>available for chemical and spoilage reactions (Nunes and Rotstein,</w:t>
      </w:r>
      <w:r>
        <w:rPr>
          <w:spacing w:val="-11"/>
        </w:rPr>
        <w:t> </w:t>
      </w:r>
      <w:r>
        <w:rPr/>
        <w:t>1991).</w:t>
      </w:r>
    </w:p>
    <w:p>
      <w:pPr>
        <w:pStyle w:val="BodyText"/>
        <w:spacing w:line="360" w:lineRule="auto" w:before="4"/>
        <w:ind w:left="100" w:right="116" w:firstLine="427"/>
        <w:jc w:val="both"/>
      </w:pPr>
      <w:r>
        <w:rPr/>
        <w:t>In this context, many authors have studied the </w:t>
      </w:r>
      <w:r>
        <w:rPr>
          <w:spacing w:val="-4"/>
        </w:rPr>
        <w:t>lipid </w:t>
      </w:r>
      <w:r>
        <w:rPr/>
        <w:t>oxidation </w:t>
      </w:r>
      <w:r>
        <w:rPr>
          <w:spacing w:val="4"/>
        </w:rPr>
        <w:t>of </w:t>
      </w:r>
      <w:r>
        <w:rPr/>
        <w:t>diverse oils from different botanical origin, but </w:t>
      </w:r>
      <w:r>
        <w:rPr>
          <w:spacing w:val="-3"/>
        </w:rPr>
        <w:t>in </w:t>
      </w:r>
      <w:r>
        <w:rPr/>
        <w:t>depth studies </w:t>
      </w:r>
      <w:r>
        <w:rPr>
          <w:spacing w:val="4"/>
        </w:rPr>
        <w:t>of </w:t>
      </w:r>
      <w:r>
        <w:rPr/>
        <w:t>the oxidation </w:t>
      </w:r>
      <w:r>
        <w:rPr>
          <w:spacing w:val="4"/>
        </w:rPr>
        <w:t>of </w:t>
      </w:r>
      <w:r>
        <w:rPr/>
        <w:t>microencapsulated chia </w:t>
      </w:r>
      <w:r>
        <w:rPr>
          <w:spacing w:val="3"/>
        </w:rPr>
        <w:t>oil </w:t>
      </w:r>
      <w:r>
        <w:rPr/>
        <w:t>are lacking. Ixtaina et </w:t>
      </w:r>
      <w:r>
        <w:rPr>
          <w:spacing w:val="-4"/>
        </w:rPr>
        <w:t>al. </w:t>
      </w:r>
      <w:r>
        <w:rPr/>
        <w:t>(2015) microencapsulated </w:t>
      </w:r>
      <w:r>
        <w:rPr>
          <w:spacing w:val="-3"/>
        </w:rPr>
        <w:t>chia </w:t>
      </w:r>
      <w:r>
        <w:rPr/>
        <w:t>oil using lactose and sodium caseinate as wall materials. The authors found that microencapsulated </w:t>
      </w:r>
      <w:r>
        <w:rPr>
          <w:spacing w:val="-3"/>
        </w:rPr>
        <w:t>chia </w:t>
      </w:r>
      <w:r>
        <w:rPr/>
        <w:t>oil oxidized more rapidly at 170 ºC than 135 ºC during spray-drying, and when higher homogenization pressure (600 bar compared with 400 bar) was applied during the emulsion preparation. They reported that </w:t>
      </w:r>
      <w:r>
        <w:rPr>
          <w:spacing w:val="-3"/>
        </w:rPr>
        <w:t>smaller </w:t>
      </w:r>
      <w:r>
        <w:rPr/>
        <w:t>droplet </w:t>
      </w:r>
      <w:r>
        <w:rPr>
          <w:spacing w:val="-3"/>
        </w:rPr>
        <w:t>size </w:t>
      </w:r>
      <w:r>
        <w:rPr>
          <w:spacing w:val="4"/>
        </w:rPr>
        <w:t>of </w:t>
      </w:r>
      <w:r>
        <w:rPr/>
        <w:t>the emulsion produced a larger contact area of the between the prooxidant compounds and </w:t>
      </w:r>
      <w:r>
        <w:rPr>
          <w:spacing w:val="-3"/>
        </w:rPr>
        <w:t>lipid </w:t>
      </w:r>
      <w:r>
        <w:rPr/>
        <w:t>hydroperoxides during the </w:t>
      </w:r>
      <w:r>
        <w:rPr>
          <w:spacing w:val="-3"/>
        </w:rPr>
        <w:t>drying </w:t>
      </w:r>
      <w:r>
        <w:rPr/>
        <w:t>process. Microencapsulated chia oil oxidized significantly less than bulk chia oil. Martínez et al</w:t>
      </w:r>
      <w:r>
        <w:rPr>
          <w:i/>
        </w:rPr>
        <w:t>. </w:t>
      </w:r>
      <w:r>
        <w:rPr/>
        <w:t>(2015) produced spray-dried chia oil microcapsules using 2:1 hydroxypropyl methylcellulose-to-maltodextrin DE-15, and core-to-wall ratios, finding that the peroxide value </w:t>
      </w:r>
      <w:r>
        <w:rPr>
          <w:spacing w:val="4"/>
        </w:rPr>
        <w:t>of </w:t>
      </w:r>
      <w:r>
        <w:rPr/>
        <w:t>the microencapsulated oil was higher than that of the bulk oil, without offering plausible explanation for these</w:t>
      </w:r>
      <w:r>
        <w:rPr>
          <w:spacing w:val="-27"/>
        </w:rPr>
        <w:t> </w:t>
      </w:r>
      <w:r>
        <w:rPr/>
        <w:t>results.</w:t>
      </w:r>
    </w:p>
    <w:p>
      <w:pPr>
        <w:pStyle w:val="BodyText"/>
        <w:spacing w:line="360" w:lineRule="auto" w:before="4"/>
        <w:ind w:left="100" w:right="117" w:firstLine="427"/>
        <w:jc w:val="both"/>
      </w:pPr>
      <w:r>
        <w:rPr/>
        <w:t>The aim </w:t>
      </w:r>
      <w:r>
        <w:rPr>
          <w:spacing w:val="4"/>
        </w:rPr>
        <w:t>of </w:t>
      </w:r>
      <w:r>
        <w:rPr/>
        <w:t>this work was to: </w:t>
      </w:r>
      <w:r>
        <w:rPr>
          <w:spacing w:val="-5"/>
        </w:rPr>
        <w:t>i) </w:t>
      </w:r>
      <w:r>
        <w:rPr/>
        <w:t>produce </w:t>
      </w:r>
      <w:r>
        <w:rPr>
          <w:spacing w:val="-3"/>
        </w:rPr>
        <w:t>chia </w:t>
      </w:r>
      <w:r>
        <w:rPr/>
        <w:t>oil microcapsules by spray-drying using as wall material a whey protein concentrate-polysaccharide matrix blend; </w:t>
      </w:r>
      <w:r>
        <w:rPr>
          <w:spacing w:val="-4"/>
        </w:rPr>
        <w:t>ii) </w:t>
      </w:r>
      <w:r>
        <w:rPr/>
        <w:t>determine the minimum integral entropy zone for establishing the </w:t>
      </w:r>
      <w:r>
        <w:rPr>
          <w:spacing w:val="-3"/>
        </w:rPr>
        <w:t>most </w:t>
      </w:r>
      <w:r>
        <w:rPr/>
        <w:t>suitable microcapsules storage conditions (water  activity and  temperature)  by;  </w:t>
      </w:r>
      <w:r>
        <w:rPr>
          <w:spacing w:val="-4"/>
        </w:rPr>
        <w:t>iii)  </w:t>
      </w:r>
      <w:r>
        <w:rPr>
          <w:spacing w:val="2"/>
        </w:rPr>
        <w:t>to </w:t>
      </w:r>
      <w:r>
        <w:rPr/>
        <w:t>interrelate the  physical state of  </w:t>
      </w:r>
      <w:r>
        <w:rPr>
          <w:spacing w:val="56"/>
        </w:rPr>
        <w:t> </w:t>
      </w:r>
      <w:r>
        <w:rPr/>
        <w:t>the</w:t>
      </w:r>
    </w:p>
    <w:p>
      <w:pPr>
        <w:spacing w:after="0" w:line="360" w:lineRule="auto"/>
        <w:jc w:val="both"/>
        <w:sectPr>
          <w:pgSz w:w="11900" w:h="16840"/>
          <w:pgMar w:header="0" w:footer="1026" w:top="1360" w:bottom="1220" w:left="1340" w:right="1320"/>
        </w:sectPr>
      </w:pPr>
    </w:p>
    <w:p>
      <w:pPr>
        <w:pStyle w:val="BodyText"/>
        <w:spacing w:before="54"/>
        <w:ind w:left="120" w:right="126"/>
      </w:pPr>
      <w:r>
        <w:rPr/>
        <w:t>amorphous matrix with the glass transition temperature at the critical storage conditions;  and</w:t>
      </w:r>
    </w:p>
    <w:p>
      <w:pPr>
        <w:pStyle w:val="BodyText"/>
        <w:spacing w:line="360" w:lineRule="auto" w:before="137"/>
        <w:ind w:left="120" w:right="126"/>
      </w:pPr>
      <w:r>
        <w:rPr/>
        <w:t>iv) determine the extent of the peroxidation of the microencapsulated chia oil in comparison to the bulk chia oil.</w:t>
      </w:r>
    </w:p>
    <w:p>
      <w:pPr>
        <w:pStyle w:val="BodyText"/>
      </w:pPr>
    </w:p>
    <w:p>
      <w:pPr>
        <w:pStyle w:val="ListParagraph"/>
        <w:numPr>
          <w:ilvl w:val="0"/>
          <w:numId w:val="10"/>
        </w:numPr>
        <w:tabs>
          <w:tab w:pos="399" w:val="left" w:leader="none"/>
        </w:tabs>
        <w:spacing w:line="240" w:lineRule="auto" w:before="151" w:after="0"/>
        <w:ind w:left="398" w:right="0" w:hanging="288"/>
        <w:jc w:val="left"/>
        <w:rPr>
          <w:b/>
          <w:sz w:val="24"/>
        </w:rPr>
      </w:pPr>
      <w:r>
        <w:rPr>
          <w:b/>
          <w:spacing w:val="12"/>
          <w:sz w:val="24"/>
        </w:rPr>
        <w:t>Materials </w:t>
      </w:r>
      <w:r>
        <w:rPr>
          <w:b/>
          <w:spacing w:val="9"/>
          <w:sz w:val="24"/>
        </w:rPr>
        <w:t>and</w:t>
      </w:r>
      <w:r>
        <w:rPr>
          <w:b/>
          <w:spacing w:val="53"/>
          <w:sz w:val="24"/>
        </w:rPr>
        <w:t> </w:t>
      </w:r>
      <w:r>
        <w:rPr>
          <w:b/>
          <w:spacing w:val="12"/>
          <w:sz w:val="24"/>
        </w:rPr>
        <w:t>methods</w:t>
      </w:r>
    </w:p>
    <w:p>
      <w:pPr>
        <w:pStyle w:val="BodyText"/>
        <w:rPr>
          <w:b/>
        </w:rPr>
      </w:pPr>
    </w:p>
    <w:p>
      <w:pPr>
        <w:pStyle w:val="BodyText"/>
        <w:spacing w:before="4"/>
        <w:rPr>
          <w:b/>
          <w:sz w:val="23"/>
        </w:rPr>
      </w:pPr>
    </w:p>
    <w:p>
      <w:pPr>
        <w:pStyle w:val="ListParagraph"/>
        <w:numPr>
          <w:ilvl w:val="1"/>
          <w:numId w:val="10"/>
        </w:numPr>
        <w:tabs>
          <w:tab w:pos="619" w:val="left" w:leader="none"/>
        </w:tabs>
        <w:spacing w:line="240" w:lineRule="auto" w:before="0" w:after="0"/>
        <w:ind w:left="618" w:right="0" w:hanging="498"/>
        <w:jc w:val="left"/>
        <w:rPr>
          <w:i/>
          <w:sz w:val="24"/>
        </w:rPr>
      </w:pPr>
      <w:r>
        <w:rPr>
          <w:i/>
          <w:spacing w:val="12"/>
          <w:sz w:val="24"/>
        </w:rPr>
        <w:t>Materials</w:t>
      </w:r>
    </w:p>
    <w:p>
      <w:pPr>
        <w:pStyle w:val="BodyText"/>
        <w:rPr>
          <w:i/>
        </w:rPr>
      </w:pPr>
    </w:p>
    <w:p>
      <w:pPr>
        <w:pStyle w:val="BodyText"/>
        <w:spacing w:before="2"/>
        <w:rPr>
          <w:i/>
        </w:rPr>
      </w:pPr>
    </w:p>
    <w:p>
      <w:pPr>
        <w:pStyle w:val="BodyText"/>
        <w:spacing w:line="360" w:lineRule="auto" w:before="1"/>
        <w:ind w:left="120" w:right="118" w:firstLine="427"/>
        <w:jc w:val="both"/>
      </w:pPr>
      <w:r>
        <w:rPr/>
        <w:t>Chia (</w:t>
      </w:r>
      <w:r>
        <w:rPr>
          <w:i/>
        </w:rPr>
        <w:t>Salvia hispanica </w:t>
      </w:r>
      <w:r>
        <w:rPr/>
        <w:t>L.) seeds were obtained from local farmers of the Atlixco region, State of Puebla, Mexico. Whey protein concentrate (WPC; 80 % protein in dry basis (d.b.)) was acquired from Hilmar Ingredients (Hilmar, CA, USA). Powdered mesquite gum (MG) from </w:t>
      </w:r>
      <w:r>
        <w:rPr>
          <w:i/>
        </w:rPr>
        <w:t>Prosopis laevigata </w:t>
      </w:r>
      <w:r>
        <w:rPr/>
        <w:t>trees, was provided Universidad Autonoma  Metropolitana- Iztapalapa (Dr. E. J. Vernon-Carter). MG is a highly branched complex heteropolyelectrolyte formed principally by L-arabinose and D-galactose, and minor proportions of 4-O-methyl-D- glucuronate, and L-rhamnose, in a 2:4:1:1 ratio, and a protein content of around 4.8 % d.b., which is responsible for the excellent emulsifying properties of MG (Román-Guerrero et al., 2009)</w:t>
      </w:r>
    </w:p>
    <w:p>
      <w:pPr>
        <w:pStyle w:val="BodyText"/>
        <w:spacing w:line="360" w:lineRule="auto" w:before="4"/>
        <w:ind w:left="120" w:right="113" w:firstLine="427"/>
        <w:jc w:val="both"/>
      </w:pPr>
      <w:r>
        <w:rPr/>
        <w:t>Bidistilled water was used in all experiments. All the chemical reagents used were purchased from Sigma Aldrich, S. A. de C. V. (Toluca, State of Mexico, Mexico).</w:t>
      </w:r>
    </w:p>
    <w:p>
      <w:pPr>
        <w:pStyle w:val="BodyText"/>
      </w:pPr>
    </w:p>
    <w:p>
      <w:pPr>
        <w:pStyle w:val="ListParagraph"/>
        <w:numPr>
          <w:ilvl w:val="1"/>
          <w:numId w:val="10"/>
        </w:numPr>
        <w:tabs>
          <w:tab w:pos="543" w:val="left" w:leader="none"/>
        </w:tabs>
        <w:spacing w:line="240" w:lineRule="auto" w:before="146" w:after="0"/>
        <w:ind w:left="542" w:right="0" w:hanging="422"/>
        <w:jc w:val="left"/>
        <w:rPr>
          <w:i/>
          <w:sz w:val="24"/>
        </w:rPr>
      </w:pPr>
      <w:r>
        <w:rPr>
          <w:i/>
          <w:sz w:val="24"/>
        </w:rPr>
        <w:t>Methods</w:t>
      </w:r>
    </w:p>
    <w:p>
      <w:pPr>
        <w:pStyle w:val="BodyText"/>
        <w:rPr>
          <w:i/>
        </w:rPr>
      </w:pPr>
    </w:p>
    <w:p>
      <w:pPr>
        <w:pStyle w:val="BodyText"/>
        <w:spacing w:before="9"/>
        <w:rPr>
          <w:i/>
          <w:sz w:val="23"/>
        </w:rPr>
      </w:pPr>
    </w:p>
    <w:p>
      <w:pPr>
        <w:pStyle w:val="ListParagraph"/>
        <w:numPr>
          <w:ilvl w:val="2"/>
          <w:numId w:val="10"/>
        </w:numPr>
        <w:tabs>
          <w:tab w:pos="725" w:val="left" w:leader="none"/>
        </w:tabs>
        <w:spacing w:line="240" w:lineRule="auto" w:before="0" w:after="0"/>
        <w:ind w:left="724" w:right="0" w:hanging="604"/>
        <w:jc w:val="left"/>
        <w:rPr>
          <w:i/>
          <w:sz w:val="24"/>
        </w:rPr>
      </w:pPr>
      <w:r>
        <w:rPr>
          <w:i/>
          <w:sz w:val="24"/>
        </w:rPr>
        <w:t>Chia oil extraction and</w:t>
      </w:r>
      <w:r>
        <w:rPr>
          <w:i/>
          <w:spacing w:val="-9"/>
          <w:sz w:val="24"/>
        </w:rPr>
        <w:t> </w:t>
      </w:r>
      <w:r>
        <w:rPr>
          <w:i/>
          <w:sz w:val="24"/>
        </w:rPr>
        <w:t>composition</w:t>
      </w:r>
    </w:p>
    <w:p>
      <w:pPr>
        <w:pStyle w:val="BodyText"/>
        <w:rPr>
          <w:i/>
        </w:rPr>
      </w:pPr>
    </w:p>
    <w:p>
      <w:pPr>
        <w:pStyle w:val="BodyText"/>
        <w:spacing w:before="3"/>
        <w:rPr>
          <w:i/>
        </w:rPr>
      </w:pPr>
    </w:p>
    <w:p>
      <w:pPr>
        <w:pStyle w:val="BodyText"/>
        <w:spacing w:line="360" w:lineRule="auto"/>
        <w:ind w:left="120" w:right="119" w:firstLine="427"/>
        <w:jc w:val="both"/>
      </w:pPr>
      <w:r>
        <w:rPr/>
        <w:t>CO extraction was accomplished by cold pressing following the procedure described by Rodea-González et al. (2012), with slight modifications. In short, 300 g of chia seeds were placed in the press chamber of a Tamer hydraulic press (model PHT-20, Shangai, China) and pressure was applied by means of a 40 cm long and 10cm diameter plunger that gradually exerted a pressure up to 9 tons at room temperature. Trace amounts of seed were removed from CO using a cloth filter, and filtered CO was stored in amber bottles at 5 °C in darkness until required.</w:t>
      </w:r>
    </w:p>
    <w:p>
      <w:pPr>
        <w:pStyle w:val="BodyText"/>
        <w:spacing w:before="8"/>
        <w:ind w:left="548" w:right="126"/>
      </w:pPr>
      <w:r>
        <w:rPr/>
        <w:t>A gas chromatograph (Agilent 6890, model G1530A, CA, USA) equipped with an auto</w:t>
      </w:r>
    </w:p>
    <w:p>
      <w:pPr>
        <w:spacing w:after="0"/>
        <w:sectPr>
          <w:pgSz w:w="11900" w:h="16840"/>
          <w:pgMar w:header="0" w:footer="1370" w:top="1360" w:bottom="1560" w:left="1320" w:right="1320"/>
        </w:sectPr>
      </w:pPr>
    </w:p>
    <w:p>
      <w:pPr>
        <w:pStyle w:val="BodyText"/>
        <w:spacing w:before="31"/>
        <w:ind w:left="100"/>
        <w:jc w:val="both"/>
        <w:rPr>
          <w:rFonts w:ascii="Symbol" w:hAnsi="Symbol"/>
        </w:rPr>
      </w:pPr>
      <w:r>
        <w:rPr/>
        <w:t>sampler (model 7683B), a flame ionization detector (FID) and a CP-Sil 88 column (100 m   </w:t>
      </w:r>
      <w:r>
        <w:rPr>
          <w:rFonts w:ascii="Symbol" w:hAnsi="Symbol"/>
        </w:rPr>
        <w:t></w:t>
      </w:r>
    </w:p>
    <w:p>
      <w:pPr>
        <w:pStyle w:val="BodyText"/>
        <w:spacing w:line="360" w:lineRule="auto" w:before="147"/>
        <w:ind w:left="100" w:right="111"/>
        <w:jc w:val="both"/>
      </w:pPr>
      <w:r>
        <w:rPr/>
        <w:t>0.25 </w:t>
      </w:r>
      <w:r>
        <w:rPr>
          <w:spacing w:val="-3"/>
        </w:rPr>
        <w:t>mm </w:t>
      </w:r>
      <w:r>
        <w:rPr>
          <w:rFonts w:ascii="Symbol" w:hAnsi="Symbol"/>
        </w:rPr>
        <w:t></w:t>
      </w:r>
      <w:r>
        <w:rPr/>
        <w:t> 0.39 </w:t>
      </w:r>
      <w:r>
        <w:rPr>
          <w:spacing w:val="-5"/>
        </w:rPr>
        <w:t>mm) </w:t>
      </w:r>
      <w:r>
        <w:rPr/>
        <w:t>was used for detrmining CO composition. Initial column temperature was 90 ºC, and a heating ramp of 1.5 ºC/min was used until 225 ºC was achieved. Helium  was used as carrier gas at a </w:t>
      </w:r>
      <w:r>
        <w:rPr>
          <w:spacing w:val="-3"/>
        </w:rPr>
        <w:t>flow </w:t>
      </w:r>
      <w:r>
        <w:rPr/>
        <w:t>rate of 0.7 mL/min. CO composition was as follows: 7.6 % oleic acid, 18.9 % linoleic acid, 58.2 % </w:t>
      </w:r>
      <w:r>
        <w:rPr>
          <w:rFonts w:ascii="Symbol" w:hAnsi="Symbol"/>
        </w:rPr>
        <w:t></w:t>
      </w:r>
      <w:r>
        <w:rPr/>
        <w:t>-linolenic acid, and the balance to 100% was </w:t>
      </w:r>
      <w:r>
        <w:rPr>
          <w:spacing w:val="-3"/>
        </w:rPr>
        <w:t>made </w:t>
      </w:r>
      <w:r>
        <w:rPr/>
        <w:t>up by </w:t>
      </w:r>
      <w:r>
        <w:rPr>
          <w:spacing w:val="-3"/>
        </w:rPr>
        <w:t>minor </w:t>
      </w:r>
      <w:r>
        <w:rPr/>
        <w:t>compounds </w:t>
      </w:r>
      <w:r>
        <w:rPr>
          <w:spacing w:val="-3"/>
        </w:rPr>
        <w:t>in </w:t>
      </w:r>
      <w:r>
        <w:rPr/>
        <w:t>concentrations lower than 3.2 </w:t>
      </w:r>
      <w:r>
        <w:rPr>
          <w:spacing w:val="4"/>
        </w:rPr>
        <w:t>%. </w:t>
      </w:r>
      <w:r>
        <w:rPr>
          <w:spacing w:val="-3"/>
        </w:rPr>
        <w:t>This </w:t>
      </w:r>
      <w:r>
        <w:rPr/>
        <w:t>composition </w:t>
      </w:r>
      <w:r>
        <w:rPr>
          <w:spacing w:val="-3"/>
        </w:rPr>
        <w:t>is </w:t>
      </w:r>
      <w:r>
        <w:rPr/>
        <w:t>similar to those reported by Álvarez-Chávez et </w:t>
      </w:r>
      <w:r>
        <w:rPr>
          <w:spacing w:val="-4"/>
        </w:rPr>
        <w:t>al. </w:t>
      </w:r>
      <w:r>
        <w:rPr/>
        <w:t>(2008) and Rodea-González et </w:t>
      </w:r>
      <w:r>
        <w:rPr>
          <w:spacing w:val="-4"/>
        </w:rPr>
        <w:t>al.</w:t>
      </w:r>
      <w:r>
        <w:rPr>
          <w:spacing w:val="8"/>
        </w:rPr>
        <w:t> </w:t>
      </w:r>
      <w:r>
        <w:rPr/>
        <w:t>(2012).</w:t>
      </w:r>
    </w:p>
    <w:p>
      <w:pPr>
        <w:pStyle w:val="BodyText"/>
      </w:pPr>
    </w:p>
    <w:p>
      <w:pPr>
        <w:pStyle w:val="ListParagraph"/>
        <w:numPr>
          <w:ilvl w:val="2"/>
          <w:numId w:val="10"/>
        </w:numPr>
        <w:tabs>
          <w:tab w:pos="705" w:val="left" w:leader="none"/>
        </w:tabs>
        <w:spacing w:line="240" w:lineRule="auto" w:before="146" w:after="0"/>
        <w:ind w:left="704" w:right="0" w:hanging="604"/>
        <w:jc w:val="both"/>
        <w:rPr>
          <w:i/>
          <w:sz w:val="24"/>
        </w:rPr>
      </w:pPr>
      <w:r>
        <w:rPr>
          <w:i/>
          <w:sz w:val="24"/>
        </w:rPr>
        <w:t>Oil-in-water (O/W) emulsion</w:t>
      </w:r>
      <w:r>
        <w:rPr>
          <w:i/>
          <w:spacing w:val="-11"/>
          <w:sz w:val="24"/>
        </w:rPr>
        <w:t> </w:t>
      </w:r>
      <w:r>
        <w:rPr>
          <w:i/>
          <w:sz w:val="24"/>
        </w:rPr>
        <w:t>formulation</w:t>
      </w:r>
    </w:p>
    <w:p>
      <w:pPr>
        <w:pStyle w:val="BodyText"/>
        <w:spacing w:line="360" w:lineRule="auto" w:before="137"/>
        <w:ind w:left="100" w:right="118" w:firstLine="427"/>
        <w:jc w:val="both"/>
      </w:pPr>
      <w:r>
        <w:rPr/>
        <w:t>An aqueous solution (25% w/w) of WPC-MG </w:t>
      </w:r>
      <w:r>
        <w:rPr>
          <w:spacing w:val="-3"/>
        </w:rPr>
        <w:t>in </w:t>
      </w:r>
      <w:r>
        <w:rPr/>
        <w:t>2:1 ratio with 0.3 % w/w sodium azide for preventing the proliferation of microorganisms was prepared, and kept overnight </w:t>
      </w:r>
      <w:r>
        <w:rPr>
          <w:spacing w:val="-3"/>
        </w:rPr>
        <w:t>in </w:t>
      </w:r>
      <w:r>
        <w:rPr/>
        <w:t>a shaking water bath </w:t>
      </w:r>
      <w:r>
        <w:rPr>
          <w:spacing w:val="-3"/>
        </w:rPr>
        <w:t>at </w:t>
      </w:r>
      <w:r>
        <w:rPr/>
        <w:t>room temperature </w:t>
      </w:r>
      <w:r>
        <w:rPr>
          <w:spacing w:val="3"/>
        </w:rPr>
        <w:t>(</w:t>
      </w:r>
      <w:r>
        <w:rPr>
          <w:rFonts w:ascii="Symbol" w:hAnsi="Symbol"/>
          <w:spacing w:val="3"/>
        </w:rPr>
        <w:t></w:t>
      </w:r>
      <w:r>
        <w:rPr>
          <w:spacing w:val="3"/>
        </w:rPr>
        <w:t> </w:t>
      </w:r>
      <w:r>
        <w:rPr/>
        <w:t>20 ºC) to warrant a </w:t>
      </w:r>
      <w:r>
        <w:rPr>
          <w:spacing w:val="-3"/>
        </w:rPr>
        <w:t>full </w:t>
      </w:r>
      <w:r>
        <w:rPr/>
        <w:t>hydration of the biopolymer molecules. The requisite amount of CO was added dropwise to the aqueous solution and homogenized with Ultra-Turrax T50 homogenizer (IKA</w:t>
      </w:r>
      <w:r>
        <w:rPr>
          <w:rFonts w:ascii="Symbol" w:hAnsi="Symbol"/>
        </w:rPr>
        <w:t></w:t>
      </w:r>
      <w:r>
        <w:rPr/>
        <w:t>-WERKE Works Inc., Wilmington, NC, USA) </w:t>
      </w:r>
      <w:r>
        <w:rPr>
          <w:spacing w:val="-3"/>
        </w:rPr>
        <w:t>at </w:t>
      </w:r>
      <w:r>
        <w:rPr/>
        <w:t>6400 rpm during 10 </w:t>
      </w:r>
      <w:r>
        <w:rPr>
          <w:spacing w:val="-3"/>
        </w:rPr>
        <w:t>min. </w:t>
      </w:r>
      <w:r>
        <w:rPr/>
        <w:t>The emulsions were maintained </w:t>
      </w:r>
      <w:r>
        <w:rPr>
          <w:spacing w:val="-3"/>
        </w:rPr>
        <w:t>in </w:t>
      </w:r>
      <w:r>
        <w:rPr/>
        <w:t>an iced water bath </w:t>
      </w:r>
      <w:r>
        <w:rPr>
          <w:spacing w:val="-3"/>
        </w:rPr>
        <w:t>in </w:t>
      </w:r>
      <w:r>
        <w:rPr/>
        <w:t>order to keep the temperature below 30 ºC. The prepared emulsion </w:t>
      </w:r>
      <w:r>
        <w:rPr>
          <w:position w:val="2"/>
        </w:rPr>
        <w:t>contained 30% total solids content (TSC) and a 1:3 core to wall material (C</w:t>
      </w:r>
      <w:r>
        <w:rPr>
          <w:sz w:val="16"/>
        </w:rPr>
        <w:t>o</w:t>
      </w:r>
      <w:r>
        <w:rPr>
          <w:position w:val="2"/>
        </w:rPr>
        <w:t>:W</w:t>
      </w:r>
      <w:r>
        <w:rPr>
          <w:sz w:val="16"/>
        </w:rPr>
        <w:t>a</w:t>
      </w:r>
      <w:r>
        <w:rPr>
          <w:position w:val="2"/>
        </w:rPr>
        <w:t>)</w:t>
      </w:r>
      <w:r>
        <w:rPr>
          <w:spacing w:val="-21"/>
          <w:position w:val="2"/>
        </w:rPr>
        <w:t> </w:t>
      </w:r>
      <w:r>
        <w:rPr>
          <w:position w:val="2"/>
        </w:rPr>
        <w:t>ratio.</w:t>
      </w:r>
    </w:p>
    <w:p>
      <w:pPr>
        <w:pStyle w:val="BodyText"/>
      </w:pPr>
    </w:p>
    <w:p>
      <w:pPr>
        <w:pStyle w:val="ListParagraph"/>
        <w:numPr>
          <w:ilvl w:val="2"/>
          <w:numId w:val="10"/>
        </w:numPr>
        <w:tabs>
          <w:tab w:pos="705" w:val="left" w:leader="none"/>
        </w:tabs>
        <w:spacing w:line="240" w:lineRule="auto" w:before="142" w:after="0"/>
        <w:ind w:left="704" w:right="0" w:hanging="604"/>
        <w:jc w:val="both"/>
        <w:rPr>
          <w:i/>
          <w:sz w:val="24"/>
        </w:rPr>
      </w:pPr>
      <w:r>
        <w:rPr>
          <w:i/>
          <w:sz w:val="24"/>
        </w:rPr>
        <w:t>Production </w:t>
      </w:r>
      <w:r>
        <w:rPr>
          <w:i/>
          <w:spacing w:val="-3"/>
          <w:sz w:val="24"/>
        </w:rPr>
        <w:t>of </w:t>
      </w:r>
      <w:r>
        <w:rPr>
          <w:i/>
          <w:sz w:val="24"/>
        </w:rPr>
        <w:t>spray-dried</w:t>
      </w:r>
      <w:r>
        <w:rPr>
          <w:i/>
          <w:spacing w:val="-9"/>
          <w:sz w:val="24"/>
        </w:rPr>
        <w:t> </w:t>
      </w:r>
      <w:r>
        <w:rPr>
          <w:i/>
          <w:sz w:val="24"/>
        </w:rPr>
        <w:t>microcapsules</w:t>
      </w:r>
    </w:p>
    <w:p>
      <w:pPr>
        <w:pStyle w:val="BodyText"/>
        <w:spacing w:line="352" w:lineRule="auto" w:before="137"/>
        <w:ind w:left="100" w:right="116" w:firstLine="427"/>
        <w:jc w:val="both"/>
      </w:pPr>
      <w:r>
        <w:rPr/>
        <w:t>The emulsion was spray-dried </w:t>
      </w:r>
      <w:r>
        <w:rPr>
          <w:spacing w:val="-3"/>
        </w:rPr>
        <w:t>in </w:t>
      </w:r>
      <w:r>
        <w:rPr/>
        <w:t>a Nichols/Niro spray-drier (Turbo Spray PLA, NY, USA) with a feed rate of 40 </w:t>
      </w:r>
      <w:r>
        <w:rPr>
          <w:spacing w:val="-5"/>
        </w:rPr>
        <w:t>mL </w:t>
      </w:r>
      <w:r>
        <w:rPr/>
        <w:t>min</w:t>
      </w:r>
      <w:r>
        <w:rPr>
          <w:position w:val="9"/>
          <w:sz w:val="16"/>
        </w:rPr>
        <w:t>-1</w:t>
      </w:r>
      <w:r>
        <w:rPr/>
        <w:t>, using inlet an outlet </w:t>
      </w:r>
      <w:r>
        <w:rPr>
          <w:spacing w:val="-4"/>
        </w:rPr>
        <w:t>air </w:t>
      </w:r>
      <w:r>
        <w:rPr/>
        <w:t>temperatures of 135 ± 5 °C  and 80 ± 5 </w:t>
      </w:r>
      <w:r>
        <w:rPr>
          <w:spacing w:val="-3"/>
        </w:rPr>
        <w:t>°C, </w:t>
      </w:r>
      <w:r>
        <w:rPr/>
        <w:t>respectively. The atomization pressure was set to 4</w:t>
      </w:r>
      <w:r>
        <w:rPr>
          <w:spacing w:val="-15"/>
        </w:rPr>
        <w:t> </w:t>
      </w:r>
      <w:r>
        <w:rPr/>
        <w:t>bars.</w:t>
      </w:r>
    </w:p>
    <w:p>
      <w:pPr>
        <w:pStyle w:val="BodyText"/>
      </w:pPr>
    </w:p>
    <w:p>
      <w:pPr>
        <w:pStyle w:val="ListParagraph"/>
        <w:numPr>
          <w:ilvl w:val="2"/>
          <w:numId w:val="10"/>
        </w:numPr>
        <w:tabs>
          <w:tab w:pos="705" w:val="left" w:leader="none"/>
        </w:tabs>
        <w:spacing w:line="240" w:lineRule="auto" w:before="153" w:after="0"/>
        <w:ind w:left="704" w:right="0" w:hanging="604"/>
        <w:jc w:val="both"/>
        <w:rPr>
          <w:i/>
          <w:sz w:val="24"/>
        </w:rPr>
      </w:pPr>
      <w:r>
        <w:rPr>
          <w:i/>
          <w:sz w:val="24"/>
        </w:rPr>
        <w:t>Sorption</w:t>
      </w:r>
      <w:r>
        <w:rPr>
          <w:i/>
          <w:spacing w:val="-6"/>
          <w:sz w:val="24"/>
        </w:rPr>
        <w:t> </w:t>
      </w:r>
      <w:r>
        <w:rPr>
          <w:i/>
          <w:sz w:val="24"/>
        </w:rPr>
        <w:t>isotherms</w:t>
      </w:r>
    </w:p>
    <w:p>
      <w:pPr>
        <w:pStyle w:val="BodyText"/>
        <w:spacing w:line="360" w:lineRule="auto" w:before="137"/>
        <w:ind w:left="100" w:right="117" w:firstLine="427"/>
        <w:jc w:val="both"/>
      </w:pPr>
      <w:r>
        <w:rPr/>
        <w:t>The adsorption isotherms were determined by the gravimetric method described by Lang et </w:t>
      </w:r>
      <w:r>
        <w:rPr>
          <w:spacing w:val="-4"/>
        </w:rPr>
        <w:t>al</w:t>
      </w:r>
      <w:r>
        <w:rPr>
          <w:i/>
          <w:spacing w:val="-4"/>
        </w:rPr>
        <w:t>. </w:t>
      </w:r>
      <w:r>
        <w:rPr/>
        <w:t>(1981). Approximately 0.5 g samples of microcapsules were put into small glass desiccators of 10 cm diameter which contained saturated solutions </w:t>
      </w:r>
      <w:r>
        <w:rPr>
          <w:spacing w:val="7"/>
        </w:rPr>
        <w:t>of </w:t>
      </w:r>
      <w:r>
        <w:rPr/>
        <w:t>different salts that </w:t>
      </w:r>
      <w:r>
        <w:rPr>
          <w:position w:val="2"/>
        </w:rPr>
        <w:t>provided water activities (</w:t>
      </w:r>
      <w:r>
        <w:rPr>
          <w:i/>
          <w:position w:val="2"/>
        </w:rPr>
        <w:t>a</w:t>
      </w:r>
      <w:r>
        <w:rPr>
          <w:i/>
          <w:sz w:val="16"/>
        </w:rPr>
        <w:t>w</w:t>
      </w:r>
      <w:r>
        <w:rPr>
          <w:position w:val="2"/>
        </w:rPr>
        <w:t>) </w:t>
      </w:r>
      <w:r>
        <w:rPr>
          <w:spacing w:val="-3"/>
          <w:position w:val="2"/>
        </w:rPr>
        <w:t>in </w:t>
      </w:r>
      <w:r>
        <w:rPr>
          <w:position w:val="2"/>
        </w:rPr>
        <w:t>the range of 0.105–0.765 (Labuza et al</w:t>
      </w:r>
      <w:r>
        <w:rPr>
          <w:i/>
          <w:position w:val="2"/>
        </w:rPr>
        <w:t>.</w:t>
      </w:r>
      <w:r>
        <w:rPr>
          <w:position w:val="2"/>
        </w:rPr>
        <w:t>, 1985). Filter paper </w:t>
      </w:r>
      <w:r>
        <w:rPr/>
        <w:t>(Whatman No. 1) was placed above the saturated </w:t>
      </w:r>
      <w:r>
        <w:rPr>
          <w:spacing w:val="-3"/>
        </w:rPr>
        <w:t>salt </w:t>
      </w:r>
      <w:r>
        <w:rPr/>
        <w:t>solutions </w:t>
      </w:r>
      <w:r>
        <w:rPr>
          <w:spacing w:val="-3"/>
        </w:rPr>
        <w:t>in </w:t>
      </w:r>
      <w:r>
        <w:rPr/>
        <w:t>a perforated plate used as support for the microencapsulated powders </w:t>
      </w:r>
      <w:r>
        <w:rPr>
          <w:spacing w:val="-4"/>
        </w:rPr>
        <w:t>and</w:t>
      </w:r>
      <w:r>
        <w:rPr>
          <w:spacing w:val="52"/>
        </w:rPr>
        <w:t> </w:t>
      </w:r>
      <w:r>
        <w:rPr/>
        <w:t>for allowing moisture transmission. Desiccators were put into forced convection ovens (Stable Temp model JZ-52402-78, Cole Parmer, Chicago, </w:t>
      </w:r>
      <w:r>
        <w:rPr>
          <w:spacing w:val="-3"/>
        </w:rPr>
        <w:t>Il, </w:t>
      </w:r>
      <w:r>
        <w:rPr/>
        <w:t>USA) that were set </w:t>
      </w:r>
      <w:r>
        <w:rPr>
          <w:spacing w:val="-3"/>
        </w:rPr>
        <w:t>at </w:t>
      </w:r>
      <w:r>
        <w:rPr/>
        <w:t>25, 35 and 40 (± 0.1) </w:t>
      </w:r>
      <w:r>
        <w:rPr>
          <w:rFonts w:ascii="Symbol" w:hAnsi="Symbol"/>
        </w:rPr>
        <w:t></w:t>
      </w:r>
      <w:r>
        <w:rPr/>
        <w:t>C, respectively. The  samples</w:t>
      </w:r>
      <w:r>
        <w:rPr>
          <w:spacing w:val="36"/>
        </w:rPr>
        <w:t> </w:t>
      </w:r>
      <w:r>
        <w:rPr/>
        <w:t>were</w:t>
      </w:r>
      <w:r>
        <w:rPr>
          <w:spacing w:val="37"/>
        </w:rPr>
        <w:t> </w:t>
      </w:r>
      <w:r>
        <w:rPr/>
        <w:t>weighed</w:t>
      </w:r>
      <w:r>
        <w:rPr>
          <w:spacing w:val="38"/>
        </w:rPr>
        <w:t> </w:t>
      </w:r>
      <w:r>
        <w:rPr/>
        <w:t>with</w:t>
      </w:r>
      <w:r>
        <w:rPr>
          <w:spacing w:val="33"/>
        </w:rPr>
        <w:t> </w:t>
      </w:r>
      <w:r>
        <w:rPr/>
        <w:t>an</w:t>
      </w:r>
      <w:r>
        <w:rPr>
          <w:spacing w:val="33"/>
        </w:rPr>
        <w:t> </w:t>
      </w:r>
      <w:r>
        <w:rPr/>
        <w:t>Ohaus</w:t>
      </w:r>
      <w:r>
        <w:rPr>
          <w:spacing w:val="36"/>
        </w:rPr>
        <w:t> </w:t>
      </w:r>
      <w:r>
        <w:rPr/>
        <w:t>electronic</w:t>
      </w:r>
      <w:r>
        <w:rPr>
          <w:spacing w:val="48"/>
        </w:rPr>
        <w:t> </w:t>
      </w:r>
      <w:r>
        <w:rPr/>
        <w:t>balance</w:t>
      </w:r>
      <w:r>
        <w:rPr>
          <w:spacing w:val="37"/>
        </w:rPr>
        <w:t> </w:t>
      </w:r>
      <w:r>
        <w:rPr/>
        <w:t>(model</w:t>
      </w:r>
      <w:r>
        <w:rPr>
          <w:spacing w:val="34"/>
        </w:rPr>
        <w:t> </w:t>
      </w:r>
      <w:r>
        <w:rPr/>
        <w:t>AP210,</w:t>
      </w:r>
      <w:r>
        <w:rPr>
          <w:spacing w:val="40"/>
        </w:rPr>
        <w:t> </w:t>
      </w:r>
      <w:r>
        <w:rPr/>
        <w:t>Pine</w:t>
      </w:r>
      <w:r>
        <w:rPr>
          <w:spacing w:val="37"/>
        </w:rPr>
        <w:t> </w:t>
      </w:r>
      <w:r>
        <w:rPr/>
        <w:t>Brook,</w:t>
      </w:r>
      <w:r>
        <w:rPr>
          <w:spacing w:val="40"/>
        </w:rPr>
        <w:t> </w:t>
      </w:r>
      <w:r>
        <w:rPr/>
        <w:t>NJ,</w:t>
      </w:r>
    </w:p>
    <w:p>
      <w:pPr>
        <w:spacing w:after="0" w:line="360" w:lineRule="auto"/>
        <w:jc w:val="both"/>
        <w:sectPr>
          <w:pgSz w:w="11900" w:h="16840"/>
          <w:pgMar w:header="0" w:footer="1026" w:top="1380" w:bottom="1220" w:left="1340" w:right="1320"/>
        </w:sectPr>
      </w:pPr>
    </w:p>
    <w:p>
      <w:pPr>
        <w:pStyle w:val="BodyText"/>
        <w:spacing w:line="360" w:lineRule="auto" w:before="54"/>
        <w:ind w:left="100" w:right="116"/>
        <w:jc w:val="both"/>
      </w:pPr>
      <w:r>
        <w:rPr/>
        <w:t>USA) every five days until equilibrium was achieved. Equilibrium was assumed when the difference between two consecutive weightings was less than 1 mg/g of solids. The time to reach equilibrium varied from 20 to 25 days. The water activity was measured with an Aqualab water activity meter with temperature compensation (model series 3 TE, Decagon Devices, Inc., Pullman, WA, USA). The moisture content of the microcapsules was determined by weight difference after vacuum drying (Felisa model FE 100, Mexico City, Mexico) at 60 </w:t>
      </w:r>
      <w:r>
        <w:rPr>
          <w:rFonts w:ascii="Symbol" w:hAnsi="Symbol"/>
        </w:rPr>
        <w:t></w:t>
      </w:r>
      <w:r>
        <w:rPr/>
        <w:t>C for 24 h, using magnesium perchlorate as a desiccant. The percentage difference in the equilibrium moisture contents between samples was, on the average, less than 1% of the mean of the values. The average values were used in the determination of the moisture adsorption isotherms. The results were adjusted to the GAB (Guggenheim- Anderson-De Boer) model (Guadarrama-Lezama et al., 2014a):</w:t>
      </w:r>
    </w:p>
    <w:p>
      <w:pPr>
        <w:pStyle w:val="BodyText"/>
        <w:rPr>
          <w:sz w:val="20"/>
        </w:rPr>
      </w:pPr>
    </w:p>
    <w:p>
      <w:pPr>
        <w:spacing w:after="0"/>
        <w:rPr>
          <w:sz w:val="20"/>
        </w:rPr>
        <w:sectPr>
          <w:footerReference w:type="even" r:id="rId20"/>
          <w:footerReference w:type="default" r:id="rId21"/>
          <w:pgSz w:w="11900" w:h="16840"/>
          <w:pgMar w:footer="1370" w:header="0" w:top="1360" w:bottom="1560" w:left="1340" w:right="1320"/>
        </w:sectPr>
      </w:pPr>
    </w:p>
    <w:p>
      <w:pPr>
        <w:tabs>
          <w:tab w:pos="3679" w:val="left" w:leader="none"/>
        </w:tabs>
        <w:spacing w:line="367" w:lineRule="exact" w:before="206"/>
        <w:ind w:left="2343" w:right="0" w:firstLine="0"/>
        <w:jc w:val="left"/>
        <w:rPr>
          <w:i/>
          <w:sz w:val="13"/>
        </w:rPr>
      </w:pPr>
      <w:r>
        <w:rPr/>
        <w:pict>
          <v:line style="position:absolute;mso-position-horizontal-relative:page;mso-position-vertical-relative:paragraph;z-index:-76072" from="208.797119pt,25.645842pt" to="336.283111pt,25.645886pt" stroked="true" strokeweight=".569351pt" strokecolor="#000000">
            <w10:wrap type="none"/>
          </v:line>
        </w:pict>
      </w:r>
      <w:r>
        <w:rPr>
          <w:i/>
          <w:w w:val="110"/>
          <w:position w:val="-14"/>
          <w:sz w:val="23"/>
        </w:rPr>
        <w:t>M</w:t>
      </w:r>
      <w:r>
        <w:rPr>
          <w:i/>
          <w:spacing w:val="24"/>
          <w:w w:val="110"/>
          <w:position w:val="-14"/>
          <w:sz w:val="23"/>
        </w:rPr>
        <w:t> </w:t>
      </w:r>
      <w:r>
        <w:rPr>
          <w:rFonts w:ascii="Symbol" w:hAnsi="Symbol"/>
          <w:w w:val="110"/>
          <w:position w:val="-14"/>
          <w:sz w:val="23"/>
        </w:rPr>
        <w:t></w:t>
      </w:r>
      <w:r>
        <w:rPr>
          <w:w w:val="110"/>
          <w:position w:val="-14"/>
          <w:sz w:val="23"/>
        </w:rPr>
        <w:tab/>
      </w:r>
      <w:r>
        <w:rPr>
          <w:i/>
          <w:spacing w:val="3"/>
          <w:w w:val="110"/>
          <w:sz w:val="23"/>
        </w:rPr>
        <w:t>M</w:t>
      </w:r>
      <w:r>
        <w:rPr>
          <w:spacing w:val="3"/>
          <w:w w:val="110"/>
          <w:position w:val="-5"/>
          <w:sz w:val="13"/>
        </w:rPr>
        <w:t>0</w:t>
      </w:r>
      <w:r>
        <w:rPr>
          <w:i/>
          <w:spacing w:val="3"/>
          <w:w w:val="110"/>
          <w:sz w:val="23"/>
        </w:rPr>
        <w:t>CKa</w:t>
      </w:r>
      <w:r>
        <w:rPr>
          <w:i/>
          <w:spacing w:val="3"/>
          <w:w w:val="110"/>
          <w:position w:val="-5"/>
          <w:sz w:val="13"/>
        </w:rPr>
        <w:t>w</w:t>
      </w:r>
    </w:p>
    <w:p>
      <w:pPr>
        <w:spacing w:line="271" w:lineRule="exact" w:before="0"/>
        <w:ind w:left="2847" w:right="-10" w:firstLine="0"/>
        <w:jc w:val="left"/>
        <w:rPr>
          <w:sz w:val="23"/>
        </w:rPr>
      </w:pPr>
      <w:r>
        <w:rPr>
          <w:w w:val="110"/>
          <w:sz w:val="23"/>
        </w:rPr>
        <w:t>(1</w:t>
      </w:r>
      <w:r>
        <w:rPr>
          <w:rFonts w:ascii="Symbol" w:hAnsi="Symbol"/>
          <w:w w:val="110"/>
          <w:sz w:val="23"/>
        </w:rPr>
        <w:t></w:t>
      </w:r>
      <w:r>
        <w:rPr>
          <w:spacing w:val="-27"/>
          <w:w w:val="110"/>
          <w:sz w:val="23"/>
        </w:rPr>
        <w:t> </w:t>
      </w:r>
      <w:r>
        <w:rPr>
          <w:i/>
          <w:w w:val="110"/>
          <w:sz w:val="23"/>
        </w:rPr>
        <w:t>Ka</w:t>
      </w:r>
      <w:r>
        <w:rPr>
          <w:i/>
          <w:w w:val="110"/>
          <w:position w:val="-5"/>
          <w:sz w:val="13"/>
        </w:rPr>
        <w:t>w</w:t>
      </w:r>
      <w:r>
        <w:rPr>
          <w:i/>
          <w:spacing w:val="-17"/>
          <w:w w:val="110"/>
          <w:position w:val="-5"/>
          <w:sz w:val="13"/>
        </w:rPr>
        <w:t> </w:t>
      </w:r>
      <w:r>
        <w:rPr>
          <w:spacing w:val="-3"/>
          <w:w w:val="110"/>
          <w:sz w:val="23"/>
        </w:rPr>
        <w:t>)(1</w:t>
      </w:r>
      <w:r>
        <w:rPr>
          <w:rFonts w:ascii="Symbol" w:hAnsi="Symbol"/>
          <w:spacing w:val="-3"/>
          <w:w w:val="110"/>
          <w:sz w:val="23"/>
        </w:rPr>
        <w:t></w:t>
      </w:r>
      <w:r>
        <w:rPr>
          <w:spacing w:val="-27"/>
          <w:w w:val="110"/>
          <w:sz w:val="23"/>
        </w:rPr>
        <w:t> </w:t>
      </w:r>
      <w:r>
        <w:rPr>
          <w:i/>
          <w:w w:val="110"/>
          <w:sz w:val="23"/>
        </w:rPr>
        <w:t>Ka</w:t>
      </w:r>
      <w:r>
        <w:rPr>
          <w:i/>
          <w:w w:val="110"/>
          <w:position w:val="-5"/>
          <w:sz w:val="13"/>
        </w:rPr>
        <w:t>w</w:t>
      </w:r>
      <w:r>
        <w:rPr>
          <w:i/>
          <w:spacing w:val="12"/>
          <w:w w:val="110"/>
          <w:position w:val="-5"/>
          <w:sz w:val="13"/>
        </w:rPr>
        <w:t> </w:t>
      </w:r>
      <w:r>
        <w:rPr>
          <w:rFonts w:ascii="Symbol" w:hAnsi="Symbol"/>
          <w:w w:val="110"/>
          <w:sz w:val="23"/>
        </w:rPr>
        <w:t></w:t>
      </w:r>
      <w:r>
        <w:rPr>
          <w:spacing w:val="-37"/>
          <w:w w:val="110"/>
          <w:sz w:val="23"/>
        </w:rPr>
        <w:t> </w:t>
      </w:r>
      <w:r>
        <w:rPr>
          <w:i/>
          <w:w w:val="110"/>
          <w:sz w:val="23"/>
        </w:rPr>
        <w:t>CKa</w:t>
      </w:r>
      <w:r>
        <w:rPr>
          <w:i/>
          <w:w w:val="110"/>
          <w:position w:val="-5"/>
          <w:sz w:val="13"/>
        </w:rPr>
        <w:t>w</w:t>
      </w:r>
      <w:r>
        <w:rPr>
          <w:i/>
          <w:spacing w:val="-17"/>
          <w:w w:val="110"/>
          <w:position w:val="-5"/>
          <w:sz w:val="13"/>
        </w:rPr>
        <w:t> </w:t>
      </w:r>
      <w:r>
        <w:rPr>
          <w:w w:val="110"/>
          <w:sz w:val="23"/>
        </w:rPr>
        <w:t>)</w:t>
      </w:r>
    </w:p>
    <w:p>
      <w:pPr>
        <w:pStyle w:val="BodyText"/>
        <w:spacing w:before="5"/>
        <w:rPr>
          <w:sz w:val="30"/>
        </w:rPr>
      </w:pPr>
      <w:r>
        <w:rPr/>
        <w:br w:type="column"/>
      </w:r>
      <w:r>
        <w:rPr>
          <w:sz w:val="30"/>
        </w:rPr>
      </w:r>
    </w:p>
    <w:p>
      <w:pPr>
        <w:pStyle w:val="BodyText"/>
        <w:ind w:left="1224"/>
      </w:pPr>
      <w:r>
        <w:rPr/>
        <w:t>(1)</w:t>
      </w:r>
    </w:p>
    <w:p>
      <w:pPr>
        <w:spacing w:after="0"/>
        <w:sectPr>
          <w:type w:val="continuous"/>
          <w:pgSz w:w="11900" w:h="16840"/>
          <w:pgMar w:top="1580" w:bottom="280" w:left="1340" w:right="1320"/>
          <w:cols w:num="2" w:equalWidth="0">
            <w:col w:w="5377" w:space="40"/>
            <w:col w:w="3823"/>
          </w:cols>
        </w:sectPr>
      </w:pPr>
    </w:p>
    <w:p>
      <w:pPr>
        <w:pStyle w:val="BodyText"/>
        <w:rPr>
          <w:sz w:val="20"/>
        </w:rPr>
      </w:pPr>
    </w:p>
    <w:p>
      <w:pPr>
        <w:pStyle w:val="BodyText"/>
        <w:spacing w:before="2"/>
      </w:pPr>
    </w:p>
    <w:p>
      <w:pPr>
        <w:pStyle w:val="BodyText"/>
        <w:spacing w:line="360" w:lineRule="auto" w:before="68"/>
        <w:ind w:left="100" w:right="115"/>
        <w:jc w:val="both"/>
      </w:pPr>
      <w:r>
        <w:rPr>
          <w:position w:val="2"/>
        </w:rPr>
        <w:t>where </w:t>
      </w:r>
      <w:r>
        <w:rPr>
          <w:i/>
          <w:position w:val="2"/>
        </w:rPr>
        <w:t>M </w:t>
      </w:r>
      <w:r>
        <w:rPr>
          <w:position w:val="2"/>
        </w:rPr>
        <w:t>is the equilibrium moisture content (kg H</w:t>
      </w:r>
      <w:r>
        <w:rPr>
          <w:sz w:val="16"/>
        </w:rPr>
        <w:t>2</w:t>
      </w:r>
      <w:r>
        <w:rPr>
          <w:position w:val="2"/>
        </w:rPr>
        <w:t>O/100 kg dry solids), </w:t>
      </w:r>
      <w:r>
        <w:rPr>
          <w:i/>
          <w:position w:val="2"/>
        </w:rPr>
        <w:t>M</w:t>
      </w:r>
      <w:r>
        <w:rPr>
          <w:i/>
          <w:sz w:val="16"/>
        </w:rPr>
        <w:t>0 </w:t>
      </w:r>
      <w:r>
        <w:rPr>
          <w:position w:val="2"/>
        </w:rPr>
        <w:t>is the monolayer content (kg H</w:t>
      </w:r>
      <w:r>
        <w:rPr>
          <w:sz w:val="16"/>
        </w:rPr>
        <w:t>2</w:t>
      </w:r>
      <w:r>
        <w:rPr>
          <w:position w:val="2"/>
        </w:rPr>
        <w:t>O/100 kg dry solids), </w:t>
      </w:r>
      <w:r>
        <w:rPr>
          <w:i/>
          <w:position w:val="2"/>
        </w:rPr>
        <w:t>C </w:t>
      </w:r>
      <w:r>
        <w:rPr>
          <w:position w:val="2"/>
        </w:rPr>
        <w:t>and </w:t>
      </w:r>
      <w:r>
        <w:rPr>
          <w:i/>
          <w:position w:val="2"/>
        </w:rPr>
        <w:t>K </w:t>
      </w:r>
      <w:r>
        <w:rPr>
          <w:position w:val="2"/>
        </w:rPr>
        <w:t>are the model constants and </w:t>
      </w:r>
      <w:r>
        <w:rPr>
          <w:i/>
          <w:position w:val="2"/>
        </w:rPr>
        <w:t>a</w:t>
      </w:r>
      <w:r>
        <w:rPr>
          <w:i/>
          <w:sz w:val="16"/>
        </w:rPr>
        <w:t>w </w:t>
      </w:r>
      <w:r>
        <w:rPr>
          <w:position w:val="2"/>
        </w:rPr>
        <w:t>is the water </w:t>
      </w:r>
      <w:r>
        <w:rPr/>
        <w:t>activity. The parameters were estimated by fitting the model to the experimental data, using non-linear regression with OriginPro 8.0 Software (OriginLab Corp., Northampton, MA, USA). Goodness of fit was evaluated determining the mean relative deviation modulus (</w:t>
      </w:r>
      <w:r>
        <w:rPr>
          <w:i/>
        </w:rPr>
        <w:t>E</w:t>
      </w:r>
      <w:r>
        <w:rPr/>
        <w:t>) between experimental data and estimated values of moisture content, by means of Eq. 2:</w:t>
      </w:r>
    </w:p>
    <w:p>
      <w:pPr>
        <w:pStyle w:val="BodyText"/>
        <w:rPr>
          <w:sz w:val="20"/>
        </w:rPr>
      </w:pPr>
    </w:p>
    <w:p>
      <w:pPr>
        <w:spacing w:after="0"/>
        <w:rPr>
          <w:sz w:val="20"/>
        </w:rPr>
        <w:sectPr>
          <w:type w:val="continuous"/>
          <w:pgSz w:w="11900" w:h="16840"/>
          <w:pgMar w:top="1580" w:bottom="280" w:left="1340" w:right="1320"/>
        </w:sectPr>
      </w:pPr>
    </w:p>
    <w:p>
      <w:pPr>
        <w:spacing w:line="429" w:lineRule="exact" w:before="247"/>
        <w:ind w:left="2826" w:right="0" w:firstLine="0"/>
        <w:jc w:val="left"/>
        <w:rPr>
          <w:rFonts w:ascii="Symbol" w:hAnsi="Symbol"/>
          <w:sz w:val="36"/>
        </w:rPr>
      </w:pPr>
      <w:r>
        <w:rPr/>
        <w:pict>
          <v:group style="position:absolute;margin-left:262.567383pt;margin-top:11.855264pt;width:50.3pt;height:16.650pt;mso-position-horizontal-relative:page;mso-position-vertical-relative:paragraph;z-index:1456" coordorigin="5251,237" coordsize="1006,333">
            <v:shape style="position:absolute;left:1144;top:5784;width:1003;height:320" coordorigin="1144,5784" coordsize="1003,320" path="m5282,243l5282,533m6223,243l6223,533m5257,564l6251,564e" filled="false" stroked="true" strokeweight=".59029pt" strokecolor="#000000">
              <v:path arrowok="t"/>
            </v:shape>
            <v:shape style="position:absolute;left:5251;top:237;width:1006;height:333" type="#_x0000_t202" filled="false" stroked="false">
              <v:textbox inset="0,0,0,0">
                <w:txbxContent>
                  <w:p>
                    <w:pPr>
                      <w:spacing w:line="302" w:lineRule="exact" w:before="0"/>
                      <w:ind w:left="63" w:right="0" w:firstLine="0"/>
                      <w:jc w:val="left"/>
                      <w:rPr>
                        <w:i/>
                        <w:sz w:val="14"/>
                      </w:rPr>
                    </w:pPr>
                    <w:r>
                      <w:rPr>
                        <w:i/>
                        <w:sz w:val="24"/>
                      </w:rPr>
                      <w:t>M</w:t>
                    </w:r>
                    <w:r>
                      <w:rPr>
                        <w:position w:val="-5"/>
                        <w:sz w:val="14"/>
                      </w:rPr>
                      <w:t>1 </w:t>
                    </w:r>
                    <w:r>
                      <w:rPr>
                        <w:rFonts w:ascii="Symbol" w:hAnsi="Symbol"/>
                        <w:sz w:val="24"/>
                      </w:rPr>
                      <w:t></w:t>
                    </w:r>
                    <w:r>
                      <w:rPr>
                        <w:sz w:val="24"/>
                      </w:rPr>
                      <w:t> </w:t>
                    </w:r>
                    <w:r>
                      <w:rPr>
                        <w:i/>
                        <w:sz w:val="24"/>
                      </w:rPr>
                      <w:t>M </w:t>
                    </w:r>
                    <w:r>
                      <w:rPr>
                        <w:i/>
                        <w:position w:val="-5"/>
                        <w:sz w:val="14"/>
                      </w:rPr>
                      <w:t>Ei</w:t>
                    </w:r>
                  </w:p>
                </w:txbxContent>
              </v:textbox>
              <w10:wrap type="none"/>
            </v:shape>
            <w10:wrap type="none"/>
          </v:group>
        </w:pict>
      </w:r>
      <w:r>
        <w:rPr>
          <w:i/>
          <w:position w:val="-14"/>
          <w:sz w:val="24"/>
        </w:rPr>
        <w:t>E </w:t>
      </w:r>
      <w:r>
        <w:rPr>
          <w:rFonts w:ascii="Symbol" w:hAnsi="Symbol"/>
          <w:position w:val="-14"/>
          <w:sz w:val="24"/>
        </w:rPr>
        <w:t></w:t>
      </w:r>
      <w:r>
        <w:rPr>
          <w:position w:val="-14"/>
          <w:sz w:val="24"/>
        </w:rPr>
        <w:t> </w:t>
      </w:r>
      <w:r>
        <w:rPr>
          <w:sz w:val="24"/>
          <w:u w:val="single"/>
        </w:rPr>
        <w:t>100 </w:t>
      </w:r>
      <w:r>
        <w:rPr>
          <w:rFonts w:ascii="Symbol" w:hAnsi="Symbol"/>
          <w:position w:val="-20"/>
          <w:sz w:val="36"/>
        </w:rPr>
        <w:t></w:t>
      </w:r>
    </w:p>
    <w:p>
      <w:pPr>
        <w:tabs>
          <w:tab w:pos="924" w:val="left" w:leader="none"/>
        </w:tabs>
        <w:spacing w:line="230" w:lineRule="exact" w:before="0"/>
        <w:ind w:left="0" w:right="0" w:firstLine="0"/>
        <w:jc w:val="right"/>
        <w:rPr>
          <w:i/>
          <w:sz w:val="14"/>
        </w:rPr>
      </w:pPr>
      <w:r>
        <w:rPr>
          <w:i/>
          <w:sz w:val="24"/>
        </w:rPr>
        <w:t>n</w:t>
        <w:tab/>
      </w:r>
      <w:r>
        <w:rPr>
          <w:i/>
          <w:spacing w:val="9"/>
          <w:sz w:val="24"/>
        </w:rPr>
        <w:t>M</w:t>
      </w:r>
      <w:r>
        <w:rPr>
          <w:i/>
          <w:spacing w:val="9"/>
          <w:position w:val="-5"/>
          <w:sz w:val="14"/>
        </w:rPr>
        <w:t>i</w:t>
      </w:r>
    </w:p>
    <w:p>
      <w:pPr>
        <w:pStyle w:val="BodyText"/>
        <w:spacing w:before="5"/>
        <w:rPr>
          <w:i/>
          <w:sz w:val="35"/>
        </w:rPr>
      </w:pPr>
      <w:r>
        <w:rPr/>
        <w:br w:type="column"/>
      </w:r>
      <w:r>
        <w:rPr>
          <w:i/>
          <w:sz w:val="35"/>
        </w:rPr>
      </w:r>
    </w:p>
    <w:p>
      <w:pPr>
        <w:pStyle w:val="BodyText"/>
        <w:ind w:left="1570" w:right="2774"/>
        <w:jc w:val="center"/>
      </w:pPr>
      <w:r>
        <w:rPr/>
        <w:t>(2)</w:t>
      </w:r>
    </w:p>
    <w:p>
      <w:pPr>
        <w:spacing w:after="0"/>
        <w:jc w:val="center"/>
        <w:sectPr>
          <w:type w:val="continuous"/>
          <w:pgSz w:w="11900" w:h="16840"/>
          <w:pgMar w:top="1580" w:bottom="280" w:left="1340" w:right="1320"/>
          <w:cols w:num="2" w:equalWidth="0">
            <w:col w:w="4535" w:space="40"/>
            <w:col w:w="4665"/>
          </w:cols>
        </w:sectPr>
      </w:pPr>
    </w:p>
    <w:p>
      <w:pPr>
        <w:pStyle w:val="BodyText"/>
        <w:rPr>
          <w:sz w:val="20"/>
        </w:rPr>
      </w:pPr>
    </w:p>
    <w:p>
      <w:pPr>
        <w:pStyle w:val="BodyText"/>
        <w:spacing w:before="9"/>
        <w:rPr>
          <w:sz w:val="23"/>
        </w:rPr>
      </w:pPr>
    </w:p>
    <w:p>
      <w:pPr>
        <w:pStyle w:val="BodyText"/>
        <w:spacing w:line="360" w:lineRule="auto" w:before="68"/>
        <w:ind w:left="100" w:right="122"/>
        <w:jc w:val="both"/>
      </w:pPr>
      <w:r>
        <w:rPr>
          <w:position w:val="2"/>
        </w:rPr>
        <w:t>where </w:t>
      </w:r>
      <w:r>
        <w:rPr>
          <w:i/>
          <w:position w:val="2"/>
        </w:rPr>
        <w:t>M</w:t>
      </w:r>
      <w:r>
        <w:rPr>
          <w:i/>
          <w:sz w:val="16"/>
        </w:rPr>
        <w:t>i </w:t>
      </w:r>
      <w:r>
        <w:rPr>
          <w:position w:val="2"/>
        </w:rPr>
        <w:t>is the moisture content at observation i, </w:t>
      </w:r>
      <w:r>
        <w:rPr>
          <w:i/>
          <w:position w:val="2"/>
        </w:rPr>
        <w:t>M</w:t>
      </w:r>
      <w:r>
        <w:rPr>
          <w:i/>
          <w:sz w:val="16"/>
        </w:rPr>
        <w:t>Ei </w:t>
      </w:r>
      <w:r>
        <w:rPr>
          <w:position w:val="2"/>
        </w:rPr>
        <w:t>is the moisture content estimated by the </w:t>
      </w:r>
      <w:r>
        <w:rPr/>
        <w:t>GAB model at that observation, and </w:t>
      </w:r>
      <w:r>
        <w:rPr>
          <w:i/>
        </w:rPr>
        <w:t>n </w:t>
      </w:r>
      <w:r>
        <w:rPr/>
        <w:t>is the number of experimental data. A good fit is considered when </w:t>
      </w:r>
      <w:r>
        <w:rPr>
          <w:i/>
        </w:rPr>
        <w:t>E </w:t>
      </w:r>
      <w:r>
        <w:rPr/>
        <w:t>&lt; 5 % (Chranioti et al</w:t>
      </w:r>
      <w:r>
        <w:rPr>
          <w:i/>
        </w:rPr>
        <w:t>., </w:t>
      </w:r>
      <w:r>
        <w:rPr/>
        <w:t>2015).</w:t>
      </w:r>
    </w:p>
    <w:p>
      <w:pPr>
        <w:pStyle w:val="BodyText"/>
      </w:pPr>
    </w:p>
    <w:p>
      <w:pPr>
        <w:pStyle w:val="ListParagraph"/>
        <w:numPr>
          <w:ilvl w:val="2"/>
          <w:numId w:val="10"/>
        </w:numPr>
        <w:tabs>
          <w:tab w:pos="705" w:val="left" w:leader="none"/>
        </w:tabs>
        <w:spacing w:line="240" w:lineRule="auto" w:before="140" w:after="0"/>
        <w:ind w:left="704" w:right="0" w:hanging="604"/>
        <w:jc w:val="both"/>
        <w:rPr>
          <w:sz w:val="16"/>
        </w:rPr>
      </w:pPr>
      <w:r>
        <w:rPr>
          <w:i/>
          <w:position w:val="2"/>
          <w:sz w:val="24"/>
        </w:rPr>
        <w:t>Integral entropy</w:t>
      </w:r>
      <w:r>
        <w:rPr>
          <w:i/>
          <w:spacing w:val="-7"/>
          <w:position w:val="2"/>
          <w:sz w:val="24"/>
        </w:rPr>
        <w:t> </w:t>
      </w:r>
      <w:r>
        <w:rPr>
          <w:position w:val="2"/>
          <w:sz w:val="24"/>
        </w:rPr>
        <w:t>(</w:t>
      </w:r>
      <w:r>
        <w:rPr>
          <w:i/>
          <w:position w:val="2"/>
          <w:sz w:val="24"/>
        </w:rPr>
        <w:t>ΔS</w:t>
      </w:r>
      <w:r>
        <w:rPr>
          <w:i/>
          <w:sz w:val="16"/>
        </w:rPr>
        <w:t>int</w:t>
      </w:r>
      <w:r>
        <w:rPr>
          <w:position w:val="2"/>
          <w:sz w:val="24"/>
        </w:rPr>
        <w:t>)</w:t>
      </w:r>
      <w:r>
        <w:rPr>
          <w:sz w:val="16"/>
        </w:rPr>
        <w:t>T</w:t>
      </w:r>
    </w:p>
    <w:p>
      <w:pPr>
        <w:pStyle w:val="BodyText"/>
        <w:spacing w:line="360" w:lineRule="auto" w:before="139"/>
        <w:ind w:left="100" w:right="117" w:firstLine="427"/>
        <w:jc w:val="both"/>
      </w:pPr>
      <w:r>
        <w:rPr/>
        <w:t>The integral entropy was calculated as stated by Velázquez-Gutiérrez et al. (2015) who have provided an exhaustive description of the procedure and equations to be used for this purpose. The integral entropy associated with the sorption process was obtained from Eq. (3).</w:t>
      </w:r>
    </w:p>
    <w:p>
      <w:pPr>
        <w:spacing w:after="0" w:line="360" w:lineRule="auto"/>
        <w:jc w:val="both"/>
        <w:sectPr>
          <w:type w:val="continuous"/>
          <w:pgSz w:w="11900" w:h="16840"/>
          <w:pgMar w:top="1580" w:bottom="280" w:left="1340" w:right="1320"/>
        </w:sectPr>
      </w:pPr>
    </w:p>
    <w:p>
      <w:pPr>
        <w:pStyle w:val="BodyText"/>
        <w:spacing w:before="11"/>
        <w:rPr>
          <w:sz w:val="15"/>
        </w:rPr>
      </w:pPr>
    </w:p>
    <w:p>
      <w:pPr>
        <w:spacing w:after="0"/>
        <w:rPr>
          <w:sz w:val="15"/>
        </w:rPr>
        <w:sectPr>
          <w:pgSz w:w="11900" w:h="16840"/>
          <w:pgMar w:header="0" w:footer="1026" w:top="1580" w:bottom="1220" w:left="1340" w:right="1320"/>
        </w:sectPr>
      </w:pPr>
    </w:p>
    <w:p>
      <w:pPr>
        <w:spacing w:line="192" w:lineRule="exact" w:before="207"/>
        <w:ind w:left="0" w:right="0" w:firstLine="0"/>
        <w:jc w:val="right"/>
        <w:rPr>
          <w:i/>
          <w:sz w:val="24"/>
        </w:rPr>
      </w:pPr>
      <w:r>
        <w:rPr>
          <w:sz w:val="24"/>
        </w:rPr>
        <w:t>(</w:t>
      </w:r>
      <w:r>
        <w:rPr>
          <w:rFonts w:ascii="Symbol" w:hAnsi="Symbol"/>
          <w:sz w:val="24"/>
        </w:rPr>
        <w:t></w:t>
      </w:r>
      <w:r>
        <w:rPr>
          <w:i/>
          <w:sz w:val="24"/>
        </w:rPr>
        <w:t>S</w:t>
      </w:r>
    </w:p>
    <w:p>
      <w:pPr>
        <w:spacing w:line="342" w:lineRule="exact" w:before="57"/>
        <w:ind w:left="141" w:right="0" w:firstLine="0"/>
        <w:jc w:val="left"/>
        <w:rPr>
          <w:i/>
          <w:sz w:val="24"/>
        </w:rPr>
      </w:pPr>
      <w:r>
        <w:rPr/>
        <w:br w:type="column"/>
      </w:r>
      <w:r>
        <w:rPr>
          <w:sz w:val="24"/>
        </w:rPr>
        <w:t>)  </w:t>
      </w:r>
      <w:r>
        <w:rPr>
          <w:rFonts w:ascii="Symbol" w:hAnsi="Symbol"/>
          <w:sz w:val="24"/>
        </w:rPr>
        <w:t></w:t>
      </w:r>
      <w:r>
        <w:rPr>
          <w:sz w:val="24"/>
        </w:rPr>
        <w:t> </w:t>
      </w:r>
      <w:r>
        <w:rPr>
          <w:i/>
          <w:sz w:val="24"/>
        </w:rPr>
        <w:t>S  </w:t>
      </w:r>
      <w:r>
        <w:rPr>
          <w:rFonts w:ascii="Symbol" w:hAnsi="Symbol"/>
          <w:sz w:val="24"/>
        </w:rPr>
        <w:t></w:t>
      </w:r>
      <w:r>
        <w:rPr>
          <w:sz w:val="24"/>
        </w:rPr>
        <w:t> </w:t>
      </w:r>
      <w:r>
        <w:rPr>
          <w:i/>
          <w:sz w:val="24"/>
        </w:rPr>
        <w:t>S  </w:t>
      </w:r>
      <w:r>
        <w:rPr>
          <w:rFonts w:ascii="Symbol" w:hAnsi="Symbol"/>
          <w:sz w:val="24"/>
        </w:rPr>
        <w:t></w:t>
      </w:r>
      <w:r>
        <w:rPr>
          <w:sz w:val="24"/>
        </w:rPr>
        <w:t> </w:t>
      </w:r>
      <w:r>
        <w:rPr>
          <w:position w:val="15"/>
          <w:sz w:val="24"/>
        </w:rPr>
        <w:t>(</w:t>
      </w:r>
      <w:r>
        <w:rPr>
          <w:rFonts w:ascii="Symbol" w:hAnsi="Symbol"/>
          <w:position w:val="15"/>
          <w:sz w:val="24"/>
        </w:rPr>
        <w:t></w:t>
      </w:r>
      <w:r>
        <w:rPr>
          <w:i/>
          <w:position w:val="15"/>
          <w:sz w:val="24"/>
        </w:rPr>
        <w:t>H</w:t>
      </w:r>
      <w:r>
        <w:rPr>
          <w:position w:val="9"/>
          <w:sz w:val="13"/>
        </w:rPr>
        <w:t>int </w:t>
      </w:r>
      <w:r>
        <w:rPr>
          <w:position w:val="15"/>
          <w:sz w:val="24"/>
        </w:rPr>
        <w:t>)</w:t>
      </w:r>
      <w:r>
        <w:rPr>
          <w:i/>
          <w:position w:val="9"/>
          <w:sz w:val="13"/>
        </w:rPr>
        <w:t>T   </w:t>
      </w:r>
      <w:r>
        <w:rPr>
          <w:rFonts w:ascii="Symbol" w:hAnsi="Symbol"/>
          <w:sz w:val="24"/>
        </w:rPr>
        <w:t></w:t>
      </w:r>
      <w:r>
        <w:rPr>
          <w:sz w:val="24"/>
        </w:rPr>
        <w:t> </w:t>
      </w:r>
      <w:r>
        <w:rPr>
          <w:i/>
          <w:sz w:val="24"/>
        </w:rPr>
        <w:t>R </w:t>
      </w:r>
      <w:r>
        <w:rPr>
          <w:sz w:val="24"/>
        </w:rPr>
        <w:t>ln </w:t>
      </w:r>
      <w:r>
        <w:rPr>
          <w:i/>
          <w:sz w:val="24"/>
        </w:rPr>
        <w:t>a</w:t>
      </w:r>
    </w:p>
    <w:p>
      <w:pPr>
        <w:pStyle w:val="BodyText"/>
        <w:spacing w:before="4"/>
        <w:rPr>
          <w:i/>
          <w:sz w:val="21"/>
        </w:rPr>
      </w:pPr>
      <w:r>
        <w:rPr/>
        <w:br w:type="column"/>
      </w:r>
      <w:r>
        <w:rPr>
          <w:i/>
          <w:sz w:val="21"/>
        </w:rPr>
      </w:r>
    </w:p>
    <w:p>
      <w:pPr>
        <w:pStyle w:val="BodyText"/>
        <w:spacing w:line="153" w:lineRule="exact"/>
        <w:ind w:left="1284" w:right="2077"/>
        <w:jc w:val="center"/>
      </w:pPr>
      <w:r>
        <w:rPr/>
        <w:t>(3)</w:t>
      </w:r>
    </w:p>
    <w:p>
      <w:pPr>
        <w:spacing w:after="0" w:line="153" w:lineRule="exact"/>
        <w:jc w:val="center"/>
        <w:sectPr>
          <w:type w:val="continuous"/>
          <w:pgSz w:w="11900" w:h="16840"/>
          <w:pgMar w:top="1580" w:bottom="280" w:left="1340" w:right="1320"/>
          <w:cols w:num="3" w:equalWidth="0">
            <w:col w:w="2470" w:space="40"/>
            <w:col w:w="3008" w:space="40"/>
            <w:col w:w="3682"/>
          </w:cols>
        </w:sectPr>
      </w:pPr>
    </w:p>
    <w:p>
      <w:pPr>
        <w:spacing w:line="139" w:lineRule="exact" w:before="0"/>
        <w:ind w:left="0" w:right="0" w:firstLine="0"/>
        <w:jc w:val="right"/>
        <w:rPr>
          <w:sz w:val="13"/>
        </w:rPr>
      </w:pPr>
      <w:r>
        <w:rPr/>
        <w:pict>
          <v:line style="position:absolute;mso-position-horizontal-relative:page;mso-position-vertical-relative:paragraph;z-index:-76000" from="264.801819pt,-.50664pt" to="305.489321pt,-.506628pt" stroked="true" strokeweight=".582325pt" strokecolor="#000000">
            <w10:wrap type="none"/>
          </v:line>
        </w:pict>
      </w:r>
      <w:r>
        <w:rPr>
          <w:w w:val="105"/>
          <w:sz w:val="13"/>
        </w:rPr>
        <w:t>int</w:t>
      </w:r>
    </w:p>
    <w:p>
      <w:pPr>
        <w:tabs>
          <w:tab w:pos="563" w:val="left" w:leader="none"/>
          <w:tab w:pos="982" w:val="left" w:leader="none"/>
          <w:tab w:pos="1619" w:val="left" w:leader="none"/>
          <w:tab w:pos="2860" w:val="left" w:leader="none"/>
        </w:tabs>
        <w:spacing w:line="283" w:lineRule="exact" w:before="0"/>
        <w:ind w:left="72" w:right="0" w:firstLine="0"/>
        <w:jc w:val="left"/>
        <w:rPr>
          <w:i/>
          <w:sz w:val="13"/>
        </w:rPr>
      </w:pPr>
      <w:r>
        <w:rPr/>
        <w:br w:type="column"/>
      </w:r>
      <w:r>
        <w:rPr>
          <w:i/>
          <w:w w:val="105"/>
          <w:sz w:val="13"/>
        </w:rPr>
        <w:t>T</w:t>
        <w:tab/>
        <w:t>s</w:t>
        <w:tab/>
        <w:t>l</w:t>
        <w:tab/>
      </w:r>
      <w:r>
        <w:rPr>
          <w:i/>
          <w:w w:val="105"/>
          <w:position w:val="-11"/>
          <w:sz w:val="24"/>
        </w:rPr>
        <w:t>T</w:t>
        <w:tab/>
      </w:r>
      <w:r>
        <w:rPr>
          <w:i/>
          <w:w w:val="105"/>
          <w:sz w:val="13"/>
        </w:rPr>
        <w:t>w</w:t>
      </w:r>
    </w:p>
    <w:p>
      <w:pPr>
        <w:spacing w:after="0" w:line="283" w:lineRule="exact"/>
        <w:jc w:val="left"/>
        <w:rPr>
          <w:sz w:val="13"/>
        </w:rPr>
        <w:sectPr>
          <w:type w:val="continuous"/>
          <w:pgSz w:w="11900" w:h="16840"/>
          <w:pgMar w:top="1580" w:bottom="280" w:left="1340" w:right="1320"/>
          <w:cols w:num="2" w:equalWidth="0">
            <w:col w:w="2618" w:space="40"/>
            <w:col w:w="6582"/>
          </w:cols>
        </w:sectPr>
      </w:pPr>
    </w:p>
    <w:p>
      <w:pPr>
        <w:pStyle w:val="BodyText"/>
        <w:rPr>
          <w:i/>
          <w:sz w:val="20"/>
        </w:rPr>
      </w:pPr>
    </w:p>
    <w:p>
      <w:pPr>
        <w:pStyle w:val="BodyText"/>
        <w:spacing w:before="2"/>
        <w:rPr>
          <w:i/>
        </w:rPr>
      </w:pPr>
    </w:p>
    <w:p>
      <w:pPr>
        <w:pStyle w:val="BodyText"/>
        <w:spacing w:line="357" w:lineRule="auto" w:before="68"/>
        <w:ind w:left="100" w:right="113"/>
        <w:jc w:val="both"/>
      </w:pPr>
      <w:r>
        <w:rPr>
          <w:position w:val="2"/>
        </w:rPr>
        <w:t>where </w:t>
      </w:r>
      <w:r>
        <w:rPr>
          <w:i/>
          <w:position w:val="2"/>
        </w:rPr>
        <w:t>S</w:t>
      </w:r>
      <w:r>
        <w:rPr>
          <w:i/>
          <w:sz w:val="16"/>
        </w:rPr>
        <w:t>s </w:t>
      </w:r>
      <w:r>
        <w:rPr>
          <w:position w:val="2"/>
        </w:rPr>
        <w:t>= </w:t>
      </w:r>
      <w:r>
        <w:rPr>
          <w:i/>
          <w:position w:val="2"/>
        </w:rPr>
        <w:t>S/N</w:t>
      </w:r>
      <w:r>
        <w:rPr>
          <w:i/>
          <w:sz w:val="16"/>
        </w:rPr>
        <w:t>1 </w:t>
      </w:r>
      <w:r>
        <w:rPr>
          <w:position w:val="2"/>
        </w:rPr>
        <w:t>is the integral entropy of water adsorbed in the polymeric matrix; </w:t>
      </w:r>
      <w:r>
        <w:rPr>
          <w:i/>
          <w:position w:val="2"/>
        </w:rPr>
        <w:t>S</w:t>
      </w:r>
      <w:r>
        <w:rPr>
          <w:i/>
          <w:sz w:val="16"/>
        </w:rPr>
        <w:t>l </w:t>
      </w:r>
      <w:r>
        <w:rPr>
          <w:position w:val="2"/>
        </w:rPr>
        <w:t>is the </w:t>
      </w:r>
      <w:r>
        <w:rPr/>
        <w:t>partial molar entropy of adsorbed water at constant temperature and pressure (kJ/mol) and </w:t>
      </w:r>
      <w:r>
        <w:rPr>
          <w:position w:val="2"/>
        </w:rPr>
        <w:t>(</w:t>
      </w:r>
      <w:r>
        <w:rPr>
          <w:i/>
          <w:position w:val="2"/>
        </w:rPr>
        <w:t>ΔS</w:t>
      </w:r>
      <w:r>
        <w:rPr>
          <w:i/>
          <w:sz w:val="16"/>
        </w:rPr>
        <w:t>int</w:t>
      </w:r>
      <w:r>
        <w:rPr>
          <w:position w:val="2"/>
        </w:rPr>
        <w:t>)</w:t>
      </w:r>
      <w:r>
        <w:rPr>
          <w:sz w:val="16"/>
        </w:rPr>
        <w:t>T  </w:t>
      </w:r>
      <w:r>
        <w:rPr>
          <w:position w:val="2"/>
        </w:rPr>
        <w:t>is the integral entropy at constant temperature.</w:t>
      </w:r>
    </w:p>
    <w:p>
      <w:pPr>
        <w:pStyle w:val="BodyText"/>
        <w:spacing w:line="362" w:lineRule="auto" w:before="3"/>
        <w:ind w:left="100" w:right="75" w:firstLine="427"/>
      </w:pPr>
      <w:r>
        <w:rPr>
          <w:position w:val="2"/>
        </w:rPr>
        <w:t>In order to obtain (</w:t>
      </w:r>
      <w:r>
        <w:rPr>
          <w:i/>
          <w:position w:val="2"/>
        </w:rPr>
        <w:t>ΔS</w:t>
      </w:r>
      <w:r>
        <w:rPr>
          <w:i/>
          <w:sz w:val="16"/>
        </w:rPr>
        <w:t>int</w:t>
      </w:r>
      <w:r>
        <w:rPr>
          <w:position w:val="2"/>
        </w:rPr>
        <w:t>)</w:t>
      </w:r>
      <w:r>
        <w:rPr>
          <w:sz w:val="16"/>
        </w:rPr>
        <w:t>T</w:t>
      </w:r>
      <w:r>
        <w:rPr>
          <w:position w:val="2"/>
        </w:rPr>
        <w:t>, the integral enthalpy was calculated from the Clausius- </w:t>
      </w:r>
      <w:r>
        <w:rPr/>
        <w:t>Clapeyron equation, at constant diffusion pressure or surface potential (Φ).</w:t>
      </w:r>
    </w:p>
    <w:p>
      <w:pPr>
        <w:pStyle w:val="BodyText"/>
        <w:rPr>
          <w:sz w:val="20"/>
        </w:rPr>
      </w:pPr>
    </w:p>
    <w:p>
      <w:pPr>
        <w:spacing w:after="0"/>
        <w:rPr>
          <w:sz w:val="20"/>
        </w:rPr>
        <w:sectPr>
          <w:type w:val="continuous"/>
          <w:pgSz w:w="11900" w:h="16840"/>
          <w:pgMar w:top="1580" w:bottom="280" w:left="1340" w:right="1320"/>
        </w:sectPr>
      </w:pPr>
    </w:p>
    <w:p>
      <w:pPr>
        <w:spacing w:line="261" w:lineRule="exact" w:before="217"/>
        <w:ind w:left="2260" w:right="-12" w:firstLine="0"/>
        <w:jc w:val="left"/>
        <w:rPr>
          <w:i/>
          <w:sz w:val="14"/>
        </w:rPr>
      </w:pPr>
      <w:r>
        <w:rPr>
          <w:rFonts w:ascii="Symbol" w:hAnsi="Symbol"/>
          <w:sz w:val="24"/>
        </w:rPr>
        <w:t></w:t>
      </w:r>
      <w:r>
        <w:rPr>
          <w:sz w:val="24"/>
        </w:rPr>
        <w:t> </w:t>
      </w:r>
      <w:r>
        <w:rPr>
          <w:rFonts w:ascii="Symbol" w:hAnsi="Symbol"/>
          <w:sz w:val="24"/>
        </w:rPr>
        <w:t></w:t>
      </w:r>
      <w:r>
        <w:rPr>
          <w:sz w:val="24"/>
        </w:rPr>
        <w:t> </w:t>
      </w:r>
      <w:r>
        <w:rPr>
          <w:spacing w:val="-3"/>
          <w:sz w:val="24"/>
        </w:rPr>
        <w:t>ln </w:t>
      </w:r>
      <w:r>
        <w:rPr>
          <w:i/>
          <w:spacing w:val="-9"/>
          <w:sz w:val="24"/>
        </w:rPr>
        <w:t>a</w:t>
      </w:r>
      <w:r>
        <w:rPr>
          <w:i/>
          <w:spacing w:val="-9"/>
          <w:position w:val="-5"/>
          <w:sz w:val="14"/>
        </w:rPr>
        <w:t>W    </w:t>
      </w:r>
      <w:r>
        <w:rPr>
          <w:rFonts w:ascii="Symbol" w:hAnsi="Symbol"/>
          <w:sz w:val="24"/>
        </w:rPr>
        <w:t></w:t>
      </w:r>
      <w:r>
        <w:rPr>
          <w:sz w:val="24"/>
        </w:rPr>
        <w:t>   </w:t>
      </w:r>
      <w:r>
        <w:rPr>
          <w:rFonts w:ascii="Symbol" w:hAnsi="Symbol"/>
          <w:position w:val="-14"/>
          <w:sz w:val="24"/>
        </w:rPr>
        <w:t></w:t>
      </w:r>
      <w:r>
        <w:rPr>
          <w:position w:val="-14"/>
          <w:sz w:val="24"/>
        </w:rPr>
        <w:t> </w:t>
      </w:r>
      <w:r>
        <w:rPr>
          <w:i/>
          <w:spacing w:val="8"/>
          <w:sz w:val="24"/>
        </w:rPr>
        <w:t>H</w:t>
      </w:r>
      <w:r>
        <w:rPr>
          <w:i/>
          <w:spacing w:val="8"/>
          <w:position w:val="-5"/>
          <w:sz w:val="14"/>
        </w:rPr>
        <w:t>s  </w:t>
      </w:r>
      <w:r>
        <w:rPr>
          <w:rFonts w:ascii="Symbol" w:hAnsi="Symbol"/>
          <w:sz w:val="24"/>
        </w:rPr>
        <w:t></w:t>
      </w:r>
      <w:r>
        <w:rPr>
          <w:sz w:val="24"/>
        </w:rPr>
        <w:t> </w:t>
      </w:r>
      <w:r>
        <w:rPr>
          <w:i/>
          <w:spacing w:val="4"/>
          <w:sz w:val="24"/>
        </w:rPr>
        <w:t>H</w:t>
      </w:r>
      <w:r>
        <w:rPr>
          <w:i/>
          <w:spacing w:val="4"/>
          <w:position w:val="-5"/>
          <w:sz w:val="14"/>
        </w:rPr>
        <w:t>l   </w:t>
      </w:r>
      <w:r>
        <w:rPr>
          <w:rFonts w:ascii="Symbol" w:hAnsi="Symbol"/>
          <w:position w:val="-14"/>
          <w:sz w:val="24"/>
        </w:rPr>
        <w:t></w:t>
      </w:r>
      <w:r>
        <w:rPr>
          <w:position w:val="-14"/>
          <w:sz w:val="24"/>
        </w:rPr>
        <w:t> </w:t>
      </w:r>
      <w:r>
        <w:rPr>
          <w:sz w:val="24"/>
        </w:rPr>
        <w:t>(</w:t>
      </w:r>
      <w:r>
        <w:rPr>
          <w:rFonts w:ascii="Symbol" w:hAnsi="Symbol"/>
          <w:sz w:val="24"/>
        </w:rPr>
        <w:t></w:t>
      </w:r>
      <w:r>
        <w:rPr>
          <w:i/>
          <w:sz w:val="24"/>
        </w:rPr>
        <w:t>H</w:t>
      </w:r>
      <w:r>
        <w:rPr>
          <w:position w:val="-5"/>
          <w:sz w:val="14"/>
        </w:rPr>
        <w:t>int </w:t>
      </w:r>
      <w:r>
        <w:rPr>
          <w:sz w:val="24"/>
        </w:rPr>
        <w:t>)</w:t>
      </w:r>
      <w:r>
        <w:rPr>
          <w:i/>
          <w:position w:val="-5"/>
          <w:sz w:val="14"/>
        </w:rPr>
        <w:t>T</w:t>
      </w:r>
    </w:p>
    <w:p>
      <w:pPr>
        <w:pStyle w:val="BodyText"/>
        <w:spacing w:before="1"/>
        <w:rPr>
          <w:i/>
          <w:sz w:val="33"/>
        </w:rPr>
      </w:pPr>
      <w:r>
        <w:rPr/>
        <w:br w:type="column"/>
      </w:r>
      <w:r>
        <w:rPr>
          <w:i/>
          <w:sz w:val="33"/>
        </w:rPr>
      </w:r>
    </w:p>
    <w:p>
      <w:pPr>
        <w:pStyle w:val="BodyText"/>
        <w:spacing w:line="97" w:lineRule="exact"/>
        <w:ind w:left="1244" w:right="2222"/>
        <w:jc w:val="center"/>
      </w:pPr>
      <w:r>
        <w:rPr/>
        <w:t>(4)</w:t>
      </w:r>
    </w:p>
    <w:p>
      <w:pPr>
        <w:spacing w:after="0" w:line="97" w:lineRule="exact"/>
        <w:jc w:val="center"/>
        <w:sectPr>
          <w:type w:val="continuous"/>
          <w:pgSz w:w="11900" w:h="16840"/>
          <w:pgMar w:top="1580" w:bottom="280" w:left="1340" w:right="1320"/>
          <w:cols w:num="2" w:equalWidth="0">
            <w:col w:w="5414" w:space="40"/>
            <w:col w:w="3786"/>
          </w:cols>
        </w:sectPr>
      </w:pPr>
    </w:p>
    <w:p>
      <w:pPr>
        <w:tabs>
          <w:tab w:pos="3925" w:val="left" w:leader="none"/>
          <w:tab w:pos="4984" w:val="left" w:leader="none"/>
        </w:tabs>
        <w:spacing w:line="376" w:lineRule="exact" w:before="0"/>
        <w:ind w:left="2260" w:right="75" w:firstLine="0"/>
        <w:jc w:val="left"/>
        <w:rPr>
          <w:i/>
          <w:sz w:val="24"/>
        </w:rPr>
      </w:pPr>
      <w:r>
        <w:rPr/>
        <w:pict>
          <v:line style="position:absolute;mso-position-horizontal-relative:page;mso-position-vertical-relative:paragraph;z-index:-75976" from="186.434738pt,3.72214pt" to="221.343594pt,3.72214pt" stroked="true" strokeweight=".577347pt" strokecolor="#000000">
            <w10:wrap type="none"/>
          </v:line>
        </w:pict>
      </w:r>
      <w:r>
        <w:rPr/>
        <w:pict>
          <v:line style="position:absolute;mso-position-horizontal-relative:page;mso-position-vertical-relative:paragraph;z-index:-75952" from="247.028076pt,3.72214pt" to="286.426669pt,3.72214pt" stroked="true" strokeweight=".577347pt" strokecolor="#000000">
            <w10:wrap type="none"/>
          </v:line>
        </w:pict>
      </w:r>
      <w:r>
        <w:rPr/>
        <w:pict>
          <v:line style="position:absolute;mso-position-horizontal-relative:page;mso-position-vertical-relative:paragraph;z-index:-75928" from="299.178894pt,3.72214pt" to="340.250594pt,3.72214pt" stroked="true" strokeweight=".577347pt" strokecolor="#000000">
            <w10:wrap type="none"/>
          </v:line>
        </w:pict>
      </w:r>
      <w:r>
        <w:rPr/>
        <w:pict>
          <v:shape style="position:absolute;margin-left:180.007401pt;margin-top:8.938545pt;width:53.4pt;height:12.65pt;mso-position-horizontal-relative:page;mso-position-vertical-relative:paragraph;z-index:-75880" type="#_x0000_t202" filled="false" stroked="false">
            <v:textbox inset="0,0,0,0">
              <w:txbxContent>
                <w:p>
                  <w:pPr>
                    <w:tabs>
                      <w:tab w:pos="861" w:val="left" w:leader="none"/>
                    </w:tabs>
                    <w:spacing w:line="252" w:lineRule="exact" w:before="0"/>
                    <w:ind w:left="0" w:right="0" w:firstLine="0"/>
                    <w:jc w:val="left"/>
                    <w:rPr>
                      <w:rFonts w:ascii="Symbol" w:hAnsi="Symbol"/>
                      <w:sz w:val="14"/>
                    </w:rPr>
                  </w:pPr>
                  <w:r>
                    <w:rPr>
                      <w:rFonts w:ascii="Symbol" w:hAnsi="Symbol"/>
                      <w:sz w:val="24"/>
                    </w:rPr>
                    <w:t></w:t>
                  </w:r>
                  <w:r>
                    <w:rPr>
                      <w:sz w:val="24"/>
                    </w:rPr>
                    <w:tab/>
                  </w:r>
                  <w:r>
                    <w:rPr>
                      <w:rFonts w:ascii="Symbol" w:hAnsi="Symbol"/>
                      <w:sz w:val="24"/>
                    </w:rPr>
                    <w:t></w:t>
                  </w:r>
                  <w:r>
                    <w:rPr>
                      <w:rFonts w:ascii="Symbol" w:hAnsi="Symbol"/>
                      <w:position w:val="-2"/>
                      <w:sz w:val="14"/>
                    </w:rPr>
                    <w:t></w:t>
                  </w:r>
                </w:p>
              </w:txbxContent>
            </v:textbox>
            <w10:wrap type="none"/>
          </v:shape>
        </w:pict>
      </w:r>
      <w:r>
        <w:rPr>
          <w:rFonts w:ascii="Symbol" w:hAnsi="Symbol"/>
          <w:position w:val="13"/>
          <w:sz w:val="24"/>
        </w:rPr>
        <w:t></w:t>
      </w:r>
      <w:r>
        <w:rPr>
          <w:spacing w:val="-13"/>
          <w:position w:val="13"/>
          <w:sz w:val="24"/>
        </w:rPr>
        <w:t> </w:t>
      </w:r>
      <w:r>
        <w:rPr>
          <w:rFonts w:ascii="Symbol" w:hAnsi="Symbol"/>
          <w:sz w:val="24"/>
        </w:rPr>
        <w:t></w:t>
      </w:r>
      <w:r>
        <w:rPr>
          <w:sz w:val="24"/>
        </w:rPr>
        <w:t>(1/</w:t>
      </w:r>
      <w:r>
        <w:rPr>
          <w:spacing w:val="-25"/>
          <w:sz w:val="24"/>
        </w:rPr>
        <w:t> </w:t>
      </w:r>
      <w:r>
        <w:rPr>
          <w:i/>
          <w:sz w:val="24"/>
        </w:rPr>
        <w:t>T</w:t>
      </w:r>
      <w:r>
        <w:rPr>
          <w:i/>
          <w:spacing w:val="-32"/>
          <w:sz w:val="24"/>
        </w:rPr>
        <w:t> </w:t>
      </w:r>
      <w:r>
        <w:rPr>
          <w:sz w:val="24"/>
        </w:rPr>
        <w:t>)</w:t>
      </w:r>
      <w:r>
        <w:rPr>
          <w:spacing w:val="-15"/>
          <w:sz w:val="24"/>
        </w:rPr>
        <w:t> </w:t>
      </w:r>
      <w:r>
        <w:rPr>
          <w:rFonts w:ascii="Symbol" w:hAnsi="Symbol"/>
          <w:position w:val="13"/>
          <w:sz w:val="24"/>
        </w:rPr>
        <w:t></w:t>
      </w:r>
      <w:r>
        <w:rPr>
          <w:position w:val="13"/>
          <w:sz w:val="24"/>
        </w:rPr>
        <w:tab/>
      </w:r>
      <w:r>
        <w:rPr>
          <w:i/>
          <w:sz w:val="24"/>
        </w:rPr>
        <w:t>R</w:t>
        <w:tab/>
        <w:t>R</w:t>
      </w:r>
    </w:p>
    <w:p>
      <w:pPr>
        <w:pStyle w:val="BodyText"/>
        <w:rPr>
          <w:i/>
          <w:sz w:val="20"/>
        </w:rPr>
      </w:pPr>
    </w:p>
    <w:p>
      <w:pPr>
        <w:pStyle w:val="BodyText"/>
        <w:rPr>
          <w:i/>
          <w:sz w:val="28"/>
        </w:rPr>
      </w:pPr>
    </w:p>
    <w:p>
      <w:pPr>
        <w:pStyle w:val="BodyText"/>
        <w:spacing w:line="355" w:lineRule="auto" w:before="68"/>
        <w:ind w:left="100" w:right="113"/>
        <w:jc w:val="both"/>
      </w:pPr>
      <w:r>
        <w:rPr>
          <w:position w:val="2"/>
        </w:rPr>
        <w:t>where </w:t>
      </w:r>
      <w:r>
        <w:rPr>
          <w:i/>
          <w:position w:val="2"/>
        </w:rPr>
        <w:t>H</w:t>
      </w:r>
      <w:r>
        <w:rPr>
          <w:i/>
          <w:sz w:val="16"/>
        </w:rPr>
        <w:t>s </w:t>
      </w:r>
      <w:r>
        <w:rPr>
          <w:spacing w:val="-3"/>
          <w:position w:val="2"/>
        </w:rPr>
        <w:t>is </w:t>
      </w:r>
      <w:r>
        <w:rPr>
          <w:position w:val="2"/>
        </w:rPr>
        <w:t>integral molar enthalpy </w:t>
      </w:r>
      <w:r>
        <w:rPr>
          <w:spacing w:val="4"/>
          <w:position w:val="2"/>
        </w:rPr>
        <w:t>of </w:t>
      </w:r>
      <w:r>
        <w:rPr>
          <w:position w:val="2"/>
        </w:rPr>
        <w:t>water adsorbed of the mucilage (kJ/mol), </w:t>
      </w:r>
      <w:r>
        <w:rPr>
          <w:i/>
          <w:position w:val="2"/>
        </w:rPr>
        <w:t>H</w:t>
      </w:r>
      <w:r>
        <w:rPr>
          <w:i/>
          <w:sz w:val="16"/>
        </w:rPr>
        <w:t>l </w:t>
      </w:r>
      <w:r>
        <w:rPr>
          <w:spacing w:val="-3"/>
          <w:position w:val="2"/>
        </w:rPr>
        <w:t>is </w:t>
      </w:r>
      <w:r>
        <w:rPr>
          <w:position w:val="2"/>
        </w:rPr>
        <w:t>the </w:t>
      </w:r>
      <w:r>
        <w:rPr/>
        <w:t>partial molar enthalpy </w:t>
      </w:r>
      <w:r>
        <w:rPr>
          <w:spacing w:val="4"/>
        </w:rPr>
        <w:t>of </w:t>
      </w:r>
      <w:r>
        <w:rPr/>
        <w:t>adsorbed water at constant temperature and pressure (kJ/mol), </w:t>
      </w:r>
      <w:r>
        <w:rPr>
          <w:i/>
        </w:rPr>
        <w:t>R </w:t>
      </w:r>
      <w:r>
        <w:rPr>
          <w:spacing w:val="-5"/>
        </w:rPr>
        <w:t>is </w:t>
      </w:r>
      <w:r>
        <w:rPr>
          <w:position w:val="2"/>
        </w:rPr>
        <w:t>universal gas constant (8.314 × 10</w:t>
      </w:r>
      <w:r>
        <w:rPr>
          <w:position w:val="11"/>
          <w:sz w:val="16"/>
        </w:rPr>
        <w:t>-3 </w:t>
      </w:r>
      <w:r>
        <w:rPr>
          <w:position w:val="2"/>
        </w:rPr>
        <w:t>kJ/mol K), and (</w:t>
      </w:r>
      <w:r>
        <w:rPr>
          <w:i/>
          <w:position w:val="2"/>
        </w:rPr>
        <w:t>ΔH</w:t>
      </w:r>
      <w:r>
        <w:rPr>
          <w:i/>
          <w:sz w:val="16"/>
        </w:rPr>
        <w:t>int</w:t>
      </w:r>
      <w:r>
        <w:rPr>
          <w:position w:val="2"/>
        </w:rPr>
        <w:t>)</w:t>
      </w:r>
      <w:r>
        <w:rPr>
          <w:sz w:val="16"/>
        </w:rPr>
        <w:t>T </w:t>
      </w:r>
      <w:r>
        <w:rPr>
          <w:spacing w:val="-5"/>
          <w:position w:val="2"/>
        </w:rPr>
        <w:t>is </w:t>
      </w:r>
      <w:r>
        <w:rPr>
          <w:position w:val="2"/>
        </w:rPr>
        <w:t>the integral enthalpy at a constant temperature (kJ/mol). A plot </w:t>
      </w:r>
      <w:r>
        <w:rPr>
          <w:spacing w:val="-3"/>
          <w:position w:val="2"/>
        </w:rPr>
        <w:t>in </w:t>
      </w:r>
      <w:r>
        <w:rPr>
          <w:position w:val="2"/>
        </w:rPr>
        <w:t>the form </w:t>
      </w:r>
      <w:r>
        <w:rPr>
          <w:spacing w:val="-3"/>
          <w:position w:val="2"/>
        </w:rPr>
        <w:t>ln </w:t>
      </w:r>
      <w:r>
        <w:rPr>
          <w:i/>
          <w:position w:val="2"/>
        </w:rPr>
        <w:t>a</w:t>
      </w:r>
      <w:r>
        <w:rPr>
          <w:i/>
          <w:sz w:val="16"/>
        </w:rPr>
        <w:t>W </w:t>
      </w:r>
      <w:r>
        <w:rPr>
          <w:position w:val="2"/>
        </w:rPr>
        <w:t>vs 1/T, for a specific  constant pressure of diffusion, (</w:t>
      </w:r>
      <w:r>
        <w:rPr>
          <w:i/>
          <w:position w:val="2"/>
        </w:rPr>
        <w:t>ΔH</w:t>
      </w:r>
      <w:r>
        <w:rPr>
          <w:i/>
          <w:sz w:val="16"/>
        </w:rPr>
        <w:t>int</w:t>
      </w:r>
      <w:r>
        <w:rPr>
          <w:position w:val="2"/>
        </w:rPr>
        <w:t>)</w:t>
      </w:r>
      <w:r>
        <w:rPr>
          <w:sz w:val="16"/>
        </w:rPr>
        <w:t>T  </w:t>
      </w:r>
      <w:r>
        <w:rPr>
          <w:spacing w:val="-5"/>
          <w:position w:val="2"/>
        </w:rPr>
        <w:t>is </w:t>
      </w:r>
      <w:r>
        <w:rPr>
          <w:position w:val="2"/>
        </w:rPr>
        <w:t>determined from the slope   (-</w:t>
      </w:r>
      <w:r>
        <w:rPr>
          <w:i/>
          <w:position w:val="2"/>
        </w:rPr>
        <w:t>ΔH</w:t>
      </w:r>
      <w:r>
        <w:rPr>
          <w:i/>
          <w:sz w:val="16"/>
        </w:rPr>
        <w:t>int</w:t>
      </w:r>
      <w:r>
        <w:rPr>
          <w:position w:val="2"/>
        </w:rPr>
        <w:t>)</w:t>
      </w:r>
      <w:r>
        <w:rPr>
          <w:sz w:val="16"/>
        </w:rPr>
        <w:t>T </w:t>
      </w:r>
      <w:r>
        <w:rPr>
          <w:position w:val="2"/>
        </w:rPr>
        <w:t>/</w:t>
      </w:r>
      <w:r>
        <w:rPr>
          <w:spacing w:val="-2"/>
          <w:position w:val="2"/>
        </w:rPr>
        <w:t> </w:t>
      </w:r>
      <w:r>
        <w:rPr>
          <w:spacing w:val="-4"/>
          <w:position w:val="2"/>
        </w:rPr>
        <w:t>R.</w:t>
      </w:r>
    </w:p>
    <w:p>
      <w:pPr>
        <w:pStyle w:val="BodyText"/>
        <w:spacing w:line="360" w:lineRule="auto" w:before="6"/>
        <w:ind w:left="100" w:right="75" w:firstLine="427"/>
      </w:pPr>
      <w:r>
        <w:rPr/>
        <w:t>For the above, the diffusion pressure was determined using the following expression (Nunes and Rotstein, 1991):</w:t>
      </w:r>
    </w:p>
    <w:p>
      <w:pPr>
        <w:pStyle w:val="BodyText"/>
        <w:rPr>
          <w:sz w:val="20"/>
        </w:rPr>
      </w:pPr>
    </w:p>
    <w:p>
      <w:pPr>
        <w:spacing w:after="0"/>
        <w:rPr>
          <w:sz w:val="20"/>
        </w:rPr>
        <w:sectPr>
          <w:type w:val="continuous"/>
          <w:pgSz w:w="11900" w:h="16840"/>
          <w:pgMar w:top="1580" w:bottom="280" w:left="1340" w:right="1320"/>
        </w:sectPr>
      </w:pPr>
    </w:p>
    <w:p>
      <w:pPr>
        <w:pStyle w:val="BodyText"/>
        <w:spacing w:before="7"/>
        <w:rPr>
          <w:sz w:val="33"/>
        </w:rPr>
      </w:pPr>
    </w:p>
    <w:p>
      <w:pPr>
        <w:pStyle w:val="BodyText"/>
        <w:spacing w:before="1"/>
        <w:jc w:val="right"/>
        <w:rPr>
          <w:rFonts w:ascii="Symbol" w:hAnsi="Symbol"/>
          <w:i/>
          <w:sz w:val="25"/>
        </w:rPr>
      </w:pPr>
      <w:r>
        <w:rPr>
          <w:rFonts w:ascii="Symbol" w:hAnsi="Symbol"/>
        </w:rPr>
        <w:t></w:t>
      </w:r>
      <w:r>
        <w:rPr/>
        <w:t> </w:t>
      </w:r>
      <w:r>
        <w:rPr>
          <w:rFonts w:ascii="Symbol" w:hAnsi="Symbol"/>
        </w:rPr>
        <w:t></w:t>
      </w:r>
      <w:r>
        <w:rPr/>
        <w:t> </w:t>
      </w:r>
      <w:r>
        <w:rPr>
          <w:rFonts w:ascii="Symbol" w:hAnsi="Symbol"/>
          <w:i/>
          <w:sz w:val="25"/>
        </w:rPr>
        <w:t></w:t>
      </w:r>
    </w:p>
    <w:p>
      <w:pPr>
        <w:pStyle w:val="BodyText"/>
        <w:spacing w:before="10"/>
        <w:rPr>
          <w:rFonts w:ascii="Symbol" w:hAnsi="Symbol"/>
          <w:i/>
          <w:sz w:val="31"/>
        </w:rPr>
      </w:pPr>
      <w:r>
        <w:rPr/>
        <w:br w:type="column"/>
      </w:r>
      <w:r>
        <w:rPr>
          <w:rFonts w:ascii="Symbol" w:hAnsi="Symbol"/>
          <w:i/>
          <w:sz w:val="31"/>
        </w:rPr>
      </w:r>
    </w:p>
    <w:p>
      <w:pPr>
        <w:spacing w:before="0"/>
        <w:ind w:left="-35" w:right="-16" w:firstLine="0"/>
        <w:jc w:val="left"/>
        <w:rPr>
          <w:i/>
          <w:sz w:val="14"/>
        </w:rPr>
      </w:pPr>
      <w:r>
        <w:rPr>
          <w:i/>
          <w:sz w:val="14"/>
        </w:rPr>
        <w:t>ap  </w:t>
      </w:r>
      <w:r>
        <w:rPr>
          <w:rFonts w:ascii="Symbol" w:hAnsi="Symbol"/>
          <w:position w:val="6"/>
          <w:sz w:val="24"/>
        </w:rPr>
        <w:t></w:t>
      </w:r>
      <w:r>
        <w:rPr>
          <w:spacing w:val="-31"/>
          <w:position w:val="6"/>
          <w:sz w:val="24"/>
        </w:rPr>
        <w:t> </w:t>
      </w:r>
      <w:r>
        <w:rPr>
          <w:rFonts w:ascii="Symbol" w:hAnsi="Symbol"/>
          <w:i/>
          <w:spacing w:val="2"/>
          <w:position w:val="6"/>
          <w:sz w:val="25"/>
        </w:rPr>
        <w:t></w:t>
      </w:r>
      <w:r>
        <w:rPr>
          <w:i/>
          <w:spacing w:val="2"/>
          <w:sz w:val="14"/>
        </w:rPr>
        <w:t>a</w:t>
      </w:r>
    </w:p>
    <w:p>
      <w:pPr>
        <w:pStyle w:val="BodyText"/>
        <w:spacing w:before="6"/>
        <w:rPr>
          <w:i/>
          <w:sz w:val="34"/>
        </w:rPr>
      </w:pPr>
      <w:r>
        <w:rPr/>
        <w:br w:type="column"/>
      </w:r>
      <w:r>
        <w:rPr>
          <w:i/>
          <w:sz w:val="34"/>
        </w:rPr>
      </w:r>
    </w:p>
    <w:p>
      <w:pPr>
        <w:spacing w:before="0"/>
        <w:ind w:left="41" w:right="-20" w:firstLine="0"/>
        <w:jc w:val="left"/>
        <w:rPr>
          <w:i/>
          <w:sz w:val="24"/>
        </w:rPr>
      </w:pPr>
      <w:r>
        <w:rPr>
          <w:rFonts w:ascii="Symbol" w:hAnsi="Symbol"/>
          <w:sz w:val="24"/>
        </w:rPr>
        <w:t></w:t>
      </w:r>
      <w:r>
        <w:rPr>
          <w:sz w:val="24"/>
        </w:rPr>
        <w:t> </w:t>
      </w:r>
      <w:r>
        <w:rPr>
          <w:i/>
          <w:sz w:val="24"/>
        </w:rPr>
        <w:t>RT</w:t>
      </w:r>
    </w:p>
    <w:p>
      <w:pPr>
        <w:spacing w:line="290" w:lineRule="auto" w:before="233"/>
        <w:ind w:left="55" w:right="-15" w:hanging="40"/>
        <w:jc w:val="left"/>
        <w:rPr>
          <w:i/>
          <w:sz w:val="14"/>
        </w:rPr>
      </w:pPr>
      <w:r>
        <w:rPr/>
        <w:br w:type="column"/>
      </w:r>
      <w:r>
        <w:rPr>
          <w:i/>
          <w:w w:val="95"/>
          <w:position w:val="6"/>
          <w:sz w:val="24"/>
        </w:rPr>
        <w:t>W</w:t>
      </w:r>
      <w:r>
        <w:rPr>
          <w:i/>
          <w:w w:val="95"/>
          <w:sz w:val="14"/>
        </w:rPr>
        <w:t>ap </w:t>
      </w:r>
      <w:r>
        <w:rPr>
          <w:i/>
          <w:sz w:val="24"/>
        </w:rPr>
        <w:t>W</w:t>
      </w:r>
      <w:r>
        <w:rPr>
          <w:i/>
          <w:position w:val="-5"/>
          <w:sz w:val="14"/>
        </w:rPr>
        <w:t>v</w:t>
      </w:r>
    </w:p>
    <w:p>
      <w:pPr>
        <w:pStyle w:val="BodyText"/>
        <w:spacing w:before="4"/>
        <w:rPr>
          <w:i/>
          <w:sz w:val="18"/>
        </w:rPr>
      </w:pPr>
      <w:r>
        <w:rPr/>
        <w:br w:type="column"/>
      </w:r>
      <w:r>
        <w:rPr>
          <w:i/>
          <w:sz w:val="18"/>
        </w:rPr>
      </w:r>
    </w:p>
    <w:p>
      <w:pPr>
        <w:spacing w:line="174" w:lineRule="exact" w:before="0"/>
        <w:ind w:left="40" w:right="-16" w:firstLine="0"/>
        <w:jc w:val="left"/>
        <w:rPr>
          <w:i/>
          <w:sz w:val="10"/>
        </w:rPr>
      </w:pPr>
      <w:r>
        <w:rPr>
          <w:i/>
          <w:sz w:val="14"/>
        </w:rPr>
        <w:t>a</w:t>
      </w:r>
      <w:r>
        <w:rPr>
          <w:i/>
          <w:position w:val="-3"/>
          <w:sz w:val="10"/>
        </w:rPr>
        <w:t>w</w:t>
      </w:r>
    </w:p>
    <w:p>
      <w:pPr>
        <w:spacing w:line="404" w:lineRule="exact" w:before="0"/>
        <w:ind w:left="66" w:right="-16" w:firstLine="0"/>
        <w:jc w:val="left"/>
        <w:rPr>
          <w:i/>
          <w:sz w:val="14"/>
        </w:rPr>
      </w:pPr>
      <w:r>
        <w:rPr>
          <w:rFonts w:ascii="Symbol" w:hAnsi="Symbol"/>
          <w:position w:val="-8"/>
          <w:sz w:val="36"/>
        </w:rPr>
        <w:t></w:t>
      </w:r>
      <w:r>
        <w:rPr>
          <w:spacing w:val="-68"/>
          <w:position w:val="-8"/>
          <w:sz w:val="36"/>
        </w:rPr>
        <w:t> </w:t>
      </w:r>
      <w:r>
        <w:rPr>
          <w:i/>
          <w:sz w:val="24"/>
        </w:rPr>
        <w:t>Md </w:t>
      </w:r>
      <w:r>
        <w:rPr>
          <w:sz w:val="24"/>
        </w:rPr>
        <w:t>ln </w:t>
      </w:r>
      <w:r>
        <w:rPr>
          <w:i/>
          <w:sz w:val="24"/>
        </w:rPr>
        <w:t>a</w:t>
      </w:r>
      <w:r>
        <w:rPr>
          <w:i/>
          <w:position w:val="-5"/>
          <w:sz w:val="14"/>
        </w:rPr>
        <w:t>w</w:t>
      </w:r>
    </w:p>
    <w:p>
      <w:pPr>
        <w:spacing w:line="142" w:lineRule="exact" w:before="0"/>
        <w:ind w:left="80" w:right="0" w:firstLine="0"/>
        <w:jc w:val="left"/>
        <w:rPr>
          <w:sz w:val="14"/>
        </w:rPr>
      </w:pPr>
      <w:r>
        <w:rPr>
          <w:w w:val="98"/>
          <w:sz w:val="14"/>
        </w:rPr>
        <w:t>0</w:t>
      </w:r>
    </w:p>
    <w:p>
      <w:pPr>
        <w:pStyle w:val="BodyText"/>
      </w:pPr>
      <w:r>
        <w:rPr/>
        <w:br w:type="column"/>
      </w:r>
      <w:r>
        <w:rPr/>
      </w:r>
    </w:p>
    <w:p>
      <w:pPr>
        <w:pStyle w:val="BodyText"/>
        <w:spacing w:before="141"/>
        <w:ind w:left="1244"/>
      </w:pPr>
      <w:r>
        <w:rPr/>
        <w:t>(5)</w:t>
      </w:r>
    </w:p>
    <w:p>
      <w:pPr>
        <w:spacing w:after="0"/>
        <w:sectPr>
          <w:type w:val="continuous"/>
          <w:pgSz w:w="11900" w:h="16840"/>
          <w:pgMar w:top="1580" w:bottom="280" w:left="1340" w:right="1320"/>
          <w:cols w:num="6" w:equalWidth="0">
            <w:col w:w="2831" w:space="40"/>
            <w:col w:w="558" w:space="40"/>
            <w:col w:w="513" w:space="40"/>
            <w:col w:w="343" w:space="40"/>
            <w:col w:w="1031" w:space="40"/>
            <w:col w:w="3764"/>
          </w:cols>
        </w:sectPr>
      </w:pPr>
    </w:p>
    <w:p>
      <w:pPr>
        <w:spacing w:line="173" w:lineRule="exact" w:before="139"/>
        <w:ind w:left="0" w:right="882" w:firstLine="0"/>
        <w:jc w:val="right"/>
        <w:rPr>
          <w:i/>
          <w:sz w:val="10"/>
        </w:rPr>
      </w:pPr>
      <w:r>
        <w:rPr/>
        <w:pict>
          <v:line style="position:absolute;mso-position-horizontal-relative:page;mso-position-vertical-relative:paragraph;z-index:-75904" from="269.187988pt,-20.278210pt" to="287.017241pt,-20.278207pt" stroked="true" strokeweight=".593528pt" strokecolor="#000000">
            <w10:wrap type="none"/>
          </v:line>
        </w:pict>
      </w:r>
      <w:r>
        <w:rPr>
          <w:i/>
          <w:sz w:val="14"/>
        </w:rPr>
        <w:t>a</w:t>
      </w:r>
      <w:r>
        <w:rPr>
          <w:i/>
          <w:position w:val="-3"/>
          <w:sz w:val="10"/>
        </w:rPr>
        <w:t>W</w:t>
      </w:r>
    </w:p>
    <w:p>
      <w:pPr>
        <w:spacing w:line="403" w:lineRule="exact" w:before="0"/>
        <w:ind w:left="2940" w:right="0" w:firstLine="0"/>
        <w:jc w:val="center"/>
        <w:rPr>
          <w:i/>
          <w:sz w:val="14"/>
        </w:rPr>
      </w:pPr>
      <w:r>
        <w:rPr>
          <w:rFonts w:ascii="Symbol" w:hAnsi="Symbol"/>
          <w:sz w:val="24"/>
        </w:rPr>
        <w:t></w:t>
      </w:r>
      <w:r>
        <w:rPr>
          <w:sz w:val="24"/>
        </w:rPr>
        <w:t> </w:t>
      </w:r>
      <w:r>
        <w:rPr>
          <w:rFonts w:ascii="Symbol" w:hAnsi="Symbol"/>
          <w:sz w:val="24"/>
        </w:rPr>
        <w:t></w:t>
      </w:r>
      <w:r>
        <w:rPr>
          <w:sz w:val="24"/>
        </w:rPr>
        <w:t> </w:t>
      </w:r>
      <w:r>
        <w:rPr>
          <w:rFonts w:ascii="Symbol" w:hAnsi="Symbol"/>
          <w:i/>
          <w:spacing w:val="-5"/>
          <w:sz w:val="25"/>
        </w:rPr>
        <w:t></w:t>
      </w:r>
      <w:r>
        <w:rPr>
          <w:spacing w:val="-5"/>
          <w:position w:val="-5"/>
          <w:sz w:val="14"/>
        </w:rPr>
        <w:t>1</w:t>
      </w:r>
      <w:r>
        <w:rPr>
          <w:i/>
          <w:spacing w:val="-5"/>
          <w:sz w:val="24"/>
        </w:rPr>
        <w:t>T </w:t>
      </w:r>
      <w:r>
        <w:rPr>
          <w:rFonts w:ascii="Symbol" w:hAnsi="Symbol"/>
          <w:position w:val="-8"/>
          <w:sz w:val="36"/>
        </w:rPr>
        <w:t></w:t>
      </w:r>
      <w:r>
        <w:rPr>
          <w:position w:val="-8"/>
          <w:sz w:val="36"/>
        </w:rPr>
        <w:t> </w:t>
      </w:r>
      <w:r>
        <w:rPr>
          <w:i/>
          <w:sz w:val="24"/>
        </w:rPr>
        <w:t>Md </w:t>
      </w:r>
      <w:r>
        <w:rPr>
          <w:sz w:val="24"/>
        </w:rPr>
        <w:t>ln</w:t>
      </w:r>
      <w:r>
        <w:rPr>
          <w:spacing w:val="-47"/>
          <w:sz w:val="24"/>
        </w:rPr>
        <w:t> </w:t>
      </w:r>
      <w:r>
        <w:rPr>
          <w:i/>
          <w:sz w:val="24"/>
        </w:rPr>
        <w:t>a</w:t>
      </w:r>
      <w:r>
        <w:rPr>
          <w:i/>
          <w:position w:val="-5"/>
          <w:sz w:val="14"/>
        </w:rPr>
        <w:t>w</w:t>
      </w:r>
    </w:p>
    <w:p>
      <w:pPr>
        <w:spacing w:line="142" w:lineRule="exact" w:before="0"/>
        <w:ind w:left="0" w:right="904" w:firstLine="0"/>
        <w:jc w:val="right"/>
        <w:rPr>
          <w:sz w:val="14"/>
        </w:rPr>
      </w:pPr>
      <w:r>
        <w:rPr>
          <w:w w:val="99"/>
          <w:sz w:val="14"/>
        </w:rPr>
        <w:t>0</w:t>
      </w:r>
    </w:p>
    <w:p>
      <w:pPr>
        <w:pStyle w:val="BodyText"/>
        <w:spacing w:before="1"/>
        <w:rPr>
          <w:sz w:val="30"/>
        </w:rPr>
      </w:pPr>
      <w:r>
        <w:rPr/>
        <w:br w:type="column"/>
      </w:r>
      <w:r>
        <w:rPr>
          <w:sz w:val="30"/>
        </w:rPr>
      </w:r>
    </w:p>
    <w:p>
      <w:pPr>
        <w:pStyle w:val="BodyText"/>
        <w:ind w:left="1236"/>
      </w:pPr>
      <w:r>
        <w:rPr/>
        <w:t>(6)</w:t>
      </w:r>
    </w:p>
    <w:p>
      <w:pPr>
        <w:spacing w:after="0"/>
        <w:sectPr>
          <w:type w:val="continuous"/>
          <w:pgSz w:w="11900" w:h="16840"/>
          <w:pgMar w:top="1580" w:bottom="280" w:left="1340" w:right="1320"/>
          <w:cols w:num="2" w:equalWidth="0">
            <w:col w:w="4764" w:space="40"/>
            <w:col w:w="4436"/>
          </w:cols>
        </w:sectPr>
      </w:pPr>
    </w:p>
    <w:p>
      <w:pPr>
        <w:pStyle w:val="BodyText"/>
        <w:rPr>
          <w:sz w:val="20"/>
        </w:rPr>
      </w:pPr>
    </w:p>
    <w:p>
      <w:pPr>
        <w:pStyle w:val="BodyText"/>
        <w:spacing w:before="5"/>
      </w:pPr>
    </w:p>
    <w:p>
      <w:pPr>
        <w:pStyle w:val="BodyText"/>
        <w:spacing w:line="360" w:lineRule="auto" w:before="68"/>
        <w:ind w:left="100" w:right="118"/>
        <w:jc w:val="both"/>
      </w:pPr>
      <w:r>
        <w:rPr>
          <w:position w:val="2"/>
        </w:rPr>
        <w:t>where </w:t>
      </w:r>
      <w:r>
        <w:rPr>
          <w:i/>
          <w:position w:val="2"/>
        </w:rPr>
        <w:t>μ</w:t>
      </w:r>
      <w:r>
        <w:rPr>
          <w:i/>
          <w:sz w:val="16"/>
        </w:rPr>
        <w:t>ap </w:t>
      </w:r>
      <w:r>
        <w:rPr>
          <w:position w:val="2"/>
        </w:rPr>
        <w:t>is the chemical potential of the pure adsorbent, </w:t>
      </w:r>
      <w:r>
        <w:rPr>
          <w:i/>
          <w:position w:val="2"/>
        </w:rPr>
        <w:t>μ</w:t>
      </w:r>
      <w:r>
        <w:rPr>
          <w:i/>
          <w:sz w:val="16"/>
        </w:rPr>
        <w:t>a </w:t>
      </w:r>
      <w:r>
        <w:rPr>
          <w:position w:val="2"/>
        </w:rPr>
        <w:t>is the chemical potential of the adsorbent in the condensed phase; </w:t>
      </w:r>
      <w:r>
        <w:rPr>
          <w:i/>
          <w:position w:val="2"/>
        </w:rPr>
        <w:t>W</w:t>
      </w:r>
      <w:r>
        <w:rPr>
          <w:i/>
          <w:sz w:val="16"/>
        </w:rPr>
        <w:t>ap </w:t>
      </w:r>
      <w:r>
        <w:rPr>
          <w:position w:val="2"/>
        </w:rPr>
        <w:t>is the molecular weight of the adsorbent; </w:t>
      </w:r>
      <w:r>
        <w:rPr>
          <w:i/>
          <w:position w:val="2"/>
        </w:rPr>
        <w:t>W</w:t>
      </w:r>
      <w:r>
        <w:rPr>
          <w:i/>
          <w:sz w:val="16"/>
        </w:rPr>
        <w:t>v </w:t>
      </w:r>
      <w:r>
        <w:rPr>
          <w:position w:val="2"/>
        </w:rPr>
        <w:t>is the molecular weight of water; and Φ</w:t>
      </w:r>
      <w:r>
        <w:rPr>
          <w:i/>
          <w:position w:val="2"/>
        </w:rPr>
        <w:t>/α</w:t>
      </w:r>
      <w:r>
        <w:rPr>
          <w:sz w:val="16"/>
        </w:rPr>
        <w:t>1  </w:t>
      </w:r>
      <w:r>
        <w:rPr>
          <w:position w:val="2"/>
        </w:rPr>
        <w:t>is a constant similar to a process at constant Φ.</w:t>
      </w:r>
    </w:p>
    <w:p>
      <w:pPr>
        <w:pStyle w:val="BodyText"/>
        <w:spacing w:line="357" w:lineRule="auto"/>
        <w:ind w:left="100" w:right="75" w:firstLine="427"/>
      </w:pPr>
      <w:r>
        <w:rPr>
          <w:position w:val="2"/>
        </w:rPr>
        <w:t>Equation (6) was evaluated stepwise. For </w:t>
      </w:r>
      <w:r>
        <w:rPr>
          <w:i/>
          <w:position w:val="2"/>
        </w:rPr>
        <w:t>a</w:t>
      </w:r>
      <w:r>
        <w:rPr>
          <w:i/>
          <w:sz w:val="16"/>
        </w:rPr>
        <w:t>w </w:t>
      </w:r>
      <w:r>
        <w:rPr>
          <w:position w:val="2"/>
        </w:rPr>
        <w:t>&lt; 0.05, the computed values of Φ at any </w:t>
      </w:r>
      <w:r>
        <w:rPr/>
        <w:t>temperature were determined assuming to follow the linear relationship of Henry’s law:</w:t>
      </w:r>
    </w:p>
    <w:p>
      <w:pPr>
        <w:pStyle w:val="BodyText"/>
        <w:rPr>
          <w:sz w:val="20"/>
        </w:rPr>
      </w:pPr>
    </w:p>
    <w:p>
      <w:pPr>
        <w:spacing w:after="0"/>
        <w:rPr>
          <w:sz w:val="20"/>
        </w:rPr>
        <w:sectPr>
          <w:type w:val="continuous"/>
          <w:pgSz w:w="11900" w:h="16840"/>
          <w:pgMar w:top="1580" w:bottom="280" w:left="1340" w:right="1320"/>
        </w:sectPr>
      </w:pPr>
    </w:p>
    <w:p>
      <w:pPr>
        <w:spacing w:before="200"/>
        <w:ind w:left="0" w:right="0" w:firstLine="0"/>
        <w:jc w:val="right"/>
        <w:rPr>
          <w:i/>
          <w:sz w:val="14"/>
        </w:rPr>
      </w:pPr>
      <w:r>
        <w:rPr>
          <w:i/>
          <w:sz w:val="24"/>
        </w:rPr>
        <w:t>M  </w:t>
      </w:r>
      <w:r>
        <w:rPr>
          <w:rFonts w:ascii="Symbol" w:hAnsi="Symbol"/>
          <w:sz w:val="24"/>
        </w:rPr>
        <w:t></w:t>
      </w:r>
      <w:r>
        <w:rPr>
          <w:sz w:val="24"/>
        </w:rPr>
        <w:t> </w:t>
      </w:r>
      <w:r>
        <w:rPr>
          <w:i/>
          <w:sz w:val="24"/>
        </w:rPr>
        <w:t>k</w:t>
      </w:r>
      <w:r>
        <w:rPr>
          <w:i/>
          <w:position w:val="-5"/>
          <w:sz w:val="14"/>
        </w:rPr>
        <w:t>w</w:t>
      </w:r>
      <w:r>
        <w:rPr>
          <w:i/>
          <w:sz w:val="24"/>
        </w:rPr>
        <w:t>a</w:t>
      </w:r>
      <w:r>
        <w:rPr>
          <w:i/>
          <w:position w:val="-5"/>
          <w:sz w:val="14"/>
        </w:rPr>
        <w:t>w</w:t>
      </w:r>
    </w:p>
    <w:p>
      <w:pPr>
        <w:pStyle w:val="BodyText"/>
        <w:spacing w:before="4"/>
        <w:rPr>
          <w:i/>
          <w:sz w:val="19"/>
        </w:rPr>
      </w:pPr>
      <w:r>
        <w:rPr/>
        <w:br w:type="column"/>
      </w:r>
      <w:r>
        <w:rPr>
          <w:i/>
          <w:sz w:val="19"/>
        </w:rPr>
      </w:r>
    </w:p>
    <w:p>
      <w:pPr>
        <w:pStyle w:val="BodyText"/>
        <w:ind w:left="1223"/>
      </w:pPr>
      <w:r>
        <w:rPr/>
        <w:t>(7)</w:t>
      </w:r>
    </w:p>
    <w:p>
      <w:pPr>
        <w:spacing w:after="0"/>
        <w:sectPr>
          <w:type w:val="continuous"/>
          <w:pgSz w:w="11900" w:h="16840"/>
          <w:pgMar w:top="1580" w:bottom="280" w:left="1340" w:right="1320"/>
          <w:cols w:num="2" w:equalWidth="0">
            <w:col w:w="4312" w:space="40"/>
            <w:col w:w="4888"/>
          </w:cols>
        </w:sectPr>
      </w:pPr>
    </w:p>
    <w:p>
      <w:pPr>
        <w:pStyle w:val="BodyText"/>
        <w:spacing w:before="5"/>
        <w:rPr>
          <w:sz w:val="15"/>
        </w:rPr>
      </w:pPr>
    </w:p>
    <w:p>
      <w:pPr>
        <w:pStyle w:val="BodyText"/>
        <w:spacing w:line="360" w:lineRule="auto" w:before="68"/>
        <w:ind w:left="100" w:right="118"/>
        <w:jc w:val="both"/>
      </w:pPr>
      <w:r>
        <w:rPr>
          <w:position w:val="2"/>
        </w:rPr>
        <w:t>where </w:t>
      </w:r>
      <w:r>
        <w:rPr>
          <w:i/>
          <w:position w:val="2"/>
        </w:rPr>
        <w:t>k</w:t>
      </w:r>
      <w:r>
        <w:rPr>
          <w:i/>
          <w:sz w:val="16"/>
        </w:rPr>
        <w:t>w </w:t>
      </w:r>
      <w:r>
        <w:rPr>
          <w:position w:val="2"/>
        </w:rPr>
        <w:t>is the slope of Equation (6). When </w:t>
      </w:r>
      <w:r>
        <w:rPr>
          <w:i/>
          <w:position w:val="2"/>
        </w:rPr>
        <w:t>a</w:t>
      </w:r>
      <w:r>
        <w:rPr>
          <w:i/>
          <w:sz w:val="16"/>
        </w:rPr>
        <w:t>w </w:t>
      </w:r>
      <w:r>
        <w:rPr>
          <w:position w:val="2"/>
        </w:rPr>
        <w:t>&lt; 0.05, the GAB model was used (Equation (1)). Hence, Equations (1) and (6) were substituted in Equation (4), to determine </w:t>
      </w:r>
      <w:r>
        <w:rPr>
          <w:i/>
          <w:position w:val="2"/>
        </w:rPr>
        <w:t>Φ/α</w:t>
      </w:r>
      <w:r>
        <w:rPr>
          <w:i/>
          <w:sz w:val="16"/>
        </w:rPr>
        <w:t>1 </w:t>
      </w:r>
      <w:r>
        <w:rPr>
          <w:position w:val="2"/>
        </w:rPr>
        <w:t>by the </w:t>
      </w:r>
      <w:r>
        <w:rPr/>
        <w:t>Runge-Kutta method with help of the MatLab 2013b Software (Math Works Inc., Natick, MA, USA).</w:t>
      </w:r>
    </w:p>
    <w:p>
      <w:pPr>
        <w:pStyle w:val="BodyText"/>
      </w:pPr>
    </w:p>
    <w:p>
      <w:pPr>
        <w:pStyle w:val="ListParagraph"/>
        <w:numPr>
          <w:ilvl w:val="2"/>
          <w:numId w:val="10"/>
        </w:numPr>
        <w:tabs>
          <w:tab w:pos="705" w:val="left" w:leader="none"/>
        </w:tabs>
        <w:spacing w:line="240" w:lineRule="auto" w:before="140" w:after="0"/>
        <w:ind w:left="704" w:right="0" w:hanging="604"/>
        <w:jc w:val="both"/>
        <w:rPr>
          <w:i/>
          <w:sz w:val="24"/>
        </w:rPr>
      </w:pPr>
      <w:r>
        <w:rPr>
          <w:i/>
          <w:sz w:val="24"/>
        </w:rPr>
        <w:t>Glass transition temperature</w:t>
      </w:r>
      <w:r>
        <w:rPr>
          <w:i/>
          <w:spacing w:val="-17"/>
          <w:sz w:val="24"/>
        </w:rPr>
        <w:t> </w:t>
      </w:r>
      <w:r>
        <w:rPr>
          <w:i/>
          <w:sz w:val="24"/>
        </w:rPr>
        <w:t>(Tg)</w:t>
      </w:r>
    </w:p>
    <w:p>
      <w:pPr>
        <w:pStyle w:val="BodyText"/>
        <w:spacing w:line="360" w:lineRule="auto" w:before="142"/>
        <w:ind w:left="100" w:right="117" w:firstLine="427"/>
        <w:jc w:val="both"/>
      </w:pPr>
      <w:r>
        <w:rPr/>
        <w:t>The glass transition temperature was determined by differential scanning calorimetry (DSC). About 4 </w:t>
      </w:r>
      <w:r>
        <w:rPr>
          <w:spacing w:val="-5"/>
        </w:rPr>
        <w:t>mg </w:t>
      </w:r>
      <w:r>
        <w:rPr>
          <w:spacing w:val="4"/>
        </w:rPr>
        <w:t>of </w:t>
      </w:r>
      <w:r>
        <w:rPr/>
        <w:t>microcapsules were place </w:t>
      </w:r>
      <w:r>
        <w:rPr>
          <w:spacing w:val="-3"/>
        </w:rPr>
        <w:t>in </w:t>
      </w:r>
      <w:r>
        <w:rPr/>
        <w:t>aluminium pans into a differential scanning calorimeter TA instruments (model Q1000 New Castle, DE, USA) and heated at  </w:t>
      </w:r>
      <w:r>
        <w:rPr>
          <w:spacing w:val="53"/>
        </w:rPr>
        <w:t> </w:t>
      </w:r>
      <w:r>
        <w:rPr/>
        <w:t>3</w:t>
      </w:r>
    </w:p>
    <w:p>
      <w:pPr>
        <w:pStyle w:val="BodyText"/>
        <w:spacing w:line="360" w:lineRule="auto" w:before="4"/>
        <w:ind w:left="100" w:right="113"/>
        <w:jc w:val="both"/>
      </w:pPr>
      <w:r>
        <w:rPr/>
        <w:t>°C/min from -160 °C to 200 °C. An empty pan was used as a reference. The data was analyzed using Universal Analysis 2000 software, version 4.7a (TA Instruments, New Castle, USA). The glass transition temperature was taken as the midpoint of the baseline shift in the second scan obtained in DSC.</w:t>
      </w:r>
    </w:p>
    <w:p>
      <w:pPr>
        <w:pStyle w:val="BodyText"/>
        <w:spacing w:line="362" w:lineRule="auto" w:before="4"/>
        <w:ind w:left="100" w:right="113"/>
        <w:jc w:val="both"/>
      </w:pPr>
      <w:r>
        <w:rPr/>
        <w:t>The Gordon-Taylor model (Equation (8)) was used to describe the plasticizing effect of water on the glass transition temperature (García et al</w:t>
      </w:r>
      <w:r>
        <w:rPr>
          <w:i/>
        </w:rPr>
        <w:t>.</w:t>
      </w:r>
      <w:r>
        <w:rPr/>
        <w:t>, 2012).</w:t>
      </w:r>
    </w:p>
    <w:p>
      <w:pPr>
        <w:pStyle w:val="BodyText"/>
        <w:rPr>
          <w:sz w:val="20"/>
        </w:rPr>
      </w:pPr>
    </w:p>
    <w:p>
      <w:pPr>
        <w:spacing w:after="0"/>
        <w:rPr>
          <w:sz w:val="20"/>
        </w:rPr>
        <w:sectPr>
          <w:footerReference w:type="default" r:id="rId22"/>
          <w:footerReference w:type="even" r:id="rId23"/>
          <w:pgSz w:w="11900" w:h="16840"/>
          <w:pgMar w:footer="1370" w:header="0" w:top="1580" w:bottom="1560" w:left="1340" w:right="1320"/>
          <w:pgNumType w:start="3"/>
        </w:sectPr>
      </w:pPr>
    </w:p>
    <w:p>
      <w:pPr>
        <w:spacing w:line="410" w:lineRule="exact" w:before="174"/>
        <w:ind w:left="2832" w:right="-13" w:firstLine="0"/>
        <w:jc w:val="left"/>
        <w:rPr>
          <w:i/>
          <w:sz w:val="14"/>
        </w:rPr>
      </w:pPr>
      <w:r>
        <w:rPr/>
        <w:pict>
          <v:line style="position:absolute;mso-position-horizontal-relative:page;mso-position-vertical-relative:paragraph;z-index:-75856" from="234.329681pt,26.141998pt" to="310.223006pt,26.141998pt" stroked="true" strokeweight=".602123pt" strokecolor="#000000">
            <w10:wrap type="none"/>
          </v:line>
        </w:pict>
      </w:r>
      <w:r>
        <w:rPr>
          <w:i/>
          <w:position w:val="-15"/>
          <w:sz w:val="25"/>
        </w:rPr>
        <w:t>Tg </w:t>
      </w:r>
      <w:r>
        <w:rPr>
          <w:rFonts w:ascii="Symbol" w:hAnsi="Symbol"/>
          <w:position w:val="-15"/>
          <w:sz w:val="25"/>
        </w:rPr>
        <w:t></w:t>
      </w:r>
      <w:r>
        <w:rPr>
          <w:position w:val="-15"/>
          <w:sz w:val="25"/>
        </w:rPr>
        <w:t> </w:t>
      </w:r>
      <w:r>
        <w:rPr>
          <w:i/>
          <w:sz w:val="25"/>
        </w:rPr>
        <w:t>w</w:t>
      </w:r>
      <w:r>
        <w:rPr>
          <w:i/>
          <w:position w:val="-5"/>
          <w:sz w:val="14"/>
        </w:rPr>
        <w:t>s</w:t>
      </w:r>
      <w:r>
        <w:rPr>
          <w:i/>
          <w:sz w:val="25"/>
        </w:rPr>
        <w:t>Tg</w:t>
      </w:r>
      <w:r>
        <w:rPr>
          <w:i/>
          <w:position w:val="-5"/>
          <w:sz w:val="14"/>
        </w:rPr>
        <w:t>s </w:t>
      </w:r>
      <w:r>
        <w:rPr>
          <w:rFonts w:ascii="Symbol" w:hAnsi="Symbol"/>
          <w:sz w:val="25"/>
        </w:rPr>
        <w:t></w:t>
      </w:r>
      <w:r>
        <w:rPr>
          <w:spacing w:val="-18"/>
          <w:sz w:val="25"/>
        </w:rPr>
        <w:t> </w:t>
      </w:r>
      <w:r>
        <w:rPr>
          <w:i/>
          <w:spacing w:val="-3"/>
          <w:sz w:val="25"/>
        </w:rPr>
        <w:t>kw</w:t>
      </w:r>
      <w:r>
        <w:rPr>
          <w:i/>
          <w:spacing w:val="-3"/>
          <w:position w:val="-5"/>
          <w:sz w:val="14"/>
        </w:rPr>
        <w:t>w</w:t>
      </w:r>
      <w:r>
        <w:rPr>
          <w:i/>
          <w:spacing w:val="-3"/>
          <w:sz w:val="25"/>
        </w:rPr>
        <w:t>Tg</w:t>
      </w:r>
      <w:r>
        <w:rPr>
          <w:i/>
          <w:spacing w:val="-3"/>
          <w:position w:val="-5"/>
          <w:sz w:val="14"/>
        </w:rPr>
        <w:t>w</w:t>
      </w:r>
    </w:p>
    <w:p>
      <w:pPr>
        <w:spacing w:line="286" w:lineRule="exact" w:before="0"/>
        <w:ind w:left="0" w:right="334" w:firstLine="0"/>
        <w:jc w:val="right"/>
        <w:rPr>
          <w:i/>
          <w:sz w:val="14"/>
        </w:rPr>
      </w:pPr>
      <w:r>
        <w:rPr>
          <w:i/>
          <w:sz w:val="25"/>
        </w:rPr>
        <w:t>w</w:t>
      </w:r>
      <w:r>
        <w:rPr>
          <w:i/>
          <w:position w:val="-5"/>
          <w:sz w:val="14"/>
        </w:rPr>
        <w:t>s  </w:t>
      </w:r>
      <w:r>
        <w:rPr>
          <w:rFonts w:ascii="Symbol" w:hAnsi="Symbol"/>
          <w:sz w:val="25"/>
        </w:rPr>
        <w:t></w:t>
      </w:r>
      <w:r>
        <w:rPr>
          <w:sz w:val="25"/>
        </w:rPr>
        <w:t> </w:t>
      </w:r>
      <w:r>
        <w:rPr>
          <w:i/>
          <w:sz w:val="25"/>
        </w:rPr>
        <w:t>kw</w:t>
      </w:r>
      <w:r>
        <w:rPr>
          <w:i/>
          <w:position w:val="-5"/>
          <w:sz w:val="14"/>
        </w:rPr>
        <w:t>w</w:t>
      </w:r>
    </w:p>
    <w:p>
      <w:pPr>
        <w:pStyle w:val="BodyText"/>
        <w:spacing w:before="1"/>
        <w:rPr>
          <w:i/>
          <w:sz w:val="33"/>
        </w:rPr>
      </w:pPr>
      <w:r>
        <w:rPr/>
        <w:br w:type="column"/>
      </w:r>
      <w:r>
        <w:rPr>
          <w:i/>
          <w:sz w:val="33"/>
        </w:rPr>
      </w:r>
    </w:p>
    <w:p>
      <w:pPr>
        <w:pStyle w:val="BodyText"/>
        <w:spacing w:before="1"/>
        <w:ind w:left="1263"/>
      </w:pPr>
      <w:r>
        <w:rPr/>
        <w:t>(8)</w:t>
      </w:r>
    </w:p>
    <w:p>
      <w:pPr>
        <w:spacing w:after="0"/>
        <w:sectPr>
          <w:type w:val="continuous"/>
          <w:pgSz w:w="11900" w:h="16840"/>
          <w:pgMar w:top="1580" w:bottom="280" w:left="1340" w:right="1320"/>
          <w:cols w:num="2" w:equalWidth="0">
            <w:col w:w="4833" w:space="40"/>
            <w:col w:w="4367"/>
          </w:cols>
        </w:sectPr>
      </w:pPr>
    </w:p>
    <w:p>
      <w:pPr>
        <w:pStyle w:val="BodyText"/>
        <w:rPr>
          <w:sz w:val="20"/>
        </w:rPr>
      </w:pPr>
    </w:p>
    <w:p>
      <w:pPr>
        <w:pStyle w:val="BodyText"/>
        <w:rPr>
          <w:sz w:val="25"/>
        </w:rPr>
      </w:pPr>
    </w:p>
    <w:p>
      <w:pPr>
        <w:pStyle w:val="BodyText"/>
        <w:spacing w:line="360" w:lineRule="auto" w:before="68"/>
        <w:ind w:left="100" w:right="118"/>
        <w:jc w:val="both"/>
      </w:pPr>
      <w:r>
        <w:rPr>
          <w:position w:val="2"/>
        </w:rPr>
        <w:t>where </w:t>
      </w:r>
      <w:r>
        <w:rPr>
          <w:i/>
          <w:position w:val="2"/>
        </w:rPr>
        <w:t>Tg, Tg</w:t>
      </w:r>
      <w:r>
        <w:rPr>
          <w:i/>
          <w:sz w:val="16"/>
        </w:rPr>
        <w:t>s </w:t>
      </w:r>
      <w:r>
        <w:rPr>
          <w:position w:val="2"/>
        </w:rPr>
        <w:t>and </w:t>
      </w:r>
      <w:r>
        <w:rPr>
          <w:i/>
          <w:position w:val="2"/>
        </w:rPr>
        <w:t>Tg</w:t>
      </w:r>
      <w:r>
        <w:rPr>
          <w:i/>
          <w:sz w:val="16"/>
        </w:rPr>
        <w:t>w </w:t>
      </w:r>
      <w:r>
        <w:rPr>
          <w:position w:val="2"/>
        </w:rPr>
        <w:t>(°C) are the glass transition of the microcapsules, the solid, and water, respectively; </w:t>
      </w:r>
      <w:r>
        <w:rPr>
          <w:spacing w:val="3"/>
          <w:position w:val="2"/>
        </w:rPr>
        <w:t>w</w:t>
      </w:r>
      <w:r>
        <w:rPr>
          <w:spacing w:val="3"/>
          <w:sz w:val="16"/>
        </w:rPr>
        <w:t>w </w:t>
      </w:r>
      <w:r>
        <w:rPr>
          <w:spacing w:val="-3"/>
          <w:position w:val="2"/>
        </w:rPr>
        <w:t>is </w:t>
      </w:r>
      <w:r>
        <w:rPr>
          <w:position w:val="2"/>
        </w:rPr>
        <w:t>the water weight fraction (kg water/kg total), </w:t>
      </w:r>
      <w:r>
        <w:rPr>
          <w:i/>
          <w:spacing w:val="-4"/>
          <w:position w:val="2"/>
        </w:rPr>
        <w:t>w</w:t>
      </w:r>
      <w:r>
        <w:rPr>
          <w:i/>
          <w:spacing w:val="-4"/>
          <w:sz w:val="16"/>
        </w:rPr>
        <w:t>s </w:t>
      </w:r>
      <w:r>
        <w:rPr>
          <w:spacing w:val="-3"/>
          <w:position w:val="2"/>
        </w:rPr>
        <w:t>is </w:t>
      </w:r>
      <w:r>
        <w:rPr>
          <w:position w:val="2"/>
        </w:rPr>
        <w:t>the solid  weight </w:t>
      </w:r>
      <w:r>
        <w:rPr/>
        <w:t>fraction (kg solid/kg total), and </w:t>
      </w:r>
      <w:r>
        <w:rPr>
          <w:i/>
        </w:rPr>
        <w:t>k </w:t>
      </w:r>
      <w:r>
        <w:rPr>
          <w:spacing w:val="-5"/>
        </w:rPr>
        <w:t>is </w:t>
      </w:r>
      <w:r>
        <w:rPr/>
        <w:t>the Gordon-Taylor parameter. Glass transition temperature of water was taken as -135 </w:t>
      </w:r>
      <w:r>
        <w:rPr>
          <w:spacing w:val="-3"/>
        </w:rPr>
        <w:t>°C </w:t>
      </w:r>
      <w:r>
        <w:rPr/>
        <w:t>(Guadarrama-Lezama et al.,</w:t>
      </w:r>
      <w:r>
        <w:rPr>
          <w:spacing w:val="-10"/>
        </w:rPr>
        <w:t> </w:t>
      </w:r>
      <w:r>
        <w:rPr/>
        <w:t>2014b).</w:t>
      </w:r>
    </w:p>
    <w:p>
      <w:pPr>
        <w:pStyle w:val="BodyText"/>
      </w:pPr>
    </w:p>
    <w:p>
      <w:pPr>
        <w:pStyle w:val="ListParagraph"/>
        <w:numPr>
          <w:ilvl w:val="2"/>
          <w:numId w:val="10"/>
        </w:numPr>
        <w:tabs>
          <w:tab w:pos="705" w:val="left" w:leader="none"/>
        </w:tabs>
        <w:spacing w:line="240" w:lineRule="auto" w:before="141" w:after="0"/>
        <w:ind w:left="704" w:right="0" w:hanging="604"/>
        <w:jc w:val="both"/>
        <w:rPr>
          <w:i/>
          <w:sz w:val="24"/>
        </w:rPr>
      </w:pPr>
      <w:r>
        <w:rPr>
          <w:i/>
          <w:sz w:val="24"/>
        </w:rPr>
        <w:t>Microcapsules</w:t>
      </w:r>
      <w:r>
        <w:rPr>
          <w:i/>
          <w:spacing w:val="-9"/>
          <w:sz w:val="24"/>
        </w:rPr>
        <w:t> </w:t>
      </w:r>
      <w:r>
        <w:rPr>
          <w:i/>
          <w:sz w:val="24"/>
        </w:rPr>
        <w:t>morphology</w:t>
      </w:r>
    </w:p>
    <w:p>
      <w:pPr>
        <w:pStyle w:val="BodyText"/>
        <w:spacing w:line="360" w:lineRule="auto" w:before="141"/>
        <w:ind w:left="100" w:right="110" w:firstLine="427"/>
        <w:jc w:val="both"/>
      </w:pPr>
      <w:r>
        <w:rPr/>
        <w:t>A JSM-7600F model scanning electron microscope (Jeol Co. Ltd., Tokyo, Japan) with the GB-H mode at 1 kV accelerating voltage was used </w:t>
      </w:r>
      <w:r>
        <w:rPr>
          <w:spacing w:val="2"/>
        </w:rPr>
        <w:t>to </w:t>
      </w:r>
      <w:r>
        <w:rPr/>
        <w:t>investigate the microstructural properties of the microcapsules stored </w:t>
      </w:r>
      <w:r>
        <w:rPr>
          <w:spacing w:val="-3"/>
        </w:rPr>
        <w:t>at </w:t>
      </w:r>
      <w:r>
        <w:rPr/>
        <w:t>the range of temperatures and </w:t>
      </w:r>
      <w:r>
        <w:rPr>
          <w:spacing w:val="2"/>
        </w:rPr>
        <w:t>water </w:t>
      </w:r>
      <w:r>
        <w:rPr/>
        <w:t>activities used for constructing the sorption isotherms. The samples were mounted on carbon </w:t>
      </w:r>
      <w:r>
        <w:rPr>
          <w:spacing w:val="-3"/>
        </w:rPr>
        <w:t>sample </w:t>
      </w:r>
      <w:r>
        <w:rPr/>
        <w:t>holders using double-side sticky tape. Micrographs at different magnifications were presented. Samples were not metalized since the microscopy equipment operates under ultra-vacuum conditions (Guadarrama-Lezama et </w:t>
      </w:r>
      <w:r>
        <w:rPr>
          <w:spacing w:val="-3"/>
        </w:rPr>
        <w:t>al.,</w:t>
      </w:r>
      <w:r>
        <w:rPr>
          <w:spacing w:val="-8"/>
        </w:rPr>
        <w:t> </w:t>
      </w:r>
      <w:r>
        <w:rPr/>
        <w:t>2014b).</w:t>
      </w:r>
    </w:p>
    <w:p>
      <w:pPr>
        <w:spacing w:after="0" w:line="360" w:lineRule="auto"/>
        <w:jc w:val="both"/>
        <w:sectPr>
          <w:type w:val="continuous"/>
          <w:pgSz w:w="11900" w:h="16840"/>
          <w:pgMar w:top="1580" w:bottom="280" w:left="1340" w:right="1320"/>
        </w:sectPr>
      </w:pPr>
    </w:p>
    <w:p>
      <w:pPr>
        <w:pStyle w:val="ListParagraph"/>
        <w:numPr>
          <w:ilvl w:val="2"/>
          <w:numId w:val="10"/>
        </w:numPr>
        <w:tabs>
          <w:tab w:pos="705" w:val="left" w:leader="none"/>
        </w:tabs>
        <w:spacing w:line="240" w:lineRule="auto" w:before="54" w:after="0"/>
        <w:ind w:left="704" w:right="0" w:hanging="604"/>
        <w:jc w:val="both"/>
        <w:rPr>
          <w:i/>
          <w:sz w:val="24"/>
        </w:rPr>
      </w:pPr>
      <w:r>
        <w:rPr>
          <w:i/>
          <w:sz w:val="24"/>
        </w:rPr>
        <w:t>Oxidation </w:t>
      </w:r>
      <w:r>
        <w:rPr>
          <w:i/>
          <w:spacing w:val="-3"/>
          <w:sz w:val="24"/>
        </w:rPr>
        <w:t>of </w:t>
      </w:r>
      <w:r>
        <w:rPr>
          <w:i/>
          <w:sz w:val="24"/>
        </w:rPr>
        <w:t>microencapsulated and bulk chia</w:t>
      </w:r>
      <w:r>
        <w:rPr>
          <w:i/>
          <w:spacing w:val="-4"/>
          <w:sz w:val="24"/>
        </w:rPr>
        <w:t> </w:t>
      </w:r>
      <w:r>
        <w:rPr>
          <w:i/>
          <w:sz w:val="24"/>
        </w:rPr>
        <w:t>oil</w:t>
      </w:r>
    </w:p>
    <w:p>
      <w:pPr>
        <w:pStyle w:val="BodyText"/>
        <w:spacing w:line="360" w:lineRule="auto" w:before="137"/>
        <w:ind w:left="100" w:right="114" w:firstLine="427"/>
        <w:jc w:val="both"/>
      </w:pPr>
      <w:r>
        <w:rPr/>
        <w:t>For chia oil oxidation assessment, microcapsules and bulk chia oil were stored at 25, 35 and 40 °C and water activities ranging from 0.105 to 0.765. </w:t>
      </w:r>
      <w:r>
        <w:rPr>
          <w:spacing w:val="-3"/>
        </w:rPr>
        <w:t>Lipid </w:t>
      </w:r>
      <w:r>
        <w:rPr/>
        <w:t>oxidation was evaluated through the peroxide value (PV) expressed as milliequivalents of active oxygen per kilogram of oil (mEq/kg oil). The oil </w:t>
      </w:r>
      <w:r>
        <w:rPr>
          <w:spacing w:val="-3"/>
        </w:rPr>
        <w:t>in </w:t>
      </w:r>
      <w:r>
        <w:rPr/>
        <w:t>the microcapsules was extracted according </w:t>
      </w:r>
      <w:r>
        <w:rPr>
          <w:spacing w:val="2"/>
        </w:rPr>
        <w:t>to </w:t>
      </w:r>
      <w:r>
        <w:rPr/>
        <w:t>the method proposed by Partanen et </w:t>
      </w:r>
      <w:r>
        <w:rPr>
          <w:spacing w:val="-3"/>
        </w:rPr>
        <w:t>al. </w:t>
      </w:r>
      <w:r>
        <w:rPr/>
        <w:t>(2008). Briefly, 1.0 g of microcapsules was weighted and dissolved </w:t>
      </w:r>
      <w:r>
        <w:rPr>
          <w:spacing w:val="-3"/>
        </w:rPr>
        <w:t>in </w:t>
      </w:r>
      <w:r>
        <w:rPr/>
        <w:t>10 </w:t>
      </w:r>
      <w:r>
        <w:rPr>
          <w:spacing w:val="-3"/>
        </w:rPr>
        <w:t>mL </w:t>
      </w:r>
      <w:r>
        <w:rPr/>
        <w:t>of water. A 400 μL portion of the dissolved microcapsules was mixed with 1.5 </w:t>
      </w:r>
      <w:r>
        <w:rPr>
          <w:spacing w:val="-5"/>
        </w:rPr>
        <w:t>mL </w:t>
      </w:r>
      <w:r>
        <w:rPr>
          <w:spacing w:val="4"/>
        </w:rPr>
        <w:t>of </w:t>
      </w:r>
      <w:r>
        <w:rPr/>
        <w:t>an iso-octane/isopropanol (2:1 v/v) solution, which then was vortexed three times for 10 s. The phases were separated and the upper phase was taken for further</w:t>
      </w:r>
      <w:r>
        <w:rPr>
          <w:spacing w:val="-34"/>
        </w:rPr>
        <w:t> </w:t>
      </w:r>
      <w:r>
        <w:rPr/>
        <w:t>analysis.</w:t>
      </w:r>
    </w:p>
    <w:p>
      <w:pPr>
        <w:pStyle w:val="BodyText"/>
        <w:spacing w:line="360" w:lineRule="auto" w:before="4"/>
        <w:ind w:left="100" w:right="112" w:firstLine="427"/>
        <w:jc w:val="both"/>
      </w:pPr>
      <w:r>
        <w:rPr/>
        <w:t>The peroxide value corresponding to microencapsulated as well as bulk chia oil was determined spectrophotometrically according to Shantha and Decker (1994). A 400 μL portion of extraction medium (or 0.2 g in the case of bulk oil) was added to 9.6 mL of a chloroform/methanol (7:3 v/v) mixture. For colour formation, 50 μL of an ammonium thiocyanate/iron (II) chloride solution was added. The sample was vortexed for 4 s, reacted in the dark for exactly 5 min, and absorbance was measured at 500 nm in a Genesis 10 UV spectrometer (Thermo Scientific, Waltham, MA, USA). Microcapsules and bulk chia oil samples were analyzed for 45 days.</w:t>
      </w:r>
    </w:p>
    <w:p>
      <w:pPr>
        <w:pStyle w:val="BodyText"/>
      </w:pPr>
    </w:p>
    <w:p>
      <w:pPr>
        <w:pStyle w:val="ListParagraph"/>
        <w:numPr>
          <w:ilvl w:val="2"/>
          <w:numId w:val="10"/>
        </w:numPr>
        <w:tabs>
          <w:tab w:pos="705" w:val="left" w:leader="none"/>
        </w:tabs>
        <w:spacing w:line="240" w:lineRule="auto" w:before="140" w:after="0"/>
        <w:ind w:left="704" w:right="0" w:hanging="604"/>
        <w:jc w:val="both"/>
        <w:rPr>
          <w:i/>
          <w:sz w:val="24"/>
        </w:rPr>
      </w:pPr>
      <w:r>
        <w:rPr>
          <w:i/>
          <w:sz w:val="24"/>
        </w:rPr>
        <w:t>Kinetic analysis </w:t>
      </w:r>
      <w:r>
        <w:rPr>
          <w:i/>
          <w:spacing w:val="-3"/>
          <w:sz w:val="24"/>
        </w:rPr>
        <w:t>of </w:t>
      </w:r>
      <w:r>
        <w:rPr>
          <w:i/>
          <w:sz w:val="24"/>
        </w:rPr>
        <w:t>lipid</w:t>
      </w:r>
      <w:r>
        <w:rPr>
          <w:i/>
          <w:spacing w:val="4"/>
          <w:sz w:val="24"/>
        </w:rPr>
        <w:t> </w:t>
      </w:r>
      <w:r>
        <w:rPr>
          <w:i/>
          <w:sz w:val="24"/>
        </w:rPr>
        <w:t>oxidation</w:t>
      </w:r>
    </w:p>
    <w:p>
      <w:pPr>
        <w:pStyle w:val="BodyText"/>
        <w:spacing w:before="141"/>
        <w:ind w:left="100"/>
        <w:jc w:val="both"/>
      </w:pPr>
      <w:r>
        <w:rPr/>
        <w:t>The data of </w:t>
      </w:r>
      <w:r>
        <w:rPr>
          <w:spacing w:val="-3"/>
        </w:rPr>
        <w:t>lipid </w:t>
      </w:r>
      <w:r>
        <w:rPr/>
        <w:t>peroxidation </w:t>
      </w:r>
      <w:r>
        <w:rPr>
          <w:spacing w:val="4"/>
        </w:rPr>
        <w:t>of </w:t>
      </w:r>
      <w:r>
        <w:rPr/>
        <w:t>microencapsulated and bulk CO stored </w:t>
      </w:r>
      <w:r>
        <w:rPr>
          <w:spacing w:val="-3"/>
        </w:rPr>
        <w:t>at </w:t>
      </w:r>
      <w:r>
        <w:rPr/>
        <w:t>water activities</w:t>
      </w:r>
      <w:r>
        <w:rPr>
          <w:spacing w:val="57"/>
        </w:rPr>
        <w:t> </w:t>
      </w:r>
      <w:r>
        <w:rPr>
          <w:spacing w:val="4"/>
        </w:rPr>
        <w:t>of</w:t>
      </w:r>
    </w:p>
    <w:p>
      <w:pPr>
        <w:pStyle w:val="BodyText"/>
        <w:spacing w:line="360" w:lineRule="auto" w:before="137"/>
        <w:ind w:left="100" w:right="118"/>
        <w:jc w:val="both"/>
      </w:pPr>
      <w:r>
        <w:rPr/>
        <w:t>0.105 – 0.765 and 25, 35 and 40 ºC were fitted to zero-, first-, and second-order kinetics model, using Equations (9), (10), and (11), respectively (Levenspiel, 1999; Charoen et al., 2015):</w:t>
      </w:r>
    </w:p>
    <w:p>
      <w:pPr>
        <w:pStyle w:val="BodyText"/>
        <w:rPr>
          <w:sz w:val="20"/>
        </w:rPr>
      </w:pPr>
    </w:p>
    <w:p>
      <w:pPr>
        <w:spacing w:after="0"/>
        <w:rPr>
          <w:sz w:val="20"/>
        </w:rPr>
        <w:sectPr>
          <w:pgSz w:w="11900" w:h="16840"/>
          <w:pgMar w:header="0" w:footer="1026" w:top="1360" w:bottom="1220" w:left="1340" w:right="1320"/>
        </w:sectPr>
      </w:pPr>
    </w:p>
    <w:p>
      <w:pPr>
        <w:spacing w:before="203"/>
        <w:ind w:left="2980" w:right="0" w:firstLine="0"/>
        <w:jc w:val="left"/>
        <w:rPr>
          <w:i/>
          <w:sz w:val="15"/>
        </w:rPr>
      </w:pPr>
      <w:r>
        <w:rPr/>
        <w:pict>
          <v:shape style="position:absolute;margin-left:300.944580pt;margin-top:23.659145pt;width:2.7pt;height:5.45pt;mso-position-horizontal-relative:page;mso-position-vertical-relative:paragraph;z-index:1648" type="#_x0000_t202" filled="false" stroked="false">
            <v:textbox inset="0,0,0,0">
              <w:txbxContent>
                <w:p>
                  <w:pPr>
                    <w:spacing w:line="108" w:lineRule="exact" w:before="0"/>
                    <w:ind w:left="0" w:right="0" w:firstLine="0"/>
                    <w:jc w:val="left"/>
                    <w:rPr>
                      <w:sz w:val="11"/>
                    </w:rPr>
                  </w:pPr>
                  <w:r>
                    <w:rPr>
                      <w:w w:val="97"/>
                      <w:sz w:val="11"/>
                    </w:rPr>
                    <w:t>0</w:t>
                  </w:r>
                </w:p>
              </w:txbxContent>
            </v:textbox>
            <w10:wrap type="none"/>
          </v:shape>
        </w:pict>
      </w:r>
      <w:r>
        <w:rPr>
          <w:i/>
          <w:spacing w:val="-4"/>
          <w:sz w:val="25"/>
        </w:rPr>
        <w:t>C</w:t>
      </w:r>
      <w:r>
        <w:rPr>
          <w:i/>
          <w:spacing w:val="-4"/>
          <w:position w:val="-6"/>
          <w:sz w:val="15"/>
        </w:rPr>
        <w:t>HP  </w:t>
      </w:r>
      <w:r>
        <w:rPr>
          <w:rFonts w:ascii="Symbol" w:hAnsi="Symbol"/>
          <w:sz w:val="25"/>
        </w:rPr>
        <w:t></w:t>
      </w:r>
      <w:r>
        <w:rPr>
          <w:sz w:val="25"/>
        </w:rPr>
        <w:t> </w:t>
      </w:r>
      <w:r>
        <w:rPr>
          <w:rFonts w:ascii="Symbol" w:hAnsi="Symbol"/>
          <w:sz w:val="25"/>
        </w:rPr>
        <w:t></w:t>
      </w:r>
      <w:r>
        <w:rPr>
          <w:i/>
          <w:sz w:val="25"/>
        </w:rPr>
        <w:t>k</w:t>
      </w:r>
      <w:r>
        <w:rPr>
          <w:i/>
          <w:position w:val="-6"/>
          <w:sz w:val="15"/>
        </w:rPr>
        <w:t>HP</w:t>
      </w:r>
      <w:r>
        <w:rPr>
          <w:i/>
          <w:sz w:val="25"/>
        </w:rPr>
        <w:t>t </w:t>
      </w:r>
      <w:r>
        <w:rPr>
          <w:rFonts w:ascii="Symbol" w:hAnsi="Symbol"/>
          <w:sz w:val="25"/>
        </w:rPr>
        <w:t></w:t>
      </w:r>
      <w:r>
        <w:rPr>
          <w:sz w:val="25"/>
        </w:rPr>
        <w:t> </w:t>
      </w:r>
      <w:r>
        <w:rPr>
          <w:i/>
          <w:spacing w:val="-13"/>
          <w:sz w:val="25"/>
        </w:rPr>
        <w:t>C</w:t>
      </w:r>
      <w:r>
        <w:rPr>
          <w:i/>
          <w:spacing w:val="-13"/>
          <w:position w:val="-6"/>
          <w:sz w:val="15"/>
        </w:rPr>
        <w:t>HP</w:t>
      </w:r>
    </w:p>
    <w:p>
      <w:pPr>
        <w:pStyle w:val="BodyText"/>
        <w:spacing w:before="5"/>
        <w:rPr>
          <w:i/>
          <w:sz w:val="20"/>
        </w:rPr>
      </w:pPr>
      <w:r>
        <w:rPr/>
        <w:br w:type="column"/>
      </w:r>
      <w:r>
        <w:rPr>
          <w:i/>
          <w:sz w:val="20"/>
        </w:rPr>
      </w:r>
    </w:p>
    <w:p>
      <w:pPr>
        <w:pStyle w:val="BodyText"/>
        <w:ind w:left="1224"/>
      </w:pPr>
      <w:r>
        <w:rPr/>
        <w:t>(9)</w:t>
      </w:r>
    </w:p>
    <w:p>
      <w:pPr>
        <w:spacing w:after="0"/>
        <w:sectPr>
          <w:type w:val="continuous"/>
          <w:pgSz w:w="11900" w:h="16840"/>
          <w:pgMar w:top="1580" w:bottom="280" w:left="1340" w:right="1320"/>
          <w:cols w:num="2" w:equalWidth="0">
            <w:col w:w="4733" w:space="40"/>
            <w:col w:w="4467"/>
          </w:cols>
        </w:sectPr>
      </w:pPr>
    </w:p>
    <w:p>
      <w:pPr>
        <w:pStyle w:val="BodyText"/>
        <w:rPr>
          <w:sz w:val="20"/>
        </w:rPr>
      </w:pPr>
    </w:p>
    <w:p>
      <w:pPr>
        <w:pStyle w:val="BodyText"/>
        <w:rPr>
          <w:sz w:val="27"/>
        </w:rPr>
      </w:pPr>
    </w:p>
    <w:p>
      <w:pPr>
        <w:spacing w:after="0"/>
        <w:rPr>
          <w:sz w:val="27"/>
        </w:rPr>
        <w:sectPr>
          <w:type w:val="continuous"/>
          <w:pgSz w:w="11900" w:h="16840"/>
          <w:pgMar w:top="1580" w:bottom="280" w:left="1340" w:right="1320"/>
        </w:sectPr>
      </w:pPr>
    </w:p>
    <w:p>
      <w:pPr>
        <w:spacing w:before="58"/>
        <w:ind w:left="2762" w:right="0" w:firstLine="0"/>
        <w:jc w:val="left"/>
        <w:rPr>
          <w:i/>
          <w:sz w:val="14"/>
        </w:rPr>
      </w:pPr>
      <w:r>
        <w:rPr/>
        <w:pict>
          <v:shape style="position:absolute;margin-left:274.073242pt;margin-top:16.397902pt;width:2.7pt;height:5.4pt;mso-position-horizontal-relative:page;mso-position-vertical-relative:paragraph;z-index:-75808" type="#_x0000_t202" filled="false" stroked="false">
            <v:textbox inset="0,0,0,0">
              <w:txbxContent>
                <w:p>
                  <w:pPr>
                    <w:spacing w:line="107" w:lineRule="exact" w:before="0"/>
                    <w:ind w:left="0" w:right="0" w:firstLine="0"/>
                    <w:jc w:val="left"/>
                    <w:rPr>
                      <w:sz w:val="10"/>
                    </w:rPr>
                  </w:pPr>
                  <w:r>
                    <w:rPr>
                      <w:w w:val="106"/>
                      <w:sz w:val="10"/>
                    </w:rPr>
                    <w:t>0</w:t>
                  </w:r>
                </w:p>
              </w:txbxContent>
            </v:textbox>
            <w10:wrap type="none"/>
          </v:shape>
        </w:pict>
      </w:r>
      <w:r>
        <w:rPr>
          <w:spacing w:val="-4"/>
          <w:sz w:val="25"/>
        </w:rPr>
        <w:t>ln</w:t>
      </w:r>
      <w:r>
        <w:rPr>
          <w:spacing w:val="-30"/>
          <w:sz w:val="25"/>
        </w:rPr>
        <w:t> </w:t>
      </w:r>
      <w:r>
        <w:rPr>
          <w:i/>
          <w:spacing w:val="-4"/>
          <w:sz w:val="25"/>
        </w:rPr>
        <w:t>C</w:t>
      </w:r>
      <w:r>
        <w:rPr>
          <w:i/>
          <w:spacing w:val="-4"/>
          <w:position w:val="-6"/>
          <w:sz w:val="14"/>
        </w:rPr>
        <w:t>HP   </w:t>
      </w:r>
      <w:r>
        <w:rPr>
          <w:rFonts w:ascii="Symbol" w:hAnsi="Symbol"/>
          <w:sz w:val="25"/>
        </w:rPr>
        <w:t></w:t>
      </w:r>
      <w:r>
        <w:rPr>
          <w:spacing w:val="-11"/>
          <w:sz w:val="25"/>
        </w:rPr>
        <w:t> </w:t>
      </w:r>
      <w:r>
        <w:rPr>
          <w:spacing w:val="-4"/>
          <w:sz w:val="25"/>
        </w:rPr>
        <w:t>ln</w:t>
      </w:r>
      <w:r>
        <w:rPr>
          <w:spacing w:val="-30"/>
          <w:sz w:val="25"/>
        </w:rPr>
        <w:t> </w:t>
      </w:r>
      <w:r>
        <w:rPr>
          <w:i/>
          <w:spacing w:val="-4"/>
          <w:sz w:val="25"/>
        </w:rPr>
        <w:t>C</w:t>
      </w:r>
      <w:r>
        <w:rPr>
          <w:i/>
          <w:spacing w:val="-4"/>
          <w:position w:val="-6"/>
          <w:sz w:val="14"/>
        </w:rPr>
        <w:t>HP</w:t>
      </w:r>
    </w:p>
    <w:p>
      <w:pPr>
        <w:pStyle w:val="ListParagraph"/>
        <w:numPr>
          <w:ilvl w:val="0"/>
          <w:numId w:val="11"/>
        </w:numPr>
        <w:tabs>
          <w:tab w:pos="211" w:val="left" w:leader="none"/>
        </w:tabs>
        <w:spacing w:line="240" w:lineRule="auto" w:before="58" w:after="0"/>
        <w:ind w:left="210" w:right="0" w:hanging="172"/>
        <w:jc w:val="left"/>
        <w:rPr>
          <w:i/>
          <w:sz w:val="25"/>
        </w:rPr>
      </w:pPr>
      <w:r>
        <w:rPr>
          <w:i/>
          <w:spacing w:val="3"/>
          <w:w w:val="101"/>
          <w:sz w:val="25"/>
        </w:rPr>
        <w:br w:type="column"/>
      </w:r>
      <w:r>
        <w:rPr>
          <w:i/>
          <w:sz w:val="25"/>
        </w:rPr>
        <w:t>k</w:t>
      </w:r>
      <w:r>
        <w:rPr>
          <w:i/>
          <w:position w:val="-6"/>
          <w:sz w:val="14"/>
        </w:rPr>
        <w:t>HP</w:t>
      </w:r>
      <w:r>
        <w:rPr>
          <w:i/>
          <w:sz w:val="25"/>
        </w:rPr>
        <w:t>t</w:t>
      </w:r>
    </w:p>
    <w:p>
      <w:pPr>
        <w:pStyle w:val="BodyText"/>
        <w:spacing w:before="92"/>
        <w:ind w:left="1233"/>
      </w:pPr>
      <w:r>
        <w:rPr/>
        <w:br w:type="column"/>
      </w:r>
      <w:r>
        <w:rPr/>
        <w:t>(10)</w:t>
      </w:r>
    </w:p>
    <w:p>
      <w:pPr>
        <w:spacing w:after="0"/>
        <w:sectPr>
          <w:type w:val="continuous"/>
          <w:pgSz w:w="11900" w:h="16840"/>
          <w:pgMar w:top="1580" w:bottom="280" w:left="1340" w:right="1320"/>
          <w:cols w:num="3" w:equalWidth="0">
            <w:col w:w="4195" w:space="40"/>
            <w:col w:w="590" w:space="40"/>
            <w:col w:w="4375"/>
          </w:cols>
        </w:sectPr>
      </w:pPr>
    </w:p>
    <w:p>
      <w:pPr>
        <w:pStyle w:val="BodyText"/>
        <w:rPr>
          <w:sz w:val="20"/>
        </w:rPr>
      </w:pPr>
    </w:p>
    <w:p>
      <w:pPr>
        <w:pStyle w:val="BodyText"/>
        <w:rPr>
          <w:sz w:val="27"/>
        </w:rPr>
      </w:pPr>
    </w:p>
    <w:p>
      <w:pPr>
        <w:spacing w:after="0"/>
        <w:rPr>
          <w:sz w:val="27"/>
        </w:rPr>
        <w:sectPr>
          <w:type w:val="continuous"/>
          <w:pgSz w:w="11900" w:h="16840"/>
          <w:pgMar w:top="1580" w:bottom="280" w:left="1340" w:right="1320"/>
        </w:sectPr>
      </w:pPr>
    </w:p>
    <w:p>
      <w:pPr>
        <w:spacing w:before="51"/>
        <w:ind w:left="2740" w:right="0" w:firstLine="0"/>
        <w:jc w:val="left"/>
        <w:rPr>
          <w:i/>
          <w:sz w:val="15"/>
        </w:rPr>
      </w:pPr>
      <w:r>
        <w:rPr/>
        <w:pict>
          <v:shape style="position:absolute;margin-left:305.470093pt;margin-top:16.561794pt;width:2.7pt;height:5.45pt;mso-position-horizontal-relative:page;mso-position-vertical-relative:paragraph;z-index:-75784" type="#_x0000_t202" filled="false" stroked="false">
            <v:textbox inset="0,0,0,0">
              <w:txbxContent>
                <w:p>
                  <w:pPr>
                    <w:spacing w:line="108" w:lineRule="exact" w:before="0"/>
                    <w:ind w:left="0" w:right="0" w:firstLine="0"/>
                    <w:jc w:val="left"/>
                    <w:rPr>
                      <w:sz w:val="11"/>
                    </w:rPr>
                  </w:pPr>
                  <w:r>
                    <w:rPr>
                      <w:w w:val="96"/>
                      <w:sz w:val="11"/>
                    </w:rPr>
                    <w:t>0</w:t>
                  </w:r>
                </w:p>
              </w:txbxContent>
            </v:textbox>
            <w10:wrap type="none"/>
          </v:shape>
        </w:pict>
      </w:r>
      <w:r>
        <w:rPr>
          <w:spacing w:val="7"/>
          <w:sz w:val="26"/>
        </w:rPr>
        <w:t>1/</w:t>
      </w:r>
      <w:r>
        <w:rPr>
          <w:spacing w:val="-33"/>
          <w:sz w:val="26"/>
        </w:rPr>
        <w:t> </w:t>
      </w:r>
      <w:r>
        <w:rPr>
          <w:i/>
          <w:spacing w:val="-4"/>
          <w:sz w:val="26"/>
        </w:rPr>
        <w:t>C</w:t>
      </w:r>
      <w:r>
        <w:rPr>
          <w:i/>
          <w:spacing w:val="-4"/>
          <w:position w:val="-6"/>
          <w:sz w:val="15"/>
        </w:rPr>
        <w:t>HP</w:t>
      </w:r>
      <w:r>
        <w:rPr>
          <w:i/>
          <w:spacing w:val="28"/>
          <w:position w:val="-6"/>
          <w:sz w:val="15"/>
        </w:rPr>
        <w:t> </w:t>
      </w:r>
      <w:r>
        <w:rPr>
          <w:rFonts w:ascii="Symbol" w:hAnsi="Symbol"/>
          <w:sz w:val="26"/>
        </w:rPr>
        <w:t></w:t>
      </w:r>
      <w:r>
        <w:rPr>
          <w:spacing w:val="-25"/>
          <w:sz w:val="26"/>
        </w:rPr>
        <w:t> </w:t>
      </w:r>
      <w:r>
        <w:rPr>
          <w:i/>
          <w:sz w:val="26"/>
        </w:rPr>
        <w:t>k</w:t>
      </w:r>
      <w:r>
        <w:rPr>
          <w:i/>
          <w:position w:val="-6"/>
          <w:sz w:val="15"/>
        </w:rPr>
        <w:t>HP</w:t>
      </w:r>
      <w:r>
        <w:rPr>
          <w:i/>
          <w:sz w:val="26"/>
        </w:rPr>
        <w:t>t</w:t>
      </w:r>
      <w:r>
        <w:rPr>
          <w:i/>
          <w:spacing w:val="-24"/>
          <w:sz w:val="26"/>
        </w:rPr>
        <w:t> </w:t>
      </w:r>
      <w:r>
        <w:rPr>
          <w:rFonts w:ascii="Symbol" w:hAnsi="Symbol"/>
          <w:spacing w:val="8"/>
          <w:sz w:val="26"/>
        </w:rPr>
        <w:t></w:t>
      </w:r>
      <w:r>
        <w:rPr>
          <w:spacing w:val="8"/>
          <w:sz w:val="26"/>
        </w:rPr>
        <w:t>1/</w:t>
      </w:r>
      <w:r>
        <w:rPr>
          <w:spacing w:val="-33"/>
          <w:sz w:val="26"/>
        </w:rPr>
        <w:t> </w:t>
      </w:r>
      <w:r>
        <w:rPr>
          <w:i/>
          <w:spacing w:val="-4"/>
          <w:sz w:val="26"/>
        </w:rPr>
        <w:t>C</w:t>
      </w:r>
      <w:r>
        <w:rPr>
          <w:i/>
          <w:spacing w:val="-4"/>
          <w:position w:val="-6"/>
          <w:sz w:val="15"/>
        </w:rPr>
        <w:t>HP</w:t>
      </w:r>
    </w:p>
    <w:p>
      <w:pPr>
        <w:pStyle w:val="BodyText"/>
        <w:spacing w:before="93"/>
        <w:ind w:left="1235"/>
      </w:pPr>
      <w:r>
        <w:rPr/>
        <w:br w:type="column"/>
      </w:r>
      <w:r>
        <w:rPr/>
        <w:t>(11)</w:t>
      </w:r>
    </w:p>
    <w:p>
      <w:pPr>
        <w:spacing w:after="0"/>
        <w:sectPr>
          <w:type w:val="continuous"/>
          <w:pgSz w:w="11900" w:h="16840"/>
          <w:pgMar w:top="1580" w:bottom="280" w:left="1340" w:right="1320"/>
          <w:cols w:num="2" w:equalWidth="0">
            <w:col w:w="4823" w:space="40"/>
            <w:col w:w="4377"/>
          </w:cols>
        </w:sectPr>
      </w:pPr>
    </w:p>
    <w:p>
      <w:pPr>
        <w:pStyle w:val="BodyText"/>
        <w:rPr>
          <w:sz w:val="20"/>
        </w:rPr>
      </w:pPr>
    </w:p>
    <w:p>
      <w:pPr>
        <w:pStyle w:val="BodyText"/>
        <w:spacing w:before="8"/>
        <w:rPr>
          <w:sz w:val="25"/>
        </w:rPr>
      </w:pPr>
    </w:p>
    <w:p>
      <w:pPr>
        <w:pStyle w:val="BodyText"/>
        <w:spacing w:before="68"/>
        <w:ind w:left="100" w:right="75"/>
        <w:rPr>
          <w:i/>
          <w:sz w:val="16"/>
        </w:rPr>
      </w:pPr>
      <w:r>
        <w:rPr>
          <w:w w:val="99"/>
          <w:position w:val="2"/>
        </w:rPr>
        <w:t>w</w:t>
      </w:r>
      <w:r>
        <w:rPr>
          <w:spacing w:val="-6"/>
          <w:w w:val="99"/>
          <w:position w:val="2"/>
        </w:rPr>
        <w:t>h</w:t>
      </w:r>
      <w:r>
        <w:rPr>
          <w:spacing w:val="-1"/>
          <w:position w:val="2"/>
        </w:rPr>
        <w:t>e</w:t>
      </w:r>
      <w:r>
        <w:rPr>
          <w:spacing w:val="1"/>
          <w:position w:val="2"/>
        </w:rPr>
        <w:t>r</w:t>
      </w:r>
      <w:r>
        <w:rPr>
          <w:position w:val="2"/>
        </w:rPr>
        <w:t>e </w:t>
      </w:r>
      <w:r>
        <w:rPr>
          <w:spacing w:val="-24"/>
          <w:position w:val="2"/>
        </w:rPr>
        <w:t> </w:t>
      </w:r>
      <w:r>
        <w:rPr>
          <w:i/>
          <w:spacing w:val="1"/>
          <w:w w:val="118"/>
          <w:position w:val="1"/>
          <w:sz w:val="22"/>
        </w:rPr>
        <w:t>C</w:t>
      </w:r>
      <w:r>
        <w:rPr>
          <w:i/>
          <w:spacing w:val="-4"/>
          <w:w w:val="115"/>
          <w:position w:val="-3"/>
          <w:sz w:val="13"/>
        </w:rPr>
        <w:t>H</w:t>
      </w:r>
      <w:r>
        <w:rPr>
          <w:i/>
          <w:spacing w:val="-29"/>
          <w:w w:val="115"/>
          <w:position w:val="-3"/>
          <w:sz w:val="13"/>
        </w:rPr>
        <w:t>P</w:t>
      </w:r>
      <w:r>
        <w:rPr>
          <w:w w:val="121"/>
          <w:position w:val="-7"/>
          <w:sz w:val="9"/>
        </w:rPr>
        <w:t>0</w:t>
      </w:r>
      <w:r>
        <w:rPr>
          <w:position w:val="-7"/>
          <w:sz w:val="9"/>
        </w:rPr>
        <w:t>  </w:t>
      </w:r>
      <w:r>
        <w:rPr>
          <w:spacing w:val="-11"/>
          <w:position w:val="-7"/>
          <w:sz w:val="9"/>
        </w:rPr>
        <w:t> </w:t>
      </w:r>
      <w:r>
        <w:rPr>
          <w:spacing w:val="-5"/>
          <w:position w:val="2"/>
        </w:rPr>
        <w:t>i</w:t>
      </w:r>
      <w:r>
        <w:rPr>
          <w:w w:val="99"/>
          <w:position w:val="2"/>
        </w:rPr>
        <w:t>s</w:t>
      </w:r>
      <w:r>
        <w:rPr>
          <w:spacing w:val="9"/>
          <w:position w:val="2"/>
        </w:rPr>
        <w:t> </w:t>
      </w:r>
      <w:r>
        <w:rPr>
          <w:spacing w:val="5"/>
          <w:position w:val="2"/>
        </w:rPr>
        <w:t>t</w:t>
      </w:r>
      <w:r>
        <w:rPr>
          <w:spacing w:val="-5"/>
          <w:position w:val="2"/>
        </w:rPr>
        <w:t>h</w:t>
      </w:r>
      <w:r>
        <w:rPr>
          <w:position w:val="2"/>
        </w:rPr>
        <w:t>e</w:t>
      </w:r>
      <w:r>
        <w:rPr>
          <w:spacing w:val="15"/>
          <w:position w:val="2"/>
        </w:rPr>
        <w:t> </w:t>
      </w:r>
      <w:r>
        <w:rPr>
          <w:spacing w:val="-5"/>
          <w:position w:val="2"/>
        </w:rPr>
        <w:t>i</w:t>
      </w:r>
      <w:r>
        <w:rPr>
          <w:position w:val="2"/>
        </w:rPr>
        <w:t>n</w:t>
      </w:r>
      <w:r>
        <w:rPr>
          <w:spacing w:val="-10"/>
          <w:position w:val="2"/>
        </w:rPr>
        <w:t>i</w:t>
      </w:r>
      <w:r>
        <w:rPr>
          <w:spacing w:val="9"/>
          <w:position w:val="2"/>
        </w:rPr>
        <w:t>t</w:t>
      </w:r>
      <w:r>
        <w:rPr>
          <w:spacing w:val="-5"/>
          <w:position w:val="2"/>
        </w:rPr>
        <w:t>i</w:t>
      </w:r>
      <w:r>
        <w:rPr>
          <w:spacing w:val="3"/>
          <w:position w:val="2"/>
        </w:rPr>
        <w:t>a</w:t>
      </w:r>
      <w:r>
        <w:rPr>
          <w:position w:val="2"/>
        </w:rPr>
        <w:t>l</w:t>
      </w:r>
      <w:r>
        <w:rPr>
          <w:spacing w:val="7"/>
          <w:position w:val="2"/>
        </w:rPr>
        <w:t> </w:t>
      </w:r>
      <w:r>
        <w:rPr>
          <w:position w:val="2"/>
        </w:rPr>
        <w:t>p</w:t>
      </w:r>
      <w:r>
        <w:rPr>
          <w:spacing w:val="-1"/>
          <w:position w:val="2"/>
        </w:rPr>
        <w:t>e</w:t>
      </w:r>
      <w:r>
        <w:rPr>
          <w:spacing w:val="1"/>
          <w:position w:val="2"/>
        </w:rPr>
        <w:t>r</w:t>
      </w:r>
      <w:r>
        <w:rPr>
          <w:spacing w:val="4"/>
          <w:position w:val="2"/>
        </w:rPr>
        <w:t>o</w:t>
      </w:r>
      <w:r>
        <w:rPr>
          <w:position w:val="2"/>
        </w:rPr>
        <w:t>x</w:t>
      </w:r>
      <w:r>
        <w:rPr>
          <w:spacing w:val="-5"/>
          <w:position w:val="2"/>
        </w:rPr>
        <w:t>i</w:t>
      </w:r>
      <w:r>
        <w:rPr>
          <w:position w:val="2"/>
        </w:rPr>
        <w:t>de</w:t>
      </w:r>
      <w:r>
        <w:rPr>
          <w:spacing w:val="15"/>
          <w:position w:val="2"/>
        </w:rPr>
        <w:t> </w:t>
      </w:r>
      <w:r>
        <w:rPr>
          <w:spacing w:val="-5"/>
          <w:position w:val="2"/>
        </w:rPr>
        <w:t>v</w:t>
      </w:r>
      <w:r>
        <w:rPr>
          <w:spacing w:val="3"/>
          <w:position w:val="2"/>
        </w:rPr>
        <w:t>a</w:t>
      </w:r>
      <w:r>
        <w:rPr>
          <w:spacing w:val="-5"/>
          <w:position w:val="2"/>
        </w:rPr>
        <w:t>l</w:t>
      </w:r>
      <w:r>
        <w:rPr>
          <w:position w:val="2"/>
        </w:rPr>
        <w:t>ue</w:t>
      </w:r>
      <w:r>
        <w:rPr>
          <w:spacing w:val="10"/>
          <w:position w:val="2"/>
        </w:rPr>
        <w:t> </w:t>
      </w:r>
      <w:r>
        <w:rPr>
          <w:spacing w:val="-1"/>
          <w:position w:val="2"/>
        </w:rPr>
        <w:t>a</w:t>
      </w:r>
      <w:r>
        <w:rPr>
          <w:position w:val="2"/>
        </w:rPr>
        <w:t>t</w:t>
      </w:r>
      <w:r>
        <w:rPr>
          <w:spacing w:val="16"/>
          <w:position w:val="2"/>
        </w:rPr>
        <w:t> </w:t>
      </w:r>
      <w:r>
        <w:rPr>
          <w:position w:val="2"/>
        </w:rPr>
        <w:t>d</w:t>
      </w:r>
      <w:r>
        <w:rPr>
          <w:spacing w:val="3"/>
          <w:position w:val="2"/>
        </w:rPr>
        <w:t>a</w:t>
      </w:r>
      <w:r>
        <w:rPr>
          <w:position w:val="2"/>
        </w:rPr>
        <w:t>y</w:t>
      </w:r>
      <w:r>
        <w:rPr>
          <w:spacing w:val="2"/>
          <w:position w:val="2"/>
        </w:rPr>
        <w:t> </w:t>
      </w:r>
      <w:r>
        <w:rPr>
          <w:position w:val="2"/>
        </w:rPr>
        <w:t>0</w:t>
      </w:r>
      <w:r>
        <w:rPr>
          <w:spacing w:val="11"/>
          <w:position w:val="2"/>
        </w:rPr>
        <w:t> </w:t>
      </w:r>
      <w:r>
        <w:rPr>
          <w:spacing w:val="4"/>
          <w:position w:val="2"/>
        </w:rPr>
        <w:t>o</w:t>
      </w:r>
      <w:r>
        <w:rPr>
          <w:spacing w:val="-5"/>
          <w:position w:val="2"/>
        </w:rPr>
        <w:t>n</w:t>
      </w:r>
      <w:r>
        <w:rPr>
          <w:spacing w:val="-1"/>
          <w:position w:val="2"/>
        </w:rPr>
        <w:t>c</w:t>
      </w:r>
      <w:r>
        <w:rPr>
          <w:position w:val="2"/>
        </w:rPr>
        <w:t>e</w:t>
      </w:r>
      <w:r>
        <w:rPr>
          <w:spacing w:val="10"/>
          <w:position w:val="2"/>
        </w:rPr>
        <w:t> </w:t>
      </w:r>
      <w:r>
        <w:rPr>
          <w:position w:val="2"/>
        </w:rPr>
        <w:t>t</w:t>
      </w:r>
      <w:r>
        <w:rPr>
          <w:spacing w:val="-5"/>
          <w:position w:val="2"/>
        </w:rPr>
        <w:t>h</w:t>
      </w:r>
      <w:r>
        <w:rPr>
          <w:position w:val="2"/>
        </w:rPr>
        <w:t>e</w:t>
      </w:r>
      <w:r>
        <w:rPr>
          <w:spacing w:val="10"/>
          <w:position w:val="2"/>
        </w:rPr>
        <w:t> </w:t>
      </w:r>
      <w:r>
        <w:rPr>
          <w:spacing w:val="2"/>
          <w:w w:val="99"/>
          <w:position w:val="2"/>
        </w:rPr>
        <w:t>s</w:t>
      </w:r>
      <w:r>
        <w:rPr>
          <w:spacing w:val="3"/>
          <w:position w:val="2"/>
        </w:rPr>
        <w:t>a</w:t>
      </w:r>
      <w:r>
        <w:rPr>
          <w:spacing w:val="-10"/>
          <w:position w:val="2"/>
        </w:rPr>
        <w:t>m</w:t>
      </w:r>
      <w:r>
        <w:rPr>
          <w:spacing w:val="4"/>
          <w:position w:val="2"/>
        </w:rPr>
        <w:t>p</w:t>
      </w:r>
      <w:r>
        <w:rPr>
          <w:spacing w:val="-5"/>
          <w:position w:val="2"/>
        </w:rPr>
        <w:t>l</w:t>
      </w:r>
      <w:r>
        <w:rPr>
          <w:spacing w:val="3"/>
          <w:position w:val="2"/>
        </w:rPr>
        <w:t>e</w:t>
      </w:r>
      <w:r>
        <w:rPr>
          <w:w w:val="99"/>
          <w:position w:val="2"/>
        </w:rPr>
        <w:t>s</w:t>
      </w:r>
      <w:r>
        <w:rPr>
          <w:spacing w:val="9"/>
          <w:position w:val="2"/>
        </w:rPr>
        <w:t> </w:t>
      </w:r>
      <w:r>
        <w:rPr>
          <w:w w:val="99"/>
          <w:position w:val="2"/>
        </w:rPr>
        <w:t>w</w:t>
      </w:r>
      <w:r>
        <w:rPr>
          <w:spacing w:val="-2"/>
          <w:w w:val="99"/>
          <w:position w:val="2"/>
        </w:rPr>
        <w:t>e</w:t>
      </w:r>
      <w:r>
        <w:rPr>
          <w:spacing w:val="1"/>
          <w:w w:val="99"/>
          <w:position w:val="2"/>
        </w:rPr>
        <w:t>r</w:t>
      </w:r>
      <w:r>
        <w:rPr>
          <w:w w:val="99"/>
          <w:position w:val="2"/>
        </w:rPr>
        <w:t>e</w:t>
      </w:r>
      <w:r>
        <w:rPr>
          <w:spacing w:val="10"/>
          <w:w w:val="99"/>
          <w:position w:val="2"/>
        </w:rPr>
        <w:t> </w:t>
      </w:r>
      <w:r>
        <w:rPr>
          <w:spacing w:val="-1"/>
          <w:w w:val="99"/>
          <w:position w:val="2"/>
        </w:rPr>
        <w:t>c</w:t>
      </w:r>
      <w:r>
        <w:rPr>
          <w:spacing w:val="4"/>
          <w:w w:val="99"/>
          <w:position w:val="2"/>
        </w:rPr>
        <w:t>o</w:t>
      </w:r>
      <w:r>
        <w:rPr>
          <w:spacing w:val="-5"/>
          <w:w w:val="99"/>
          <w:position w:val="2"/>
        </w:rPr>
        <w:t>n</w:t>
      </w:r>
      <w:r>
        <w:rPr>
          <w:spacing w:val="4"/>
          <w:w w:val="99"/>
          <w:position w:val="2"/>
        </w:rPr>
        <w:t>d</w:t>
      </w:r>
      <w:r>
        <w:rPr>
          <w:spacing w:val="-10"/>
          <w:w w:val="99"/>
          <w:position w:val="2"/>
        </w:rPr>
        <w:t>i</w:t>
      </w:r>
      <w:r>
        <w:rPr>
          <w:spacing w:val="9"/>
          <w:w w:val="99"/>
          <w:position w:val="2"/>
        </w:rPr>
        <w:t>t</w:t>
      </w:r>
      <w:r>
        <w:rPr>
          <w:spacing w:val="-10"/>
          <w:w w:val="99"/>
          <w:position w:val="2"/>
        </w:rPr>
        <w:t>i</w:t>
      </w:r>
      <w:r>
        <w:rPr>
          <w:spacing w:val="9"/>
          <w:w w:val="99"/>
          <w:position w:val="2"/>
        </w:rPr>
        <w:t>o</w:t>
      </w:r>
      <w:r>
        <w:rPr>
          <w:spacing w:val="-5"/>
          <w:w w:val="99"/>
          <w:position w:val="2"/>
        </w:rPr>
        <w:t>n</w:t>
      </w:r>
      <w:r>
        <w:rPr>
          <w:spacing w:val="-1"/>
          <w:w w:val="99"/>
          <w:position w:val="2"/>
        </w:rPr>
        <w:t>e</w:t>
      </w:r>
      <w:r>
        <w:rPr>
          <w:w w:val="99"/>
          <w:position w:val="2"/>
        </w:rPr>
        <w:t>d</w:t>
      </w:r>
      <w:r>
        <w:rPr>
          <w:spacing w:val="11"/>
          <w:w w:val="99"/>
          <w:position w:val="2"/>
        </w:rPr>
        <w:t> </w:t>
      </w:r>
      <w:r>
        <w:rPr>
          <w:spacing w:val="-1"/>
          <w:w w:val="99"/>
          <w:position w:val="2"/>
        </w:rPr>
        <w:t>a</w:t>
      </w:r>
      <w:r>
        <w:rPr>
          <w:w w:val="99"/>
          <w:position w:val="2"/>
        </w:rPr>
        <w:t>t</w:t>
      </w:r>
      <w:r>
        <w:rPr>
          <w:spacing w:val="12"/>
          <w:w w:val="99"/>
          <w:position w:val="2"/>
        </w:rPr>
        <w:t> </w:t>
      </w:r>
      <w:r>
        <w:rPr>
          <w:spacing w:val="5"/>
          <w:w w:val="99"/>
          <w:position w:val="2"/>
        </w:rPr>
        <w:t>t</w:t>
      </w:r>
      <w:r>
        <w:rPr>
          <w:spacing w:val="-5"/>
          <w:w w:val="99"/>
          <w:position w:val="2"/>
        </w:rPr>
        <w:t>h</w:t>
      </w:r>
      <w:r>
        <w:rPr>
          <w:w w:val="99"/>
          <w:position w:val="2"/>
        </w:rPr>
        <w:t>e</w:t>
      </w:r>
      <w:r>
        <w:rPr>
          <w:spacing w:val="22"/>
          <w:w w:val="99"/>
          <w:position w:val="2"/>
        </w:rPr>
        <w:t> </w:t>
      </w:r>
      <w:r>
        <w:rPr>
          <w:i/>
          <w:spacing w:val="4"/>
          <w:w w:val="99"/>
          <w:position w:val="2"/>
        </w:rPr>
        <w:t>a</w:t>
      </w:r>
      <w:r>
        <w:rPr>
          <w:i/>
          <w:w w:val="99"/>
          <w:sz w:val="16"/>
        </w:rPr>
        <w:t>w</w:t>
      </w:r>
    </w:p>
    <w:p>
      <w:pPr>
        <w:pStyle w:val="BodyText"/>
        <w:spacing w:before="155"/>
        <w:ind w:left="100" w:right="75"/>
        <w:rPr>
          <w:i/>
          <w:sz w:val="16"/>
        </w:rPr>
      </w:pPr>
      <w:r>
        <w:rPr>
          <w:position w:val="2"/>
        </w:rPr>
        <w:t>and temperature required; </w:t>
      </w:r>
      <w:r>
        <w:rPr>
          <w:i/>
          <w:position w:val="2"/>
        </w:rPr>
        <w:t>C</w:t>
      </w:r>
      <w:r>
        <w:rPr>
          <w:i/>
          <w:sz w:val="16"/>
        </w:rPr>
        <w:t>HP </w:t>
      </w:r>
      <w:r>
        <w:rPr>
          <w:position w:val="2"/>
        </w:rPr>
        <w:t>is the peroxide value after </w:t>
      </w:r>
      <w:r>
        <w:rPr>
          <w:i/>
          <w:position w:val="2"/>
        </w:rPr>
        <w:t>t </w:t>
      </w:r>
      <w:r>
        <w:rPr>
          <w:position w:val="2"/>
        </w:rPr>
        <w:t>(time) at a given temperature;   </w:t>
      </w:r>
      <w:r>
        <w:rPr>
          <w:i/>
          <w:position w:val="2"/>
        </w:rPr>
        <w:t>k</w:t>
      </w:r>
      <w:r>
        <w:rPr>
          <w:i/>
          <w:sz w:val="16"/>
        </w:rPr>
        <w:t>HP</w:t>
      </w:r>
    </w:p>
    <w:p>
      <w:pPr>
        <w:spacing w:after="0"/>
        <w:rPr>
          <w:sz w:val="16"/>
        </w:rPr>
        <w:sectPr>
          <w:type w:val="continuous"/>
          <w:pgSz w:w="11900" w:h="16840"/>
          <w:pgMar w:top="1580" w:bottom="280" w:left="1340" w:right="1320"/>
        </w:sectPr>
      </w:pPr>
    </w:p>
    <w:p>
      <w:pPr>
        <w:pStyle w:val="BodyText"/>
        <w:spacing w:line="360" w:lineRule="auto" w:before="54"/>
        <w:ind w:left="100" w:right="75"/>
      </w:pPr>
      <w:r>
        <w:rPr/>
        <w:t>is the hydroperoxide formation rate constant, which was obtained from the slope of a plot of lipid hydroperoxide </w:t>
      </w:r>
      <w:r>
        <w:rPr>
          <w:i/>
        </w:rPr>
        <w:t>versus </w:t>
      </w:r>
      <w:r>
        <w:rPr/>
        <w:t>time.</w:t>
      </w:r>
    </w:p>
    <w:p>
      <w:pPr>
        <w:pStyle w:val="BodyText"/>
        <w:spacing w:line="360" w:lineRule="auto" w:before="4"/>
        <w:ind w:left="100" w:right="113" w:firstLine="706"/>
        <w:jc w:val="both"/>
      </w:pPr>
      <w:r>
        <w:rPr/>
        <w:t>The effect of temperature on hydroperoxide formation was assessed using an Arrhenius relationship, which has demonstrated its applicability to describe the temperature dependence on the reaction rate (Labuza and Nelson, 1994; Fang et al</w:t>
      </w:r>
      <w:r>
        <w:rPr>
          <w:i/>
        </w:rPr>
        <w:t>.</w:t>
      </w:r>
      <w:r>
        <w:rPr/>
        <w:t>, 2006; Pu et al., 2011). The apparent activation energy was obtained from Equation (12) (Fogler, 2008).</w:t>
      </w:r>
    </w:p>
    <w:p>
      <w:pPr>
        <w:pStyle w:val="BodyText"/>
        <w:rPr>
          <w:sz w:val="20"/>
        </w:rPr>
      </w:pPr>
    </w:p>
    <w:p>
      <w:pPr>
        <w:spacing w:after="0"/>
        <w:rPr>
          <w:sz w:val="20"/>
        </w:rPr>
        <w:sectPr>
          <w:pgSz w:w="11900" w:h="16840"/>
          <w:pgMar w:header="0" w:footer="1370" w:top="1360" w:bottom="1560" w:left="1340" w:right="1320"/>
        </w:sectPr>
      </w:pPr>
    </w:p>
    <w:p>
      <w:pPr>
        <w:pStyle w:val="BodyText"/>
        <w:spacing w:before="8"/>
        <w:rPr>
          <w:sz w:val="32"/>
        </w:rPr>
      </w:pPr>
    </w:p>
    <w:p>
      <w:pPr>
        <w:spacing w:line="87" w:lineRule="exact" w:before="1"/>
        <w:ind w:left="0" w:right="0" w:firstLine="0"/>
        <w:jc w:val="right"/>
        <w:rPr>
          <w:i/>
          <w:sz w:val="23"/>
        </w:rPr>
      </w:pPr>
      <w:r>
        <w:rPr>
          <w:w w:val="110"/>
          <w:sz w:val="23"/>
        </w:rPr>
        <w:t>ln </w:t>
      </w:r>
      <w:r>
        <w:rPr>
          <w:i/>
          <w:w w:val="110"/>
          <w:sz w:val="23"/>
        </w:rPr>
        <w:t>k</w:t>
      </w:r>
    </w:p>
    <w:p>
      <w:pPr>
        <w:spacing w:line="237" w:lineRule="exact" w:before="227"/>
        <w:ind w:left="240" w:right="-12" w:firstLine="0"/>
        <w:jc w:val="left"/>
        <w:rPr>
          <w:i/>
          <w:sz w:val="23"/>
        </w:rPr>
      </w:pPr>
      <w:r>
        <w:rPr/>
        <w:br w:type="column"/>
      </w:r>
      <w:r>
        <w:rPr>
          <w:rFonts w:ascii="Symbol" w:hAnsi="Symbol"/>
          <w:w w:val="110"/>
          <w:sz w:val="23"/>
        </w:rPr>
        <w:t></w:t>
      </w:r>
      <w:r>
        <w:rPr>
          <w:spacing w:val="-20"/>
          <w:w w:val="110"/>
          <w:sz w:val="23"/>
        </w:rPr>
        <w:t> </w:t>
      </w:r>
      <w:r>
        <w:rPr>
          <w:rFonts w:ascii="Symbol" w:hAnsi="Symbol"/>
          <w:w w:val="110"/>
          <w:position w:val="13"/>
          <w:sz w:val="23"/>
        </w:rPr>
        <w:t></w:t>
      </w:r>
      <w:r>
        <w:rPr>
          <w:spacing w:val="-34"/>
          <w:w w:val="110"/>
          <w:position w:val="13"/>
          <w:sz w:val="23"/>
        </w:rPr>
        <w:t> </w:t>
      </w:r>
      <w:r>
        <w:rPr>
          <w:rFonts w:ascii="Symbol" w:hAnsi="Symbol"/>
          <w:w w:val="110"/>
          <w:sz w:val="23"/>
        </w:rPr>
        <w:t></w:t>
      </w:r>
      <w:r>
        <w:rPr>
          <w:spacing w:val="21"/>
          <w:w w:val="110"/>
          <w:sz w:val="23"/>
        </w:rPr>
        <w:t> </w:t>
      </w:r>
      <w:r>
        <w:rPr>
          <w:i/>
          <w:w w:val="110"/>
          <w:position w:val="15"/>
          <w:sz w:val="23"/>
        </w:rPr>
        <w:t>E</w:t>
      </w:r>
      <w:r>
        <w:rPr>
          <w:i/>
          <w:w w:val="110"/>
          <w:position w:val="9"/>
          <w:sz w:val="13"/>
        </w:rPr>
        <w:t>a </w:t>
      </w:r>
      <w:r>
        <w:rPr>
          <w:i/>
          <w:spacing w:val="27"/>
          <w:w w:val="110"/>
          <w:position w:val="9"/>
          <w:sz w:val="13"/>
        </w:rPr>
        <w:t> </w:t>
      </w:r>
      <w:r>
        <w:rPr>
          <w:rFonts w:ascii="Symbol" w:hAnsi="Symbol"/>
          <w:w w:val="110"/>
          <w:position w:val="13"/>
          <w:sz w:val="23"/>
        </w:rPr>
        <w:t></w:t>
      </w:r>
      <w:r>
        <w:rPr>
          <w:spacing w:val="-29"/>
          <w:w w:val="110"/>
          <w:position w:val="13"/>
          <w:sz w:val="23"/>
        </w:rPr>
        <w:t> </w:t>
      </w:r>
      <w:r>
        <w:rPr>
          <w:rFonts w:ascii="Symbol" w:hAnsi="Symbol"/>
          <w:w w:val="110"/>
          <w:sz w:val="23"/>
        </w:rPr>
        <w:t></w:t>
      </w:r>
      <w:r>
        <w:rPr>
          <w:spacing w:val="-27"/>
          <w:w w:val="110"/>
          <w:sz w:val="23"/>
        </w:rPr>
        <w:t> </w:t>
      </w:r>
      <w:r>
        <w:rPr>
          <w:w w:val="110"/>
          <w:sz w:val="23"/>
        </w:rPr>
        <w:t>ln</w:t>
      </w:r>
      <w:r>
        <w:rPr>
          <w:spacing w:val="-9"/>
          <w:w w:val="110"/>
          <w:sz w:val="23"/>
        </w:rPr>
        <w:t> </w:t>
      </w:r>
      <w:r>
        <w:rPr>
          <w:i/>
          <w:w w:val="110"/>
          <w:sz w:val="23"/>
        </w:rPr>
        <w:t>A</w:t>
      </w:r>
    </w:p>
    <w:p>
      <w:pPr>
        <w:pStyle w:val="BodyText"/>
        <w:spacing w:before="6"/>
        <w:rPr>
          <w:i/>
          <w:sz w:val="32"/>
        </w:rPr>
      </w:pPr>
      <w:r>
        <w:rPr/>
        <w:br w:type="column"/>
      </w:r>
      <w:r>
        <w:rPr>
          <w:i/>
          <w:sz w:val="32"/>
        </w:rPr>
      </w:r>
    </w:p>
    <w:p>
      <w:pPr>
        <w:pStyle w:val="BodyText"/>
        <w:spacing w:line="90" w:lineRule="exact"/>
        <w:ind w:left="1381"/>
      </w:pPr>
      <w:r>
        <w:rPr/>
        <w:t>(12)</w:t>
      </w:r>
    </w:p>
    <w:p>
      <w:pPr>
        <w:spacing w:after="0" w:line="90" w:lineRule="exact"/>
        <w:sectPr>
          <w:type w:val="continuous"/>
          <w:pgSz w:w="11900" w:h="16840"/>
          <w:pgMar w:top="1580" w:bottom="280" w:left="1340" w:right="1320"/>
          <w:cols w:num="3" w:equalWidth="0">
            <w:col w:w="2960" w:space="40"/>
            <w:col w:w="1817" w:space="40"/>
            <w:col w:w="4383"/>
          </w:cols>
        </w:sectPr>
      </w:pPr>
    </w:p>
    <w:p>
      <w:pPr>
        <w:tabs>
          <w:tab w:pos="3422" w:val="left" w:leader="none"/>
          <w:tab w:pos="3745" w:val="left" w:leader="none"/>
          <w:tab w:pos="4797" w:val="left" w:leader="none"/>
        </w:tabs>
        <w:spacing w:line="148" w:lineRule="exact" w:before="0"/>
        <w:ind w:left="2966" w:right="75" w:firstLine="0"/>
        <w:jc w:val="left"/>
        <w:rPr>
          <w:i/>
          <w:sz w:val="13"/>
        </w:rPr>
      </w:pPr>
      <w:r>
        <w:rPr/>
        <w:pict>
          <v:line style="position:absolute;mso-position-horizontal-relative:page;mso-position-vertical-relative:paragraph;z-index:-75760" from="253.113083pt,3.431306pt" to="270.516337pt,3.431314pt" stroked="true" strokeweight=".569351pt" strokecolor="#000000">
            <w10:wrap type="none"/>
          </v:line>
        </w:pict>
      </w:r>
      <w:r>
        <w:rPr>
          <w:i/>
          <w:w w:val="110"/>
          <w:sz w:val="13"/>
        </w:rPr>
        <w:t>HP</w:t>
        <w:tab/>
      </w:r>
      <w:r>
        <w:rPr>
          <w:rFonts w:ascii="Symbol" w:hAnsi="Symbol"/>
          <w:w w:val="110"/>
          <w:sz w:val="23"/>
        </w:rPr>
        <w:t></w:t>
      </w:r>
      <w:r>
        <w:rPr>
          <w:w w:val="110"/>
          <w:sz w:val="23"/>
        </w:rPr>
        <w:tab/>
      </w:r>
      <w:r>
        <w:rPr>
          <w:i/>
          <w:w w:val="110"/>
          <w:position w:val="-11"/>
          <w:sz w:val="23"/>
        </w:rPr>
        <w:t>RT</w:t>
      </w:r>
      <w:r>
        <w:rPr>
          <w:i/>
          <w:spacing w:val="6"/>
          <w:w w:val="110"/>
          <w:position w:val="-11"/>
          <w:sz w:val="23"/>
        </w:rPr>
        <w:t> </w:t>
      </w:r>
      <w:r>
        <w:rPr>
          <w:rFonts w:ascii="Symbol" w:hAnsi="Symbol"/>
          <w:w w:val="110"/>
          <w:sz w:val="23"/>
        </w:rPr>
        <w:t></w:t>
      </w:r>
      <w:r>
        <w:rPr>
          <w:w w:val="110"/>
          <w:sz w:val="23"/>
        </w:rPr>
        <w:tab/>
      </w:r>
      <w:r>
        <w:rPr>
          <w:i/>
          <w:w w:val="110"/>
          <w:sz w:val="13"/>
        </w:rPr>
        <w:t>HP</w:t>
      </w:r>
    </w:p>
    <w:p>
      <w:pPr>
        <w:tabs>
          <w:tab w:pos="682" w:val="left" w:leader="none"/>
        </w:tabs>
        <w:spacing w:line="244" w:lineRule="exact" w:before="0"/>
        <w:ind w:left="0" w:right="1613" w:firstLine="0"/>
        <w:jc w:val="center"/>
        <w:rPr>
          <w:rFonts w:ascii="Symbol" w:hAnsi="Symbol"/>
          <w:sz w:val="23"/>
        </w:rPr>
      </w:pPr>
      <w:r>
        <w:rPr>
          <w:rFonts w:ascii="Symbol" w:hAnsi="Symbol"/>
          <w:w w:val="110"/>
          <w:sz w:val="23"/>
        </w:rPr>
        <w:t></w:t>
      </w:r>
      <w:r>
        <w:rPr>
          <w:w w:val="110"/>
          <w:sz w:val="23"/>
        </w:rPr>
        <w:tab/>
      </w:r>
      <w:r>
        <w:rPr>
          <w:rFonts w:ascii="Symbol" w:hAnsi="Symbol"/>
          <w:w w:val="110"/>
          <w:sz w:val="23"/>
        </w:rPr>
        <w:t></w:t>
      </w:r>
    </w:p>
    <w:p>
      <w:pPr>
        <w:pStyle w:val="BodyText"/>
        <w:rPr>
          <w:rFonts w:ascii="Symbol" w:hAnsi="Symbol"/>
          <w:sz w:val="20"/>
        </w:rPr>
      </w:pPr>
    </w:p>
    <w:p>
      <w:pPr>
        <w:pStyle w:val="BodyText"/>
        <w:spacing w:before="5"/>
        <w:rPr>
          <w:rFonts w:ascii="Symbol" w:hAnsi="Symbol"/>
          <w:sz w:val="20"/>
        </w:rPr>
      </w:pPr>
    </w:p>
    <w:p>
      <w:pPr>
        <w:pStyle w:val="BodyText"/>
        <w:spacing w:line="360" w:lineRule="auto" w:before="69"/>
        <w:ind w:left="100" w:right="119"/>
        <w:jc w:val="both"/>
      </w:pPr>
      <w:r>
        <w:rPr>
          <w:position w:val="2"/>
        </w:rPr>
        <w:t>where </w:t>
      </w:r>
      <w:r>
        <w:rPr>
          <w:i/>
          <w:position w:val="2"/>
        </w:rPr>
        <w:t>k</w:t>
      </w:r>
      <w:r>
        <w:rPr>
          <w:i/>
          <w:sz w:val="16"/>
        </w:rPr>
        <w:t>HP </w:t>
      </w:r>
      <w:r>
        <w:rPr>
          <w:position w:val="2"/>
        </w:rPr>
        <w:t>is the apparent rate constant of hydroperoxide formation; </w:t>
      </w:r>
      <w:r>
        <w:rPr>
          <w:i/>
          <w:position w:val="2"/>
        </w:rPr>
        <w:t>E</w:t>
      </w:r>
      <w:r>
        <w:rPr>
          <w:i/>
          <w:sz w:val="16"/>
        </w:rPr>
        <w:t>a </w:t>
      </w:r>
      <w:r>
        <w:rPr>
          <w:position w:val="2"/>
        </w:rPr>
        <w:t>is the apparent </w:t>
      </w:r>
      <w:r>
        <w:rPr/>
        <w:t>activation energy; </w:t>
      </w:r>
      <w:r>
        <w:rPr>
          <w:i/>
        </w:rPr>
        <w:t>T </w:t>
      </w:r>
      <w:r>
        <w:rPr/>
        <w:t>is the absolute temperature (K); R is the universal gas constant (8.314 </w:t>
      </w:r>
      <w:r>
        <w:rPr>
          <w:position w:val="2"/>
        </w:rPr>
        <w:t>J/mol</w:t>
      </w:r>
      <w:r>
        <w:rPr>
          <w:rFonts w:ascii="Symbol" w:hAnsi="Symbol"/>
          <w:position w:val="2"/>
        </w:rPr>
        <w:t></w:t>
      </w:r>
      <w:r>
        <w:rPr>
          <w:position w:val="2"/>
        </w:rPr>
        <w:t>K); and </w:t>
      </w:r>
      <w:r>
        <w:rPr>
          <w:i/>
          <w:position w:val="2"/>
        </w:rPr>
        <w:t>A</w:t>
      </w:r>
      <w:r>
        <w:rPr>
          <w:i/>
          <w:sz w:val="16"/>
        </w:rPr>
        <w:t>HP </w:t>
      </w:r>
      <w:r>
        <w:rPr>
          <w:position w:val="2"/>
        </w:rPr>
        <w:t>is the frequency factor.</w:t>
      </w:r>
    </w:p>
    <w:p>
      <w:pPr>
        <w:pStyle w:val="BodyText"/>
      </w:pPr>
    </w:p>
    <w:p>
      <w:pPr>
        <w:pStyle w:val="ListParagraph"/>
        <w:numPr>
          <w:ilvl w:val="2"/>
          <w:numId w:val="10"/>
        </w:numPr>
        <w:tabs>
          <w:tab w:pos="825" w:val="left" w:leader="none"/>
        </w:tabs>
        <w:spacing w:line="240" w:lineRule="auto" w:before="138" w:after="0"/>
        <w:ind w:left="824" w:right="0" w:hanging="724"/>
        <w:jc w:val="both"/>
        <w:rPr>
          <w:i/>
          <w:sz w:val="24"/>
        </w:rPr>
      </w:pPr>
      <w:r>
        <w:rPr>
          <w:i/>
          <w:sz w:val="24"/>
        </w:rPr>
        <w:t>Statistical</w:t>
      </w:r>
      <w:r>
        <w:rPr>
          <w:i/>
          <w:spacing w:val="-11"/>
          <w:sz w:val="24"/>
        </w:rPr>
        <w:t> </w:t>
      </w:r>
      <w:r>
        <w:rPr>
          <w:i/>
          <w:sz w:val="24"/>
        </w:rPr>
        <w:t>analyses</w:t>
      </w:r>
    </w:p>
    <w:p>
      <w:pPr>
        <w:pStyle w:val="BodyText"/>
        <w:spacing w:line="362" w:lineRule="auto" w:before="137"/>
        <w:ind w:left="100" w:right="121"/>
        <w:jc w:val="both"/>
      </w:pPr>
      <w:r>
        <w:rPr/>
        <w:t>Analyses were performed </w:t>
      </w:r>
      <w:r>
        <w:rPr>
          <w:spacing w:val="-3"/>
        </w:rPr>
        <w:t>in </w:t>
      </w:r>
      <w:r>
        <w:rPr/>
        <w:t>triplicate for each sample for all the tests, and data </w:t>
      </w:r>
      <w:r>
        <w:rPr>
          <w:spacing w:val="-5"/>
        </w:rPr>
        <w:t>is </w:t>
      </w:r>
      <w:r>
        <w:rPr/>
        <w:t>presented  as means ± standard deviation (SD). Data were analysed using a one way analysis of variance (ANOVA)</w:t>
      </w:r>
      <w:r>
        <w:rPr>
          <w:spacing w:val="25"/>
        </w:rPr>
        <w:t> </w:t>
      </w:r>
      <w:r>
        <w:rPr/>
        <w:t>and</w:t>
      </w:r>
      <w:r>
        <w:rPr>
          <w:spacing w:val="24"/>
        </w:rPr>
        <w:t> </w:t>
      </w:r>
      <w:r>
        <w:rPr/>
        <w:t>Turkey</w:t>
      </w:r>
      <w:r>
        <w:rPr>
          <w:spacing w:val="14"/>
        </w:rPr>
        <w:t> </w:t>
      </w:r>
      <w:r>
        <w:rPr/>
        <w:t>test</w:t>
      </w:r>
      <w:r>
        <w:rPr>
          <w:spacing w:val="29"/>
        </w:rPr>
        <w:t> </w:t>
      </w:r>
      <w:r>
        <w:rPr/>
        <w:t>for</w:t>
      </w:r>
      <w:r>
        <w:rPr>
          <w:spacing w:val="25"/>
        </w:rPr>
        <w:t> </w:t>
      </w:r>
      <w:r>
        <w:rPr/>
        <w:t>a</w:t>
      </w:r>
      <w:r>
        <w:rPr>
          <w:spacing w:val="23"/>
        </w:rPr>
        <w:t> </w:t>
      </w:r>
      <w:r>
        <w:rPr/>
        <w:t>statistical</w:t>
      </w:r>
      <w:r>
        <w:rPr>
          <w:spacing w:val="19"/>
        </w:rPr>
        <w:t> </w:t>
      </w:r>
      <w:r>
        <w:rPr/>
        <w:t>significance</w:t>
      </w:r>
      <w:r>
        <w:rPr>
          <w:spacing w:val="23"/>
        </w:rPr>
        <w:t> </w:t>
      </w:r>
      <w:r>
        <w:rPr/>
        <w:t>P</w:t>
      </w:r>
      <w:r>
        <w:rPr>
          <w:spacing w:val="24"/>
        </w:rPr>
        <w:t> </w:t>
      </w:r>
      <w:r>
        <w:rPr/>
        <w:t>≤</w:t>
      </w:r>
      <w:r>
        <w:rPr>
          <w:spacing w:val="28"/>
        </w:rPr>
        <w:t> </w:t>
      </w:r>
      <w:r>
        <w:rPr/>
        <w:t>0.05,</w:t>
      </w:r>
      <w:r>
        <w:rPr>
          <w:spacing w:val="26"/>
        </w:rPr>
        <w:t> </w:t>
      </w:r>
      <w:r>
        <w:rPr/>
        <w:t>using</w:t>
      </w:r>
      <w:r>
        <w:rPr>
          <w:spacing w:val="24"/>
        </w:rPr>
        <w:t> </w:t>
      </w:r>
      <w:r>
        <w:rPr/>
        <w:t>the</w:t>
      </w:r>
      <w:r>
        <w:rPr>
          <w:spacing w:val="23"/>
        </w:rPr>
        <w:t> </w:t>
      </w:r>
      <w:r>
        <w:rPr/>
        <w:t>SPSS</w:t>
      </w:r>
      <w:r>
        <w:rPr>
          <w:spacing w:val="24"/>
        </w:rPr>
        <w:t> </w:t>
      </w:r>
      <w:r>
        <w:rPr/>
        <w:t>Statistics</w:t>
      </w:r>
    </w:p>
    <w:p>
      <w:pPr>
        <w:pStyle w:val="BodyText"/>
        <w:spacing w:before="1"/>
        <w:ind w:left="100"/>
        <w:jc w:val="both"/>
      </w:pPr>
      <w:r>
        <w:rPr/>
        <w:t>19.0 (IBM Corporation, NY, USA).</w:t>
      </w:r>
    </w:p>
    <w:p>
      <w:pPr>
        <w:pStyle w:val="BodyText"/>
      </w:pPr>
    </w:p>
    <w:p>
      <w:pPr>
        <w:pStyle w:val="BodyText"/>
        <w:spacing w:before="2"/>
      </w:pPr>
    </w:p>
    <w:p>
      <w:pPr>
        <w:pStyle w:val="ListParagraph"/>
        <w:numPr>
          <w:ilvl w:val="0"/>
          <w:numId w:val="10"/>
        </w:numPr>
        <w:tabs>
          <w:tab w:pos="345" w:val="left" w:leader="none"/>
        </w:tabs>
        <w:spacing w:line="240" w:lineRule="auto" w:before="1" w:after="0"/>
        <w:ind w:left="344" w:right="0" w:hanging="244"/>
        <w:jc w:val="both"/>
        <w:rPr>
          <w:b/>
          <w:sz w:val="24"/>
        </w:rPr>
      </w:pPr>
      <w:r>
        <w:rPr>
          <w:b/>
          <w:sz w:val="24"/>
        </w:rPr>
        <w:t>Results and</w:t>
      </w:r>
      <w:r>
        <w:rPr>
          <w:b/>
          <w:spacing w:val="-17"/>
          <w:sz w:val="24"/>
        </w:rPr>
        <w:t> </w:t>
      </w:r>
      <w:r>
        <w:rPr>
          <w:b/>
          <w:sz w:val="24"/>
        </w:rPr>
        <w:t>discussion</w:t>
      </w:r>
    </w:p>
    <w:p>
      <w:pPr>
        <w:pStyle w:val="BodyText"/>
        <w:rPr>
          <w:b/>
        </w:rPr>
      </w:pPr>
    </w:p>
    <w:p>
      <w:pPr>
        <w:pStyle w:val="BodyText"/>
        <w:spacing w:before="9"/>
        <w:rPr>
          <w:b/>
          <w:sz w:val="23"/>
        </w:rPr>
      </w:pPr>
    </w:p>
    <w:p>
      <w:pPr>
        <w:pStyle w:val="ListParagraph"/>
        <w:numPr>
          <w:ilvl w:val="1"/>
          <w:numId w:val="10"/>
        </w:numPr>
        <w:tabs>
          <w:tab w:pos="523" w:val="left" w:leader="none"/>
        </w:tabs>
        <w:spacing w:line="240" w:lineRule="auto" w:before="0" w:after="0"/>
        <w:ind w:left="522" w:right="0" w:hanging="422"/>
        <w:jc w:val="both"/>
        <w:rPr>
          <w:i/>
          <w:sz w:val="24"/>
        </w:rPr>
      </w:pPr>
      <w:r>
        <w:rPr>
          <w:i/>
          <w:sz w:val="24"/>
        </w:rPr>
        <w:t>Sorption</w:t>
      </w:r>
      <w:r>
        <w:rPr>
          <w:i/>
          <w:spacing w:val="-7"/>
          <w:sz w:val="24"/>
        </w:rPr>
        <w:t> </w:t>
      </w:r>
      <w:r>
        <w:rPr>
          <w:i/>
          <w:sz w:val="24"/>
        </w:rPr>
        <w:t>isotherms</w:t>
      </w:r>
    </w:p>
    <w:p>
      <w:pPr>
        <w:pStyle w:val="BodyText"/>
        <w:spacing w:line="357" w:lineRule="auto" w:before="136"/>
        <w:ind w:left="100" w:right="109"/>
        <w:jc w:val="both"/>
      </w:pPr>
      <w:r>
        <w:rPr>
          <w:position w:val="2"/>
        </w:rPr>
        <w:t>The experimental sorption data were fitted to GAB model and the model parameters </w:t>
      </w:r>
      <w:r>
        <w:rPr>
          <w:i/>
          <w:position w:val="2"/>
        </w:rPr>
        <w:t>M</w:t>
      </w:r>
      <w:r>
        <w:rPr>
          <w:i/>
          <w:sz w:val="16"/>
        </w:rPr>
        <w:t>0</w:t>
      </w:r>
      <w:r>
        <w:rPr>
          <w:position w:val="2"/>
        </w:rPr>
        <w:t>, </w:t>
      </w:r>
      <w:r>
        <w:rPr>
          <w:i/>
          <w:position w:val="2"/>
        </w:rPr>
        <w:t>C </w:t>
      </w:r>
      <w:r>
        <w:rPr/>
        <w:t>and </w:t>
      </w:r>
      <w:r>
        <w:rPr>
          <w:i/>
        </w:rPr>
        <w:t>K </w:t>
      </w:r>
      <w:r>
        <w:rPr/>
        <w:t>determined by non-linear regression procedure (Table 1). The coefficient of determination, </w:t>
      </w:r>
      <w:r>
        <w:rPr>
          <w:i/>
        </w:rPr>
        <w:t>r</w:t>
      </w:r>
      <w:r>
        <w:rPr>
          <w:i/>
          <w:position w:val="9"/>
          <w:sz w:val="16"/>
        </w:rPr>
        <w:t>2</w:t>
      </w:r>
      <w:r>
        <w:rPr/>
        <w:t>, was over 0.99 and the mean relative deviation modulus was lower than 5%, </w:t>
      </w:r>
      <w:r>
        <w:rPr>
          <w:position w:val="2"/>
        </w:rPr>
        <w:t>indicating good fit to this model. The moisture monolayer content (</w:t>
      </w:r>
      <w:r>
        <w:rPr>
          <w:i/>
          <w:position w:val="2"/>
        </w:rPr>
        <w:t>M</w:t>
      </w:r>
      <w:r>
        <w:rPr>
          <w:i/>
          <w:sz w:val="16"/>
        </w:rPr>
        <w:t>0</w:t>
      </w:r>
      <w:r>
        <w:rPr>
          <w:position w:val="2"/>
        </w:rPr>
        <w:t>) value is of particular </w:t>
      </w:r>
      <w:r>
        <w:rPr/>
        <w:t>interest since it represents the amount of water that is strongly bound to specific sites on the surface of the microcapsule, and it represents the optimal moisture content where dehydrated foods have maximum shelf life because deteriorative reactions are limited, with  the </w:t>
      </w:r>
      <w:r>
        <w:rPr>
          <w:position w:val="2"/>
        </w:rPr>
        <w:t>exception, perhaps, of the lipid oxidation (Frankel, 2005). In this work, </w:t>
      </w:r>
      <w:r>
        <w:rPr>
          <w:i/>
          <w:position w:val="2"/>
        </w:rPr>
        <w:t>M</w:t>
      </w:r>
      <w:r>
        <w:rPr>
          <w:i/>
          <w:sz w:val="16"/>
        </w:rPr>
        <w:t>0 </w:t>
      </w:r>
      <w:r>
        <w:rPr>
          <w:position w:val="2"/>
        </w:rPr>
        <w:t>values decreased from 6.315 to 5.179 kg H</w:t>
      </w:r>
      <w:r>
        <w:rPr>
          <w:sz w:val="16"/>
        </w:rPr>
        <w:t>2</w:t>
      </w:r>
      <w:r>
        <w:rPr>
          <w:position w:val="2"/>
        </w:rPr>
        <w:t>O/100 kg d.s. as temperature increased. Similar results were </w:t>
      </w:r>
      <w:r>
        <w:rPr/>
        <w:t>obtained  by  Rascón  et  al.  (2015)  with  paprika  oleoresin  microcapsules  (6.502-6.391  kg</w:t>
      </w:r>
    </w:p>
    <w:p>
      <w:pPr>
        <w:spacing w:after="0" w:line="357" w:lineRule="auto"/>
        <w:jc w:val="both"/>
        <w:sectPr>
          <w:type w:val="continuous"/>
          <w:pgSz w:w="11900" w:h="16840"/>
          <w:pgMar w:top="1580" w:bottom="280" w:left="1340" w:right="1320"/>
        </w:sectPr>
      </w:pPr>
    </w:p>
    <w:p>
      <w:pPr>
        <w:pStyle w:val="BodyText"/>
        <w:spacing w:before="53"/>
        <w:ind w:left="100"/>
        <w:jc w:val="both"/>
      </w:pPr>
      <w:r>
        <w:rPr>
          <w:position w:val="2"/>
        </w:rPr>
        <w:t>H</w:t>
      </w:r>
      <w:r>
        <w:rPr>
          <w:sz w:val="16"/>
        </w:rPr>
        <w:t>2</w:t>
      </w:r>
      <w:r>
        <w:rPr>
          <w:position w:val="2"/>
        </w:rPr>
        <w:t>O/100 kg d.s.), and Silva et al. (2014) with rosemary essential oil    microcapsules (12.418-</w:t>
      </w:r>
    </w:p>
    <w:p>
      <w:pPr>
        <w:pStyle w:val="BodyText"/>
        <w:spacing w:line="360" w:lineRule="auto" w:before="134"/>
        <w:ind w:left="100" w:right="116"/>
        <w:jc w:val="both"/>
      </w:pPr>
      <w:r>
        <w:rPr>
          <w:position w:val="2"/>
        </w:rPr>
        <w:t>8.412 kg H</w:t>
      </w:r>
      <w:r>
        <w:rPr>
          <w:sz w:val="16"/>
        </w:rPr>
        <w:t>2</w:t>
      </w:r>
      <w:r>
        <w:rPr>
          <w:position w:val="2"/>
        </w:rPr>
        <w:t>O/100 kg d.s.). The decrease </w:t>
      </w:r>
      <w:r>
        <w:rPr>
          <w:spacing w:val="-3"/>
          <w:position w:val="2"/>
        </w:rPr>
        <w:t>in </w:t>
      </w:r>
      <w:r>
        <w:rPr>
          <w:i/>
          <w:position w:val="2"/>
        </w:rPr>
        <w:t>M</w:t>
      </w:r>
      <w:r>
        <w:rPr>
          <w:i/>
          <w:sz w:val="16"/>
        </w:rPr>
        <w:t>0 </w:t>
      </w:r>
      <w:r>
        <w:rPr>
          <w:spacing w:val="-5"/>
          <w:position w:val="2"/>
        </w:rPr>
        <w:t>is </w:t>
      </w:r>
      <w:r>
        <w:rPr>
          <w:position w:val="2"/>
        </w:rPr>
        <w:t>due to structural changes  on  the  </w:t>
      </w:r>
      <w:r>
        <w:rPr/>
        <w:t>biopolymer matrix as result of temperature increase, which reduces the active sites on the surface of the microcapsule where water can </w:t>
      </w:r>
      <w:r>
        <w:rPr>
          <w:spacing w:val="-3"/>
        </w:rPr>
        <w:t>be </w:t>
      </w:r>
      <w:r>
        <w:rPr/>
        <w:t>adsorbed. The </w:t>
      </w:r>
      <w:r>
        <w:rPr>
          <w:spacing w:val="-3"/>
        </w:rPr>
        <w:t>value </w:t>
      </w:r>
      <w:r>
        <w:rPr/>
        <w:t>of </w:t>
      </w:r>
      <w:r>
        <w:rPr>
          <w:i/>
        </w:rPr>
        <w:t>C </w:t>
      </w:r>
      <w:r>
        <w:rPr>
          <w:spacing w:val="-3"/>
        </w:rPr>
        <w:t>is  </w:t>
      </w:r>
      <w:r>
        <w:rPr/>
        <w:t>related to the heat of moisture sorption. A strong water-matrix interaction </w:t>
      </w:r>
      <w:r>
        <w:rPr>
          <w:spacing w:val="-3"/>
        </w:rPr>
        <w:t>is </w:t>
      </w:r>
      <w:r>
        <w:rPr/>
        <w:t>assumed at  lower temperatures, with </w:t>
      </w:r>
      <w:r>
        <w:rPr>
          <w:i/>
        </w:rPr>
        <w:t>C </w:t>
      </w:r>
      <w:r>
        <w:rPr/>
        <w:t>increasing as temperature decreases. However, </w:t>
      </w:r>
      <w:r>
        <w:rPr>
          <w:spacing w:val="-3"/>
        </w:rPr>
        <w:t>in </w:t>
      </w:r>
      <w:r>
        <w:rPr/>
        <w:t>this work, the opposite trend was observed, with </w:t>
      </w:r>
      <w:r>
        <w:rPr>
          <w:i/>
        </w:rPr>
        <w:t>C </w:t>
      </w:r>
      <w:r>
        <w:rPr/>
        <w:t>increasing as temperature increased, probably as a consequence </w:t>
      </w:r>
      <w:r>
        <w:rPr>
          <w:spacing w:val="4"/>
        </w:rPr>
        <w:t>of </w:t>
      </w:r>
      <w:r>
        <w:rPr/>
        <w:t>irreversible changes associated with relative high temperature (Diosady et al</w:t>
      </w:r>
      <w:r>
        <w:rPr>
          <w:i/>
        </w:rPr>
        <w:t>.</w:t>
      </w:r>
      <w:r>
        <w:rPr/>
        <w:t>, 1996). The </w:t>
      </w:r>
      <w:r>
        <w:rPr>
          <w:i/>
        </w:rPr>
        <w:t>K </w:t>
      </w:r>
      <w:r>
        <w:rPr/>
        <w:t>parameter </w:t>
      </w:r>
      <w:r>
        <w:rPr>
          <w:spacing w:val="-3"/>
        </w:rPr>
        <w:t>is </w:t>
      </w:r>
      <w:r>
        <w:rPr/>
        <w:t>associated with the correcting properties of the multilayer molecules with respect to </w:t>
      </w:r>
      <w:r>
        <w:rPr>
          <w:spacing w:val="-3"/>
        </w:rPr>
        <w:t>bulk </w:t>
      </w:r>
      <w:r>
        <w:rPr/>
        <w:t>liquid. If </w:t>
      </w:r>
      <w:r>
        <w:rPr>
          <w:i/>
        </w:rPr>
        <w:t>K </w:t>
      </w:r>
      <w:r>
        <w:rPr/>
        <w:t>= 1, water </w:t>
      </w:r>
      <w:r>
        <w:rPr>
          <w:spacing w:val="-5"/>
        </w:rPr>
        <w:t>in </w:t>
      </w:r>
      <w:r>
        <w:rPr/>
        <w:t>the multilayer has </w:t>
      </w:r>
      <w:r>
        <w:rPr>
          <w:spacing w:val="-3"/>
        </w:rPr>
        <w:t>bulk </w:t>
      </w:r>
      <w:r>
        <w:rPr/>
        <w:t>liquid properties, </w:t>
      </w:r>
      <w:r>
        <w:rPr>
          <w:spacing w:val="-3"/>
        </w:rPr>
        <w:t>in </w:t>
      </w:r>
      <w:r>
        <w:rPr/>
        <w:t>this work the values of </w:t>
      </w:r>
      <w:r>
        <w:rPr>
          <w:i/>
        </w:rPr>
        <w:t>K </w:t>
      </w:r>
      <w:r>
        <w:rPr/>
        <w:t>did not show a </w:t>
      </w:r>
      <w:r>
        <w:rPr>
          <w:spacing w:val="-3"/>
        </w:rPr>
        <w:t>clear </w:t>
      </w:r>
      <w:r>
        <w:rPr/>
        <w:t>trend with temperature. Lewicki (1997) stated that the GAB model describes well sigmoidal-type isotherms when </w:t>
      </w:r>
      <w:r>
        <w:rPr>
          <w:i/>
        </w:rPr>
        <w:t>K </w:t>
      </w:r>
      <w:r>
        <w:rPr/>
        <w:t>values  fall between 0.24 and 1. For the microcapsules, the </w:t>
      </w:r>
      <w:r>
        <w:rPr>
          <w:i/>
        </w:rPr>
        <w:t>K </w:t>
      </w:r>
      <w:r>
        <w:rPr/>
        <w:t>values at the three temperatures studied fell within this range. It can </w:t>
      </w:r>
      <w:r>
        <w:rPr>
          <w:spacing w:val="-3"/>
        </w:rPr>
        <w:t>also be </w:t>
      </w:r>
      <w:r>
        <w:rPr/>
        <w:t>that both </w:t>
      </w:r>
      <w:r>
        <w:rPr>
          <w:i/>
        </w:rPr>
        <w:t>C </w:t>
      </w:r>
      <w:r>
        <w:rPr>
          <w:spacing w:val="-4"/>
        </w:rPr>
        <w:t>and </w:t>
      </w:r>
      <w:r>
        <w:rPr>
          <w:i/>
        </w:rPr>
        <w:t>K </w:t>
      </w:r>
      <w:r>
        <w:rPr/>
        <w:t>parameters </w:t>
      </w:r>
      <w:r>
        <w:rPr>
          <w:spacing w:val="-3"/>
        </w:rPr>
        <w:t>lack </w:t>
      </w:r>
      <w:r>
        <w:rPr>
          <w:spacing w:val="3"/>
        </w:rPr>
        <w:t>of </w:t>
      </w:r>
      <w:r>
        <w:rPr/>
        <w:t>physical meaning and they are just a </w:t>
      </w:r>
      <w:r>
        <w:rPr>
          <w:spacing w:val="-3"/>
        </w:rPr>
        <w:t>result </w:t>
      </w:r>
      <w:r>
        <w:rPr/>
        <w:t>from the mathematical data </w:t>
      </w:r>
      <w:r>
        <w:rPr>
          <w:spacing w:val="-5"/>
        </w:rPr>
        <w:t>fit </w:t>
      </w:r>
      <w:r>
        <w:rPr/>
        <w:t>to the</w:t>
      </w:r>
      <w:r>
        <w:rPr>
          <w:spacing w:val="21"/>
        </w:rPr>
        <w:t> </w:t>
      </w:r>
      <w:r>
        <w:rPr>
          <w:spacing w:val="-3"/>
        </w:rPr>
        <w:t>model.</w:t>
      </w:r>
    </w:p>
    <w:p>
      <w:pPr>
        <w:pStyle w:val="BodyText"/>
      </w:pPr>
    </w:p>
    <w:p>
      <w:pPr>
        <w:pStyle w:val="ListParagraph"/>
        <w:numPr>
          <w:ilvl w:val="1"/>
          <w:numId w:val="10"/>
        </w:numPr>
        <w:tabs>
          <w:tab w:pos="523" w:val="left" w:leader="none"/>
        </w:tabs>
        <w:spacing w:line="240" w:lineRule="auto" w:before="146" w:after="0"/>
        <w:ind w:left="522" w:right="0" w:hanging="422"/>
        <w:jc w:val="both"/>
        <w:rPr>
          <w:i/>
          <w:sz w:val="24"/>
        </w:rPr>
      </w:pPr>
      <w:r>
        <w:rPr>
          <w:i/>
          <w:sz w:val="24"/>
        </w:rPr>
        <w:t>Minimum integral</w:t>
      </w:r>
      <w:r>
        <w:rPr>
          <w:i/>
          <w:spacing w:val="-9"/>
          <w:sz w:val="24"/>
        </w:rPr>
        <w:t> </w:t>
      </w:r>
      <w:r>
        <w:rPr>
          <w:i/>
          <w:sz w:val="24"/>
        </w:rPr>
        <w:t>entropy</w:t>
      </w:r>
    </w:p>
    <w:p>
      <w:pPr>
        <w:pStyle w:val="BodyText"/>
        <w:spacing w:line="360" w:lineRule="auto" w:before="137"/>
        <w:ind w:left="100" w:right="112" w:firstLine="427"/>
        <w:jc w:val="both"/>
        <w:rPr>
          <w:i/>
          <w:sz w:val="16"/>
        </w:rPr>
      </w:pPr>
      <w:r>
        <w:rPr/>
        <w:t>Figure 1 depicts the variation </w:t>
      </w:r>
      <w:r>
        <w:rPr>
          <w:spacing w:val="4"/>
        </w:rPr>
        <w:t>of </w:t>
      </w:r>
      <w:r>
        <w:rPr/>
        <w:t>integral entropy at 25, 35 and 40 </w:t>
      </w:r>
      <w:r>
        <w:rPr>
          <w:spacing w:val="-3"/>
        </w:rPr>
        <w:t>°C </w:t>
      </w:r>
      <w:r>
        <w:rPr/>
        <w:t>as function of moisture content. This property describes the degree of order/disorder or randomness of motion of the water molecules. The microcapsules presented a decrease </w:t>
      </w:r>
      <w:r>
        <w:rPr>
          <w:spacing w:val="-3"/>
        </w:rPr>
        <w:t>in </w:t>
      </w:r>
      <w:r>
        <w:rPr/>
        <w:t>integral entropy as moisture content increased, denoting a restriction </w:t>
      </w:r>
      <w:r>
        <w:rPr>
          <w:spacing w:val="-3"/>
        </w:rPr>
        <w:t>in </w:t>
      </w:r>
      <w:r>
        <w:rPr/>
        <w:t>water molecules mobility because available sites become saturated (Velázquez-Gutiérrez </w:t>
      </w:r>
      <w:r>
        <w:rPr>
          <w:spacing w:val="-3"/>
        </w:rPr>
        <w:t>et al., </w:t>
      </w:r>
      <w:r>
        <w:rPr/>
        <w:t>2015). One point to highlight </w:t>
      </w:r>
      <w:r>
        <w:rPr>
          <w:spacing w:val="-3"/>
        </w:rPr>
        <w:t>is </w:t>
      </w:r>
      <w:r>
        <w:rPr/>
        <w:t>its minimum value, which </w:t>
      </w:r>
      <w:r>
        <w:rPr>
          <w:spacing w:val="-5"/>
        </w:rPr>
        <w:t>is </w:t>
      </w:r>
      <w:r>
        <w:rPr/>
        <w:t>considered as the maximum stability point since  water  molecules are more ordered within the matrix and strong adsorbate-adsorbent bonds occur, </w:t>
      </w:r>
      <w:r>
        <w:rPr>
          <w:spacing w:val="-4"/>
        </w:rPr>
        <w:t>so </w:t>
      </w:r>
      <w:r>
        <w:rPr/>
        <w:t>that water </w:t>
      </w:r>
      <w:r>
        <w:rPr>
          <w:spacing w:val="-5"/>
        </w:rPr>
        <w:t>is </w:t>
      </w:r>
      <w:r>
        <w:rPr/>
        <w:t>less available </w:t>
      </w:r>
      <w:r>
        <w:rPr>
          <w:spacing w:val="2"/>
        </w:rPr>
        <w:t>to </w:t>
      </w:r>
      <w:r>
        <w:rPr/>
        <w:t>participate </w:t>
      </w:r>
      <w:r>
        <w:rPr>
          <w:spacing w:val="-3"/>
        </w:rPr>
        <w:t>in </w:t>
      </w:r>
      <w:r>
        <w:rPr/>
        <w:t>spoilage reactions (Nunes and Rotstein, 1991; Pérez-Alonso </w:t>
      </w:r>
      <w:r>
        <w:rPr>
          <w:spacing w:val="-3"/>
        </w:rPr>
        <w:t>et al., </w:t>
      </w:r>
      <w:r>
        <w:rPr/>
        <w:t>2006). From here, a slight but progressive increase </w:t>
      </w:r>
      <w:r>
        <w:rPr>
          <w:spacing w:val="-3"/>
        </w:rPr>
        <w:t>in </w:t>
      </w:r>
      <w:r>
        <w:rPr/>
        <w:t>magnitude </w:t>
      </w:r>
      <w:r>
        <w:rPr>
          <w:spacing w:val="-5"/>
        </w:rPr>
        <w:t>is </w:t>
      </w:r>
      <w:r>
        <w:rPr/>
        <w:t>observed, consequence of the formation of multilayers. It can </w:t>
      </w:r>
      <w:r>
        <w:rPr>
          <w:spacing w:val="-3"/>
        </w:rPr>
        <w:t>be </w:t>
      </w:r>
      <w:r>
        <w:rPr/>
        <w:t>observed that the moisture content </w:t>
      </w:r>
      <w:r>
        <w:rPr>
          <w:spacing w:val="-3"/>
        </w:rPr>
        <w:t>value </w:t>
      </w:r>
      <w:r>
        <w:rPr/>
        <w:t>corresponding </w:t>
      </w:r>
      <w:r>
        <w:rPr>
          <w:spacing w:val="2"/>
        </w:rPr>
        <w:t>to </w:t>
      </w:r>
      <w:r>
        <w:rPr/>
        <w:t>the minimum integral entropy was greater than that of the monolayer value obtained from GAB. Although there </w:t>
      </w:r>
      <w:r>
        <w:rPr>
          <w:spacing w:val="-3"/>
        </w:rPr>
        <w:t>is </w:t>
      </w:r>
      <w:r>
        <w:rPr/>
        <w:t>a unique minimum entropy point, </w:t>
      </w:r>
      <w:r>
        <w:rPr>
          <w:spacing w:val="-3"/>
        </w:rPr>
        <w:t>in </w:t>
      </w:r>
      <w:r>
        <w:rPr/>
        <w:t>this work values near the minimum integral entropy did not vary significantly </w:t>
      </w:r>
      <w:r>
        <w:rPr>
          <w:spacing w:val="-3"/>
        </w:rPr>
        <w:t>in </w:t>
      </w:r>
      <w:r>
        <w:rPr/>
        <w:t>a defined range </w:t>
      </w:r>
      <w:r>
        <w:rPr>
          <w:spacing w:val="4"/>
        </w:rPr>
        <w:t>of </w:t>
      </w:r>
      <w:r>
        <w:rPr/>
        <w:t>moisture content, </w:t>
      </w:r>
      <w:r>
        <w:rPr>
          <w:spacing w:val="-4"/>
        </w:rPr>
        <w:t>so </w:t>
      </w:r>
      <w:r>
        <w:rPr>
          <w:spacing w:val="-5"/>
        </w:rPr>
        <w:t>it </w:t>
      </w:r>
      <w:r>
        <w:rPr/>
        <w:t>was then convenient to consider a minimum entropy zone instead of a single minimum point. The minimum integral entropy was found between 12.60 </w:t>
      </w:r>
      <w:r>
        <w:rPr>
          <w:position w:val="2"/>
        </w:rPr>
        <w:t>and 13.75,  11.49 and 12.64,  11.38 and 12.59 kg H</w:t>
      </w:r>
      <w:r>
        <w:rPr>
          <w:sz w:val="16"/>
        </w:rPr>
        <w:t>2</w:t>
      </w:r>
      <w:r>
        <w:rPr>
          <w:position w:val="2"/>
        </w:rPr>
        <w:t>O/100 kg d.s.,  corresponding </w:t>
      </w:r>
      <w:r>
        <w:rPr>
          <w:spacing w:val="2"/>
          <w:position w:val="2"/>
        </w:rPr>
        <w:t>to   </w:t>
      </w:r>
      <w:r>
        <w:rPr>
          <w:spacing w:val="7"/>
          <w:position w:val="2"/>
        </w:rPr>
        <w:t> </w:t>
      </w:r>
      <w:r>
        <w:rPr>
          <w:position w:val="2"/>
        </w:rPr>
        <w:t>the  </w:t>
      </w:r>
      <w:r>
        <w:rPr>
          <w:i/>
          <w:position w:val="2"/>
        </w:rPr>
        <w:t>a</w:t>
      </w:r>
      <w:r>
        <w:rPr>
          <w:i/>
          <w:sz w:val="16"/>
        </w:rPr>
        <w:t>w</w:t>
      </w:r>
    </w:p>
    <w:p>
      <w:pPr>
        <w:pStyle w:val="BodyText"/>
        <w:spacing w:before="1"/>
        <w:ind w:left="100"/>
        <w:jc w:val="both"/>
      </w:pPr>
      <w:r>
        <w:rPr/>
        <w:t>range of 0.625-0.672, 0.617-0.668 and 0.666-0.718, for 25, 35 and 40 °C, respectively. These</w:t>
      </w:r>
    </w:p>
    <w:p>
      <w:pPr>
        <w:spacing w:after="0"/>
        <w:jc w:val="both"/>
        <w:sectPr>
          <w:pgSz w:w="11900" w:h="16840"/>
          <w:pgMar w:header="0" w:footer="1026" w:top="1360" w:bottom="1220" w:left="1340" w:right="1320"/>
        </w:sectPr>
      </w:pPr>
    </w:p>
    <w:p>
      <w:pPr>
        <w:pStyle w:val="BodyText"/>
        <w:spacing w:line="360" w:lineRule="auto" w:before="54"/>
        <w:ind w:left="100" w:right="110"/>
        <w:jc w:val="both"/>
      </w:pPr>
      <w:r>
        <w:rPr/>
        <w:t>conditions can be considered as those of maximum stability for the microcapsules as the powders have increased shelf life. Similar behaviour was found in spray-dried rosemary essential oil microcapsules (Silva et al., 2014) using gum Arabic as wall material where the </w:t>
      </w:r>
      <w:r>
        <w:rPr>
          <w:position w:val="2"/>
        </w:rPr>
        <w:t>authors found the maximum stability conditions to be 8.447-14.715 kg H</w:t>
      </w:r>
      <w:r>
        <w:rPr>
          <w:sz w:val="16"/>
        </w:rPr>
        <w:t>2</w:t>
      </w:r>
      <w:r>
        <w:rPr>
          <w:position w:val="2"/>
        </w:rPr>
        <w:t>O/100 kg d.s., </w:t>
      </w:r>
      <w:r>
        <w:rPr/>
        <w:t>corresponding to temperatures from 15 to 45 °C. Bonilla et al. (2010) microencapsulated canola oil using different wall materials such as mesquite gum, whey protein concentrate and soybean protein isolate at a core to wall material ratio of 0.87:1 for the former two biopolymers and of 2:1 in for the latter biopolymer. They concluded that microcapsules produced with soybean protein isolate, mesquite gum and whey protein concentrate exhibited </w:t>
      </w:r>
      <w:r>
        <w:rPr>
          <w:position w:val="2"/>
        </w:rPr>
        <w:t>minimum integral entropy values of 10.59, 10.40 and 6.38 kg H</w:t>
      </w:r>
      <w:r>
        <w:rPr>
          <w:sz w:val="16"/>
        </w:rPr>
        <w:t>2</w:t>
      </w:r>
      <w:r>
        <w:rPr>
          <w:position w:val="2"/>
        </w:rPr>
        <w:t>O/100 kg d.s., respectively.</w:t>
      </w:r>
    </w:p>
    <w:p>
      <w:pPr>
        <w:pStyle w:val="BodyText"/>
      </w:pPr>
    </w:p>
    <w:p>
      <w:pPr>
        <w:pStyle w:val="ListParagraph"/>
        <w:numPr>
          <w:ilvl w:val="1"/>
          <w:numId w:val="10"/>
        </w:numPr>
        <w:tabs>
          <w:tab w:pos="523" w:val="left" w:leader="none"/>
        </w:tabs>
        <w:spacing w:line="240" w:lineRule="auto" w:before="142" w:after="0"/>
        <w:ind w:left="522" w:right="0" w:hanging="422"/>
        <w:jc w:val="both"/>
        <w:rPr>
          <w:i/>
          <w:sz w:val="24"/>
        </w:rPr>
      </w:pPr>
      <w:r>
        <w:rPr>
          <w:i/>
          <w:sz w:val="24"/>
        </w:rPr>
        <w:t>Glass transition temperature (Tg) and critical storage conditions</w:t>
      </w:r>
      <w:r>
        <w:rPr>
          <w:i/>
          <w:spacing w:val="-23"/>
          <w:sz w:val="24"/>
        </w:rPr>
        <w:t> </w:t>
      </w:r>
      <w:r>
        <w:rPr>
          <w:i/>
          <w:sz w:val="24"/>
        </w:rPr>
        <w:t>(CSC)</w:t>
      </w:r>
    </w:p>
    <w:p>
      <w:pPr>
        <w:pStyle w:val="BodyText"/>
        <w:spacing w:line="360" w:lineRule="auto" w:before="137"/>
        <w:ind w:left="100" w:right="115" w:firstLine="427"/>
        <w:jc w:val="both"/>
      </w:pPr>
      <w:r>
        <w:rPr/>
        <w:t>Figure 2 shows that the </w:t>
      </w:r>
      <w:r>
        <w:rPr>
          <w:i/>
        </w:rPr>
        <w:t>Tg </w:t>
      </w:r>
      <w:r>
        <w:rPr/>
        <w:t>at a given water activity depended on the storage temperature and wall material of the microcapsules. The </w:t>
      </w:r>
      <w:r>
        <w:rPr>
          <w:i/>
        </w:rPr>
        <w:t>Tg </w:t>
      </w:r>
      <w:r>
        <w:rPr/>
        <w:t>of amorphous food matrices decreases with increasing moisture content owing to water plasticization effects. Sticky point, caking and </w:t>
      </w:r>
      <w:r>
        <w:rPr>
          <w:position w:val="2"/>
        </w:rPr>
        <w:t>collapse of microcapsules were associated with high moisture content and </w:t>
      </w:r>
      <w:r>
        <w:rPr>
          <w:i/>
          <w:position w:val="2"/>
        </w:rPr>
        <w:t>a</w:t>
      </w:r>
      <w:r>
        <w:rPr>
          <w:i/>
          <w:sz w:val="16"/>
        </w:rPr>
        <w:t>w </w:t>
      </w:r>
      <w:r>
        <w:rPr>
          <w:position w:val="2"/>
        </w:rPr>
        <w:t>&gt; 0.6, due to </w:t>
      </w:r>
      <w:r>
        <w:rPr/>
        <w:t>changes of hydration and physical composition in biopolymeric matrix, leading to a modified glass transition temperature (Drusch et al., 2006). It has been shown that the addition of biopolymers as maltodextrins, proteins and gum Arabic leads to a considerable increase on </w:t>
      </w:r>
      <w:r>
        <w:rPr>
          <w:i/>
        </w:rPr>
        <w:t>Tg</w:t>
      </w:r>
      <w:r>
        <w:rPr/>
        <w:t>, confirming the efficiency of spray-drying and the improvement of the microcapsules characteristics and stability (Tonon et al., 2009; Jakubczyk et al., 2010; Ramoneda et  al., 2011; Mosquera et al., 2012). The experimental data of glass transition temperatures of microcapsules equilibrated at different water activities in the range of 0.105-0.765 and temperatures (25, 35 and 40 °C) were adjusted to the Gordon-Taylor model. The estimated </w:t>
      </w:r>
      <w:r>
        <w:rPr>
          <w:position w:val="2"/>
        </w:rPr>
        <w:t>parameters, </w:t>
      </w:r>
      <w:r>
        <w:rPr>
          <w:i/>
          <w:position w:val="2"/>
        </w:rPr>
        <w:t>k </w:t>
      </w:r>
      <w:r>
        <w:rPr>
          <w:position w:val="2"/>
        </w:rPr>
        <w:t>and </w:t>
      </w:r>
      <w:r>
        <w:rPr>
          <w:i/>
          <w:position w:val="2"/>
        </w:rPr>
        <w:t>Tg</w:t>
      </w:r>
      <w:r>
        <w:rPr>
          <w:i/>
          <w:sz w:val="16"/>
        </w:rPr>
        <w:t>s  </w:t>
      </w:r>
      <w:r>
        <w:rPr>
          <w:position w:val="2"/>
        </w:rPr>
        <w:t>of the anhydrous microcapsules for each fitting are presented in   Table</w:t>
      </w:r>
    </w:p>
    <w:p>
      <w:pPr>
        <w:pStyle w:val="BodyText"/>
        <w:spacing w:line="360" w:lineRule="auto"/>
        <w:ind w:left="100" w:right="109"/>
        <w:jc w:val="both"/>
      </w:pPr>
      <w:r>
        <w:rPr/>
        <w:t>2. The </w:t>
      </w:r>
      <w:r>
        <w:rPr>
          <w:i/>
        </w:rPr>
        <w:t>k </w:t>
      </w:r>
      <w:r>
        <w:rPr/>
        <w:t>values ranged from 1.43 to 1.97 when temperature increased from 25 to 40 ºC; this parameter controls the degree of curvature of the glass transition temperature that depends on water content and can be related to the strength of the interaction between the system components (Gordon and Taylor, 1952), besides of being equivalent to the ratio of heat </w:t>
      </w:r>
      <w:r>
        <w:rPr>
          <w:position w:val="2"/>
        </w:rPr>
        <w:t>capacities changes at </w:t>
      </w:r>
      <w:r>
        <w:rPr>
          <w:i/>
          <w:position w:val="2"/>
        </w:rPr>
        <w:t>Tg </w:t>
      </w:r>
      <w:r>
        <w:rPr>
          <w:position w:val="2"/>
        </w:rPr>
        <w:t>of the pure components (Monkos, 2015). With respect to </w:t>
      </w:r>
      <w:r>
        <w:rPr>
          <w:i/>
          <w:position w:val="2"/>
        </w:rPr>
        <w:t>Tg</w:t>
      </w:r>
      <w:r>
        <w:rPr>
          <w:i/>
          <w:sz w:val="16"/>
        </w:rPr>
        <w:t>s </w:t>
      </w:r>
      <w:r>
        <w:rPr/>
        <w:t>parameter, it is referred as the transition temperature of the anhydrous solid. In this study, this value corresponded to the glass temperature transition of the biopolymers blend used to </w:t>
      </w:r>
      <w:r>
        <w:rPr>
          <w:position w:val="2"/>
        </w:rPr>
        <w:t>microencapsulate the oil. In this context, </w:t>
      </w:r>
      <w:r>
        <w:rPr>
          <w:i/>
          <w:position w:val="2"/>
        </w:rPr>
        <w:t>Tg</w:t>
      </w:r>
      <w:r>
        <w:rPr>
          <w:i/>
          <w:sz w:val="16"/>
        </w:rPr>
        <w:t>s  </w:t>
      </w:r>
      <w:r>
        <w:rPr>
          <w:position w:val="2"/>
        </w:rPr>
        <w:t>varied from 68.58 ºC to 80.19 ºC as temperature</w:t>
      </w:r>
    </w:p>
    <w:p>
      <w:pPr>
        <w:spacing w:after="0" w:line="360" w:lineRule="auto"/>
        <w:jc w:val="both"/>
        <w:sectPr>
          <w:pgSz w:w="11900" w:h="16840"/>
          <w:pgMar w:header="0" w:footer="1370" w:top="1360" w:bottom="1560" w:left="1340" w:right="1320"/>
        </w:sectPr>
      </w:pPr>
    </w:p>
    <w:p>
      <w:pPr>
        <w:pStyle w:val="BodyText"/>
        <w:spacing w:line="360" w:lineRule="auto" w:before="54"/>
        <w:ind w:left="100" w:right="120"/>
        <w:jc w:val="both"/>
      </w:pPr>
      <w:r>
        <w:rPr/>
        <w:t>increased, which </w:t>
      </w:r>
      <w:r>
        <w:rPr>
          <w:spacing w:val="-3"/>
        </w:rPr>
        <w:t>is in </w:t>
      </w:r>
      <w:r>
        <w:rPr/>
        <w:t>agreement with </w:t>
      </w:r>
      <w:r>
        <w:rPr>
          <w:i/>
        </w:rPr>
        <w:t>Tg </w:t>
      </w:r>
      <w:r>
        <w:rPr/>
        <w:t>values of pure WPC and MG (48-53 ºC depending on moisture content, and 52.92 ºC, respectively) (Chaires-Martínez et </w:t>
      </w:r>
      <w:r>
        <w:rPr>
          <w:spacing w:val="-3"/>
        </w:rPr>
        <w:t>al., </w:t>
      </w:r>
      <w:r>
        <w:rPr/>
        <w:t>2008; García et </w:t>
      </w:r>
      <w:r>
        <w:rPr>
          <w:spacing w:val="-3"/>
        </w:rPr>
        <w:t>al., </w:t>
      </w:r>
      <w:r>
        <w:rPr/>
        <w:t>2012). The statistical significance of </w:t>
      </w:r>
      <w:r>
        <w:rPr>
          <w:i/>
        </w:rPr>
        <w:t>Tg vs </w:t>
      </w:r>
      <w:r>
        <w:rPr/>
        <w:t>moisture content curves was analyzed.  Coefficients of determination values were over 0.98 and </w:t>
      </w:r>
      <w:r>
        <w:rPr>
          <w:i/>
        </w:rPr>
        <w:t>E </w:t>
      </w:r>
      <w:r>
        <w:rPr>
          <w:spacing w:val="-3"/>
        </w:rPr>
        <w:t>less </w:t>
      </w:r>
      <w:r>
        <w:rPr/>
        <w:t>than 5%, suggesting good </w:t>
      </w:r>
      <w:r>
        <w:rPr>
          <w:spacing w:val="-5"/>
        </w:rPr>
        <w:t>fit  </w:t>
      </w:r>
      <w:r>
        <w:rPr/>
        <w:t>to the</w:t>
      </w:r>
      <w:r>
        <w:rPr>
          <w:spacing w:val="8"/>
        </w:rPr>
        <w:t> </w:t>
      </w:r>
      <w:r>
        <w:rPr>
          <w:spacing w:val="-3"/>
        </w:rPr>
        <w:t>model.</w:t>
      </w:r>
    </w:p>
    <w:p>
      <w:pPr>
        <w:pStyle w:val="BodyText"/>
        <w:spacing w:line="360" w:lineRule="auto" w:before="4"/>
        <w:ind w:left="100" w:right="112" w:firstLine="427"/>
        <w:jc w:val="both"/>
      </w:pPr>
      <w:r>
        <w:rPr/>
        <w:t>Depending on the storage temperature of the microcapsules, the glass transition will occur </w:t>
      </w:r>
      <w:r>
        <w:rPr>
          <w:spacing w:val="-3"/>
        </w:rPr>
        <w:t>at </w:t>
      </w:r>
      <w:r>
        <w:rPr/>
        <w:t>critical values of moisture content and moisture activity, which </w:t>
      </w:r>
      <w:r>
        <w:rPr>
          <w:spacing w:val="-3"/>
        </w:rPr>
        <w:t>is </w:t>
      </w:r>
      <w:r>
        <w:rPr/>
        <w:t>an important factor for the stability </w:t>
      </w:r>
      <w:r>
        <w:rPr>
          <w:spacing w:val="4"/>
        </w:rPr>
        <w:t>of </w:t>
      </w:r>
      <w:r>
        <w:rPr/>
        <w:t>the powder. So as to obtain critical storage conditions for the microcapsules, the combined data obtained from the GAB and Gordon-Taylor models were used (Figure 2). This plot </w:t>
      </w:r>
      <w:r>
        <w:rPr>
          <w:spacing w:val="-3"/>
        </w:rPr>
        <w:t>is </w:t>
      </w:r>
      <w:r>
        <w:rPr/>
        <w:t>named as state </w:t>
      </w:r>
      <w:r>
        <w:rPr>
          <w:spacing w:val="-3"/>
        </w:rPr>
        <w:t>diagram, </w:t>
      </w:r>
      <w:r>
        <w:rPr/>
        <w:t>since </w:t>
      </w:r>
      <w:r>
        <w:rPr>
          <w:spacing w:val="-5"/>
        </w:rPr>
        <w:t>it </w:t>
      </w:r>
      <w:r>
        <w:rPr/>
        <w:t>shows the relationship between the microcapsule composition and its physical state as a function of temperature, which allows predicting the critical variables at which glass transition occurs, </w:t>
      </w:r>
      <w:r>
        <w:rPr>
          <w:spacing w:val="-3"/>
        </w:rPr>
        <w:t>at </w:t>
      </w:r>
      <w:r>
        <w:rPr/>
        <w:t>a determined storage temperature of the powders (Roos, 1993). Thereby, </w:t>
      </w:r>
      <w:r>
        <w:rPr>
          <w:spacing w:val="-3"/>
        </w:rPr>
        <w:t>if </w:t>
      </w:r>
      <w:r>
        <w:rPr/>
        <w:t>the food product </w:t>
      </w:r>
      <w:r>
        <w:rPr>
          <w:spacing w:val="-5"/>
        </w:rPr>
        <w:t>is </w:t>
      </w:r>
      <w:r>
        <w:rPr/>
        <w:t>exposed to </w:t>
      </w:r>
      <w:r>
        <w:rPr>
          <w:position w:val="2"/>
        </w:rPr>
        <w:t>conditions above its </w:t>
      </w:r>
      <w:r>
        <w:rPr>
          <w:i/>
          <w:position w:val="2"/>
        </w:rPr>
        <w:t>Tg </w:t>
      </w:r>
      <w:r>
        <w:rPr>
          <w:position w:val="2"/>
        </w:rPr>
        <w:t>or critical </w:t>
      </w:r>
      <w:r>
        <w:rPr>
          <w:i/>
          <w:position w:val="2"/>
        </w:rPr>
        <w:t>a</w:t>
      </w:r>
      <w:r>
        <w:rPr>
          <w:i/>
          <w:sz w:val="16"/>
        </w:rPr>
        <w:t>w</w:t>
      </w:r>
      <w:r>
        <w:rPr>
          <w:position w:val="2"/>
        </w:rPr>
        <w:t>, the amorphous matrix </w:t>
      </w:r>
      <w:r>
        <w:rPr>
          <w:spacing w:val="-5"/>
          <w:position w:val="2"/>
        </w:rPr>
        <w:t>is </w:t>
      </w:r>
      <w:r>
        <w:rPr>
          <w:position w:val="2"/>
        </w:rPr>
        <w:t>susceptible to collapse, </w:t>
      </w:r>
      <w:r>
        <w:rPr/>
        <w:t>stickiness and caking, resulting in quality </w:t>
      </w:r>
      <w:r>
        <w:rPr>
          <w:spacing w:val="-3"/>
        </w:rPr>
        <w:t>loss. </w:t>
      </w:r>
      <w:r>
        <w:rPr/>
        <w:t>In this perspective, the critical storage conditions are summarized </w:t>
      </w:r>
      <w:r>
        <w:rPr>
          <w:spacing w:val="-3"/>
        </w:rPr>
        <w:t>in </w:t>
      </w:r>
      <w:r>
        <w:rPr/>
        <w:t>Table 3. Powders stored at 25 ºC were more stable since their critical values were greater than those at </w:t>
      </w:r>
      <w:r>
        <w:rPr>
          <w:spacing w:val="-2"/>
        </w:rPr>
        <w:t>higher </w:t>
      </w:r>
      <w:r>
        <w:rPr/>
        <w:t>temperatures. Also, critical storage conditions (CSC) were </w:t>
      </w:r>
      <w:r>
        <w:rPr>
          <w:spacing w:val="-2"/>
        </w:rPr>
        <w:t>higher </w:t>
      </w:r>
      <w:r>
        <w:rPr/>
        <w:t>than minimum integral entropy values, ensuring that by keeping the microcapsules below CSC (under minimum entropy conditions), </w:t>
      </w:r>
      <w:r>
        <w:rPr>
          <w:spacing w:val="-3"/>
        </w:rPr>
        <w:t>no </w:t>
      </w:r>
      <w:r>
        <w:rPr/>
        <w:t>spoilage reactions or structural changes are likely </w:t>
      </w:r>
      <w:r>
        <w:rPr>
          <w:spacing w:val="2"/>
        </w:rPr>
        <w:t>to </w:t>
      </w:r>
      <w:r>
        <w:rPr/>
        <w:t>affect their stability. Different works </w:t>
      </w:r>
      <w:r>
        <w:rPr>
          <w:spacing w:val="-3"/>
        </w:rPr>
        <w:t>have </w:t>
      </w:r>
      <w:r>
        <w:rPr/>
        <w:t>shown CSC similar to those assessed </w:t>
      </w:r>
      <w:r>
        <w:rPr>
          <w:spacing w:val="-3"/>
        </w:rPr>
        <w:t>in </w:t>
      </w:r>
      <w:r>
        <w:rPr/>
        <w:t>this study. Frascareli et </w:t>
      </w:r>
      <w:r>
        <w:rPr>
          <w:spacing w:val="-4"/>
        </w:rPr>
        <w:t>al. </w:t>
      </w:r>
      <w:r>
        <w:rPr/>
        <w:t>(2012) microencapsulated coffee oil using as wall materials maltodextrin, whey protein isolate, gum Arabic and biopolymer blends. CSC </w:t>
      </w:r>
      <w:r>
        <w:rPr>
          <w:position w:val="2"/>
        </w:rPr>
        <w:t>range from 0.620 – 0.938 of critical </w:t>
      </w:r>
      <w:r>
        <w:rPr>
          <w:i/>
          <w:position w:val="2"/>
        </w:rPr>
        <w:t>a</w:t>
      </w:r>
      <w:r>
        <w:rPr>
          <w:i/>
          <w:sz w:val="16"/>
        </w:rPr>
        <w:t>w </w:t>
      </w:r>
      <w:r>
        <w:rPr>
          <w:position w:val="2"/>
        </w:rPr>
        <w:t>and 0.12 – 0.22 kg H</w:t>
      </w:r>
      <w:r>
        <w:rPr>
          <w:sz w:val="16"/>
        </w:rPr>
        <w:t>2</w:t>
      </w:r>
      <w:r>
        <w:rPr>
          <w:position w:val="2"/>
        </w:rPr>
        <w:t>O/100 d.s. of critical moisture </w:t>
      </w:r>
      <w:r>
        <w:rPr/>
        <w:t>content; microcapsules produced with gum Arabic were the </w:t>
      </w:r>
      <w:r>
        <w:rPr>
          <w:spacing w:val="-3"/>
        </w:rPr>
        <w:t>less </w:t>
      </w:r>
      <w:r>
        <w:rPr/>
        <w:t>physical stable ones. Rascón et </w:t>
      </w:r>
      <w:r>
        <w:rPr>
          <w:spacing w:val="-4"/>
        </w:rPr>
        <w:t>al.</w:t>
      </w:r>
      <w:r>
        <w:rPr>
          <w:spacing w:val="52"/>
        </w:rPr>
        <w:t> </w:t>
      </w:r>
      <w:r>
        <w:rPr/>
        <w:t>(2015) encapsulated paprika oleoresin and determined CSC at 35 ºC, which </w:t>
      </w:r>
      <w:r>
        <w:rPr>
          <w:position w:val="2"/>
        </w:rPr>
        <w:t>corresponded to 0.789 of critical </w:t>
      </w:r>
      <w:r>
        <w:rPr>
          <w:i/>
          <w:position w:val="2"/>
        </w:rPr>
        <w:t>a</w:t>
      </w:r>
      <w:r>
        <w:rPr>
          <w:i/>
          <w:sz w:val="16"/>
        </w:rPr>
        <w:t>w</w:t>
      </w:r>
      <w:r>
        <w:rPr>
          <w:position w:val="2"/>
        </w:rPr>
        <w:t>. Tonon et al</w:t>
      </w:r>
      <w:r>
        <w:rPr>
          <w:i/>
          <w:position w:val="2"/>
        </w:rPr>
        <w:t>. </w:t>
      </w:r>
      <w:r>
        <w:rPr>
          <w:position w:val="2"/>
        </w:rPr>
        <w:t>(2009) encapsulated açai juice by spray </w:t>
      </w:r>
      <w:r>
        <w:rPr/>
        <w:t>drying and determine the CSC at 25 </w:t>
      </w:r>
      <w:r>
        <w:rPr>
          <w:spacing w:val="-3"/>
        </w:rPr>
        <w:t>°C </w:t>
      </w:r>
      <w:r>
        <w:rPr/>
        <w:t>using different carrier agents. Independently </w:t>
      </w:r>
      <w:r>
        <w:rPr>
          <w:spacing w:val="4"/>
        </w:rPr>
        <w:t>of </w:t>
      </w:r>
      <w:r>
        <w:rPr/>
        <w:t>the wall material, the glass transition temperature decreased with increased moisture content. The microcapsules produced with maltodextrin DE-10 and gum Arabic were the more stable ones from a physical point of</w:t>
      </w:r>
      <w:r>
        <w:rPr>
          <w:spacing w:val="-15"/>
        </w:rPr>
        <w:t> </w:t>
      </w:r>
      <w:r>
        <w:rPr/>
        <w:t>view.</w:t>
      </w:r>
    </w:p>
    <w:p>
      <w:pPr>
        <w:pStyle w:val="BodyText"/>
      </w:pPr>
    </w:p>
    <w:p>
      <w:pPr>
        <w:spacing w:before="145"/>
        <w:ind w:left="100" w:right="0" w:firstLine="0"/>
        <w:jc w:val="both"/>
        <w:rPr>
          <w:i/>
          <w:sz w:val="24"/>
        </w:rPr>
      </w:pPr>
      <w:r>
        <w:rPr>
          <w:i/>
          <w:sz w:val="24"/>
        </w:rPr>
        <w:t>3.6. Microcapsules morphology</w:t>
      </w:r>
    </w:p>
    <w:p>
      <w:pPr>
        <w:pStyle w:val="BodyText"/>
        <w:spacing w:line="357" w:lineRule="auto" w:before="137"/>
        <w:ind w:left="100" w:right="108" w:firstLine="706"/>
      </w:pPr>
      <w:r>
        <w:rPr/>
        <w:t>The morphology of the microcapsules stored at 35 °C and water activities ranging </w:t>
      </w:r>
      <w:r>
        <w:rPr>
          <w:position w:val="2"/>
        </w:rPr>
        <w:t>from 0.108 to  0.743 is  shown in  Figure 3.  Regardless of </w:t>
      </w:r>
      <w:r>
        <w:rPr>
          <w:i/>
          <w:position w:val="2"/>
        </w:rPr>
        <w:t>a</w:t>
      </w:r>
      <w:r>
        <w:rPr>
          <w:i/>
          <w:sz w:val="16"/>
        </w:rPr>
        <w:t>w</w:t>
      </w:r>
      <w:r>
        <w:rPr>
          <w:position w:val="2"/>
        </w:rPr>
        <w:t>,  the microcapsule sizes   varied</w:t>
      </w:r>
    </w:p>
    <w:p>
      <w:pPr>
        <w:spacing w:after="0" w:line="357" w:lineRule="auto"/>
        <w:sectPr>
          <w:pgSz w:w="11900" w:h="16840"/>
          <w:pgMar w:header="0" w:footer="1026" w:top="1360" w:bottom="1220" w:left="1340" w:right="1320"/>
        </w:sectPr>
      </w:pPr>
    </w:p>
    <w:p>
      <w:pPr>
        <w:pStyle w:val="BodyText"/>
        <w:spacing w:line="360" w:lineRule="auto" w:before="54"/>
        <w:ind w:left="100" w:right="113"/>
        <w:jc w:val="both"/>
      </w:pPr>
      <w:r>
        <w:rPr/>
        <w:t>from approximately &gt; 1 to 30 </w:t>
      </w:r>
      <w:r>
        <w:rPr>
          <w:spacing w:val="-4"/>
        </w:rPr>
        <w:t>μm. </w:t>
      </w:r>
      <w:r>
        <w:rPr/>
        <w:t>The topology </w:t>
      </w:r>
      <w:r>
        <w:rPr>
          <w:spacing w:val="4"/>
        </w:rPr>
        <w:t>of </w:t>
      </w:r>
      <w:r>
        <w:rPr/>
        <w:t>the microcapsules stored below the </w:t>
      </w:r>
      <w:r>
        <w:rPr>
          <w:position w:val="2"/>
        </w:rPr>
        <w:t>minimum integral entropy zone (</w:t>
      </w:r>
      <w:r>
        <w:rPr>
          <w:i/>
          <w:position w:val="2"/>
        </w:rPr>
        <w:t>a</w:t>
      </w:r>
      <w:r>
        <w:rPr>
          <w:i/>
          <w:sz w:val="16"/>
        </w:rPr>
        <w:t>w </w:t>
      </w:r>
      <w:r>
        <w:rPr>
          <w:position w:val="2"/>
        </w:rPr>
        <w:t>&lt; 0.617) showed spheroid shapes and multiple dimples  </w:t>
      </w:r>
      <w:r>
        <w:rPr/>
        <w:t>on their surfaces (Figure 3a, 3b). Microcapsules stored within the minimum integral entropy </w:t>
      </w:r>
      <w:r>
        <w:rPr>
          <w:position w:val="2"/>
        </w:rPr>
        <w:t>zone (</w:t>
      </w:r>
      <w:r>
        <w:rPr>
          <w:i/>
          <w:position w:val="2"/>
        </w:rPr>
        <w:t>a</w:t>
      </w:r>
      <w:r>
        <w:rPr>
          <w:i/>
          <w:sz w:val="16"/>
        </w:rPr>
        <w:t>w </w:t>
      </w:r>
      <w:r>
        <w:rPr>
          <w:position w:val="2"/>
        </w:rPr>
        <w:t>= 0.617-0.688) and below the CSC </w:t>
      </w:r>
      <w:r>
        <w:rPr>
          <w:spacing w:val="3"/>
          <w:position w:val="2"/>
        </w:rPr>
        <w:t>(</w:t>
      </w:r>
      <w:r>
        <w:rPr>
          <w:i/>
          <w:spacing w:val="3"/>
          <w:position w:val="2"/>
        </w:rPr>
        <w:t>a</w:t>
      </w:r>
      <w:r>
        <w:rPr>
          <w:i/>
          <w:spacing w:val="3"/>
          <w:sz w:val="16"/>
        </w:rPr>
        <w:t>w </w:t>
      </w:r>
      <w:r>
        <w:rPr>
          <w:position w:val="2"/>
        </w:rPr>
        <w:t>&lt; 0.709) kept their glassy state and displayed </w:t>
      </w:r>
      <w:r>
        <w:rPr/>
        <w:t>spheroid shape with little sharp surface undulations and surface integrity (Fig. </w:t>
      </w:r>
      <w:r>
        <w:rPr>
          <w:spacing w:val="2"/>
        </w:rPr>
        <w:t>3c). </w:t>
      </w:r>
      <w:r>
        <w:rPr/>
        <w:t>Lastly, </w:t>
      </w:r>
      <w:r>
        <w:rPr>
          <w:position w:val="2"/>
        </w:rPr>
        <w:t>microcapsules stored </w:t>
      </w:r>
      <w:r>
        <w:rPr>
          <w:spacing w:val="-3"/>
          <w:position w:val="2"/>
        </w:rPr>
        <w:t>at </w:t>
      </w:r>
      <w:r>
        <w:rPr>
          <w:i/>
          <w:position w:val="2"/>
        </w:rPr>
        <w:t>a</w:t>
      </w:r>
      <w:r>
        <w:rPr>
          <w:i/>
          <w:sz w:val="16"/>
        </w:rPr>
        <w:t>w </w:t>
      </w:r>
      <w:r>
        <w:rPr>
          <w:position w:val="2"/>
        </w:rPr>
        <w:t>higher than the CSC </w:t>
      </w:r>
      <w:r>
        <w:rPr>
          <w:spacing w:val="-3"/>
          <w:position w:val="2"/>
        </w:rPr>
        <w:t>(Fig. </w:t>
      </w:r>
      <w:r>
        <w:rPr>
          <w:position w:val="2"/>
        </w:rPr>
        <w:t>3d) displayed wall material dissolution, </w:t>
      </w:r>
      <w:r>
        <w:rPr/>
        <w:t>which led to extensive fusing of microcapsules, producing collapse and caking. Similar behaviour was observed at 25 and 40 </w:t>
      </w:r>
      <w:r>
        <w:rPr>
          <w:spacing w:val="-3"/>
        </w:rPr>
        <w:t>°C </w:t>
      </w:r>
      <w:r>
        <w:rPr/>
        <w:t>(data not shown). In comparison, Aberkane et al</w:t>
      </w:r>
      <w:r>
        <w:rPr>
          <w:i/>
        </w:rPr>
        <w:t>. </w:t>
      </w:r>
      <w:r>
        <w:rPr/>
        <w:t>(2014) obtained similar sizes when microencapsulating highly polyunsaturated oil by spray drying using pea pectin isolate and maltodextrin DE 28 as wall materials. Charoen et al</w:t>
      </w:r>
      <w:r>
        <w:rPr>
          <w:i/>
        </w:rPr>
        <w:t>. </w:t>
      </w:r>
      <w:r>
        <w:rPr/>
        <w:t>(2015) produced spray dried microcapsules of rice bran oil with maltodextrin DE 18  and whey protein isolate. Mean particle size of maltodextrin microcapsules was of 15.64 </w:t>
      </w:r>
      <w:r>
        <w:rPr>
          <w:spacing w:val="2"/>
        </w:rPr>
        <w:t>μm </w:t>
      </w:r>
      <w:r>
        <w:rPr/>
        <w:t>and of microcapsules formed with whey protein isolate was of 17.23 </w:t>
      </w:r>
      <w:r>
        <w:rPr>
          <w:spacing w:val="-4"/>
        </w:rPr>
        <w:t>μm. </w:t>
      </w:r>
      <w:r>
        <w:rPr/>
        <w:t>Particles were round shaped, displaying surfaces that were concave and</w:t>
      </w:r>
      <w:r>
        <w:rPr>
          <w:spacing w:val="-28"/>
        </w:rPr>
        <w:t> </w:t>
      </w:r>
      <w:r>
        <w:rPr/>
        <w:t>shrivelled.</w:t>
      </w:r>
    </w:p>
    <w:p>
      <w:pPr>
        <w:pStyle w:val="BodyText"/>
      </w:pPr>
    </w:p>
    <w:p>
      <w:pPr>
        <w:spacing w:before="145"/>
        <w:ind w:left="100" w:right="0" w:firstLine="0"/>
        <w:jc w:val="both"/>
        <w:rPr>
          <w:i/>
          <w:sz w:val="24"/>
        </w:rPr>
      </w:pPr>
      <w:r>
        <w:rPr>
          <w:i/>
          <w:sz w:val="24"/>
        </w:rPr>
        <w:t>3.5. Oxidation of bulk and in microencapsulated CO</w:t>
      </w:r>
    </w:p>
    <w:p>
      <w:pPr>
        <w:pStyle w:val="BodyText"/>
        <w:spacing w:line="360" w:lineRule="auto" w:before="137"/>
        <w:ind w:left="100" w:right="109" w:firstLine="427"/>
        <w:jc w:val="both"/>
      </w:pPr>
      <w:r>
        <w:rPr/>
        <w:t>Figure 4 shows the effect of temperature (25, 35 and 45 °C), water activity and storage time (under dark conditions) on the </w:t>
      </w:r>
      <w:r>
        <w:rPr>
          <w:spacing w:val="-3"/>
        </w:rPr>
        <w:t>bulk </w:t>
      </w:r>
      <w:r>
        <w:rPr/>
        <w:t>CO oxidation (given by peroxide values). </w:t>
      </w:r>
      <w:r>
        <w:rPr>
          <w:spacing w:val="-3"/>
        </w:rPr>
        <w:t>As </w:t>
      </w:r>
      <w:r>
        <w:rPr/>
        <w:t>can be observed, the CO oxidation evolution at 25 </w:t>
      </w:r>
      <w:r>
        <w:rPr>
          <w:spacing w:val="-3"/>
        </w:rPr>
        <w:t>°C </w:t>
      </w:r>
      <w:r>
        <w:rPr/>
        <w:t>was rather different to that obtained at 35 and 40 </w:t>
      </w:r>
      <w:r>
        <w:rPr>
          <w:spacing w:val="-3"/>
        </w:rPr>
        <w:t>°C. At </w:t>
      </w:r>
      <w:r>
        <w:rPr/>
        <w:t>25 </w:t>
      </w:r>
      <w:r>
        <w:rPr>
          <w:spacing w:val="-3"/>
        </w:rPr>
        <w:t>°C, </w:t>
      </w:r>
      <w:r>
        <w:rPr/>
        <w:t>an induction period of approximately 5 days </w:t>
      </w:r>
      <w:r>
        <w:rPr>
          <w:spacing w:val="-3"/>
        </w:rPr>
        <w:t>is </w:t>
      </w:r>
      <w:r>
        <w:rPr/>
        <w:t>clearly distinguished. After this period of time, a marked increase </w:t>
      </w:r>
      <w:r>
        <w:rPr>
          <w:spacing w:val="-3"/>
        </w:rPr>
        <w:t>in </w:t>
      </w:r>
      <w:r>
        <w:rPr/>
        <w:t>the peroxide value (PV) was observed and this can  </w:t>
      </w:r>
      <w:r>
        <w:rPr>
          <w:spacing w:val="-3"/>
        </w:rPr>
        <w:t>be </w:t>
      </w:r>
      <w:r>
        <w:rPr/>
        <w:t>ascribed to the propagation phase </w:t>
      </w:r>
      <w:r>
        <w:rPr>
          <w:spacing w:val="4"/>
        </w:rPr>
        <w:t>of </w:t>
      </w:r>
      <w:r>
        <w:rPr/>
        <w:t>hydroperoxides (Kamal-Eldin et al., 2003). In contrast, an initiation stage was not observed at 35 and 40 ºC, and this can </w:t>
      </w:r>
      <w:r>
        <w:rPr>
          <w:spacing w:val="-3"/>
        </w:rPr>
        <w:t>be </w:t>
      </w:r>
      <w:r>
        <w:rPr/>
        <w:t>due to the acceleration </w:t>
      </w:r>
      <w:r>
        <w:rPr>
          <w:spacing w:val="4"/>
        </w:rPr>
        <w:t>of </w:t>
      </w:r>
      <w:r>
        <w:rPr/>
        <w:t>hydroperoxides formation by thermal means. Furthermore, unlike profiles produced </w:t>
      </w:r>
      <w:r>
        <w:rPr>
          <w:spacing w:val="-3"/>
        </w:rPr>
        <w:t>at </w:t>
      </w:r>
      <w:r>
        <w:rPr/>
        <w:t>25 </w:t>
      </w:r>
      <w:r>
        <w:rPr>
          <w:spacing w:val="-3"/>
        </w:rPr>
        <w:t>°C, </w:t>
      </w:r>
      <w:r>
        <w:rPr/>
        <w:t>peroxide values profiles generated </w:t>
      </w:r>
      <w:r>
        <w:rPr>
          <w:spacing w:val="-3"/>
        </w:rPr>
        <w:t>at </w:t>
      </w:r>
      <w:r>
        <w:rPr/>
        <w:t>35 and 40 ºC, exhibited an additional stage than can </w:t>
      </w:r>
      <w:r>
        <w:rPr>
          <w:spacing w:val="-3"/>
        </w:rPr>
        <w:t>be </w:t>
      </w:r>
      <w:r>
        <w:rPr/>
        <w:t>associated to the reaction termination. </w:t>
      </w:r>
      <w:r>
        <w:rPr>
          <w:spacing w:val="-3"/>
        </w:rPr>
        <w:t>This </w:t>
      </w:r>
      <w:r>
        <w:rPr/>
        <w:t>stage  started  after approximately 20 days. Thus, </w:t>
      </w:r>
      <w:r>
        <w:rPr>
          <w:spacing w:val="-5"/>
        </w:rPr>
        <w:t>it </w:t>
      </w:r>
      <w:r>
        <w:rPr/>
        <w:t>can </w:t>
      </w:r>
      <w:r>
        <w:rPr>
          <w:spacing w:val="-3"/>
        </w:rPr>
        <w:t>be </w:t>
      </w:r>
      <w:r>
        <w:rPr/>
        <w:t>said that at room temperature </w:t>
      </w:r>
      <w:r>
        <w:rPr>
          <w:spacing w:val="6"/>
        </w:rPr>
        <w:t>(</w:t>
      </w:r>
      <w:r>
        <w:rPr>
          <w:rFonts w:ascii="Symbol" w:hAnsi="Symbol"/>
          <w:spacing w:val="6"/>
        </w:rPr>
        <w:t></w:t>
      </w:r>
      <w:r>
        <w:rPr>
          <w:spacing w:val="6"/>
        </w:rPr>
        <w:t> </w:t>
      </w:r>
      <w:r>
        <w:rPr/>
        <w:t>25 </w:t>
      </w:r>
      <w:r>
        <w:rPr>
          <w:spacing w:val="-3"/>
        </w:rPr>
        <w:t>°C) </w:t>
      </w:r>
      <w:r>
        <w:rPr/>
        <w:t>the propagation </w:t>
      </w:r>
      <w:r>
        <w:rPr>
          <w:spacing w:val="-3"/>
        </w:rPr>
        <w:t>is </w:t>
      </w:r>
      <w:r>
        <w:rPr/>
        <w:t>the controlling step </w:t>
      </w:r>
      <w:r>
        <w:rPr>
          <w:spacing w:val="-3"/>
        </w:rPr>
        <w:t>in </w:t>
      </w:r>
      <w:r>
        <w:rPr/>
        <w:t>the formation of hydroperoxides, and at accelerated  shelf life temperatures (</w:t>
      </w:r>
      <w:r>
        <w:rPr>
          <w:rFonts w:ascii="Symbol" w:hAnsi="Symbol"/>
        </w:rPr>
        <w:t></w:t>
      </w:r>
      <w:r>
        <w:rPr/>
        <w:t> 35 </w:t>
      </w:r>
      <w:r>
        <w:rPr>
          <w:spacing w:val="-3"/>
        </w:rPr>
        <w:t>°C) </w:t>
      </w:r>
      <w:r>
        <w:rPr/>
        <w:t>the decomposition of hydroperoxil radicals </w:t>
      </w:r>
      <w:r>
        <w:rPr>
          <w:spacing w:val="-3"/>
        </w:rPr>
        <w:t>is </w:t>
      </w:r>
      <w:r>
        <w:rPr/>
        <w:t>favoured. </w:t>
      </w:r>
      <w:r>
        <w:rPr>
          <w:spacing w:val="-3"/>
        </w:rPr>
        <w:t>This is in </w:t>
      </w:r>
      <w:r>
        <w:rPr/>
        <w:t>accordance with reports for other oils by other authors (Kamal-Eldin et al., 2003; Martín-Polvillo et </w:t>
      </w:r>
      <w:r>
        <w:rPr>
          <w:spacing w:val="-3"/>
        </w:rPr>
        <w:t>al., </w:t>
      </w:r>
      <w:r>
        <w:rPr/>
        <w:t>2004; Velasco et </w:t>
      </w:r>
      <w:r>
        <w:rPr>
          <w:spacing w:val="-3"/>
        </w:rPr>
        <w:t>al., </w:t>
      </w:r>
      <w:r>
        <w:rPr/>
        <w:t>2006). On the other hand, regardless of storage </w:t>
      </w:r>
      <w:r>
        <w:rPr>
          <w:position w:val="2"/>
        </w:rPr>
        <w:t>temperature, the formation of hydroperoxides diminished as </w:t>
      </w:r>
      <w:r>
        <w:rPr>
          <w:i/>
          <w:position w:val="2"/>
        </w:rPr>
        <w:t>a</w:t>
      </w:r>
      <w:r>
        <w:rPr>
          <w:i/>
          <w:sz w:val="16"/>
        </w:rPr>
        <w:t>w </w:t>
      </w:r>
      <w:r>
        <w:rPr>
          <w:position w:val="2"/>
        </w:rPr>
        <w:t>increased. According to the </w:t>
      </w:r>
      <w:r>
        <w:rPr>
          <w:i/>
        </w:rPr>
        <w:t>Codex  Alimentarius   </w:t>
      </w:r>
      <w:r>
        <w:rPr/>
        <w:t>(1999),  the  maximum  acceptable  PV   for   human  consumption  </w:t>
      </w:r>
      <w:r>
        <w:rPr>
          <w:spacing w:val="47"/>
        </w:rPr>
        <w:t> </w:t>
      </w:r>
      <w:r>
        <w:rPr/>
        <w:t>of</w:t>
      </w:r>
    </w:p>
    <w:p>
      <w:pPr>
        <w:spacing w:after="0" w:line="360" w:lineRule="auto"/>
        <w:jc w:val="both"/>
        <w:sectPr>
          <w:pgSz w:w="11900" w:h="16840"/>
          <w:pgMar w:header="0" w:footer="1370" w:top="1360" w:bottom="1560" w:left="1340" w:right="1320"/>
        </w:sectPr>
      </w:pPr>
    </w:p>
    <w:p>
      <w:pPr>
        <w:pStyle w:val="BodyText"/>
        <w:spacing w:line="360" w:lineRule="auto" w:before="31"/>
        <w:ind w:left="113" w:right="112"/>
        <w:jc w:val="right"/>
      </w:pPr>
      <w:r>
        <w:rPr/>
        <w:t>vegetable oils extracted by pressing, as </w:t>
      </w:r>
      <w:r>
        <w:rPr>
          <w:spacing w:val="-3"/>
        </w:rPr>
        <w:t>in </w:t>
      </w:r>
      <w:r>
        <w:rPr/>
        <w:t>the case of this work, </w:t>
      </w:r>
      <w:r>
        <w:rPr>
          <w:spacing w:val="-5"/>
        </w:rPr>
        <w:t>is </w:t>
      </w:r>
      <w:r>
        <w:rPr>
          <w:rFonts w:ascii="Symbol" w:hAnsi="Symbol"/>
        </w:rPr>
        <w:t></w:t>
      </w:r>
      <w:r>
        <w:rPr/>
        <w:t> 15</w:t>
      </w:r>
      <w:r>
        <w:rPr>
          <w:spacing w:val="55"/>
        </w:rPr>
        <w:t> </w:t>
      </w:r>
      <w:r>
        <w:rPr/>
        <w:t>mEq/kg</w:t>
      </w:r>
      <w:r>
        <w:rPr>
          <w:spacing w:val="3"/>
        </w:rPr>
        <w:t> </w:t>
      </w:r>
      <w:r>
        <w:rPr/>
        <w:t>oil. Therefore, </w:t>
      </w:r>
      <w:r>
        <w:rPr>
          <w:spacing w:val="-3"/>
        </w:rPr>
        <w:t>bulk </w:t>
      </w:r>
      <w:r>
        <w:rPr/>
        <w:t>CO stored </w:t>
      </w:r>
      <w:r>
        <w:rPr>
          <w:spacing w:val="-3"/>
        </w:rPr>
        <w:t>at </w:t>
      </w:r>
      <w:r>
        <w:rPr/>
        <w:t>25 ºC </w:t>
      </w:r>
      <w:r>
        <w:rPr>
          <w:spacing w:val="-3"/>
        </w:rPr>
        <w:t>in </w:t>
      </w:r>
      <w:r>
        <w:rPr/>
        <w:t>the studied range of water activity has a shelf-life</w:t>
      </w:r>
      <w:r>
        <w:rPr>
          <w:spacing w:val="33"/>
        </w:rPr>
        <w:t> </w:t>
      </w:r>
      <w:r>
        <w:rPr/>
        <w:t>of</w:t>
      </w:r>
      <w:r>
        <w:rPr>
          <w:spacing w:val="4"/>
        </w:rPr>
        <w:t> </w:t>
      </w:r>
      <w:r>
        <w:rPr>
          <w:rFonts w:ascii="Symbol" w:hAnsi="Symbol"/>
        </w:rPr>
        <w:t></w:t>
      </w:r>
      <w:r>
        <w:rPr>
          <w:w w:val="100"/>
        </w:rPr>
        <w:t> </w:t>
      </w:r>
      <w:r>
        <w:rPr/>
        <w:t>22 – 32 days, while at 35 ºC and 40 ºC the shelf-lives were of </w:t>
      </w:r>
      <w:r>
        <w:rPr>
          <w:rFonts w:ascii="Symbol" w:hAnsi="Symbol"/>
        </w:rPr>
        <w:t></w:t>
      </w:r>
      <w:r>
        <w:rPr/>
        <w:t> 12 and </w:t>
      </w:r>
      <w:r>
        <w:rPr>
          <w:rFonts w:ascii="Symbol" w:hAnsi="Symbol"/>
        </w:rPr>
        <w:t></w:t>
      </w:r>
      <w:r>
        <w:rPr/>
        <w:t> 8</w:t>
      </w:r>
      <w:r>
        <w:rPr>
          <w:spacing w:val="-33"/>
        </w:rPr>
        <w:t> </w:t>
      </w:r>
      <w:r>
        <w:rPr/>
        <w:t>days,</w:t>
      </w:r>
      <w:r>
        <w:rPr>
          <w:spacing w:val="1"/>
        </w:rPr>
        <w:t> </w:t>
      </w:r>
      <w:r>
        <w:rPr/>
        <w:t>respectively. Ixtaina et </w:t>
      </w:r>
      <w:r>
        <w:rPr>
          <w:spacing w:val="-4"/>
        </w:rPr>
        <w:t>al. </w:t>
      </w:r>
      <w:r>
        <w:rPr/>
        <w:t>(2015) assessed the peroxide value of CO from Argentina</w:t>
      </w:r>
      <w:r>
        <w:rPr>
          <w:spacing w:val="25"/>
        </w:rPr>
        <w:t> </w:t>
      </w:r>
      <w:r>
        <w:rPr/>
        <w:t>extracted</w:t>
      </w:r>
      <w:r>
        <w:rPr>
          <w:spacing w:val="42"/>
        </w:rPr>
        <w:t> </w:t>
      </w:r>
      <w:r>
        <w:rPr/>
        <w:t>by</w:t>
      </w:r>
      <w:r>
        <w:rPr>
          <w:w w:val="99"/>
        </w:rPr>
        <w:t> </w:t>
      </w:r>
      <w:r>
        <w:rPr/>
        <w:t>pressing and stored </w:t>
      </w:r>
      <w:r>
        <w:rPr>
          <w:spacing w:val="-3"/>
        </w:rPr>
        <w:t>at </w:t>
      </w:r>
      <w:r>
        <w:rPr/>
        <w:t>20 ºC and 33% of relative humidity, had a shelf-life</w:t>
      </w:r>
      <w:r>
        <w:rPr>
          <w:spacing w:val="57"/>
        </w:rPr>
        <w:t> </w:t>
      </w:r>
      <w:r>
        <w:rPr/>
        <w:t>of</w:t>
      </w:r>
      <w:r>
        <w:rPr>
          <w:spacing w:val="6"/>
        </w:rPr>
        <w:t> </w:t>
      </w:r>
      <w:r>
        <w:rPr/>
        <w:t>approximately 40 days considering a maximum PV ≤ </w:t>
      </w:r>
      <w:r>
        <w:rPr>
          <w:spacing w:val="2"/>
        </w:rPr>
        <w:t>10 </w:t>
      </w:r>
      <w:r>
        <w:rPr/>
        <w:t>mEq/kg </w:t>
      </w:r>
      <w:r>
        <w:rPr>
          <w:spacing w:val="-3"/>
        </w:rPr>
        <w:t>oil. </w:t>
      </w:r>
      <w:r>
        <w:rPr/>
        <w:t>Martínez et</w:t>
      </w:r>
      <w:r>
        <w:rPr>
          <w:spacing w:val="16"/>
        </w:rPr>
        <w:t> </w:t>
      </w:r>
      <w:r>
        <w:rPr>
          <w:spacing w:val="-4"/>
        </w:rPr>
        <w:t>al. </w:t>
      </w:r>
      <w:r>
        <w:rPr/>
        <w:t>(2015) established</w:t>
      </w:r>
      <w:r>
        <w:rPr>
          <w:spacing w:val="13"/>
        </w:rPr>
        <w:t> </w:t>
      </w:r>
      <w:r>
        <w:rPr/>
        <w:t>the </w:t>
      </w:r>
      <w:r>
        <w:rPr>
          <w:position w:val="2"/>
        </w:rPr>
        <w:t>PV</w:t>
      </w:r>
      <w:r>
        <w:rPr>
          <w:spacing w:val="23"/>
          <w:position w:val="2"/>
        </w:rPr>
        <w:t> </w:t>
      </w:r>
      <w:r>
        <w:rPr>
          <w:position w:val="2"/>
        </w:rPr>
        <w:t>profile</w:t>
      </w:r>
      <w:r>
        <w:rPr>
          <w:spacing w:val="23"/>
          <w:position w:val="2"/>
        </w:rPr>
        <w:t> </w:t>
      </w:r>
      <w:r>
        <w:rPr>
          <w:position w:val="2"/>
        </w:rPr>
        <w:t>of</w:t>
      </w:r>
      <w:r>
        <w:rPr>
          <w:spacing w:val="16"/>
          <w:position w:val="2"/>
        </w:rPr>
        <w:t> </w:t>
      </w:r>
      <w:r>
        <w:rPr>
          <w:position w:val="2"/>
        </w:rPr>
        <w:t>CO</w:t>
      </w:r>
      <w:r>
        <w:rPr>
          <w:spacing w:val="28"/>
          <w:position w:val="2"/>
        </w:rPr>
        <w:t> </w:t>
      </w:r>
      <w:r>
        <w:rPr>
          <w:position w:val="2"/>
        </w:rPr>
        <w:t>from</w:t>
      </w:r>
      <w:r>
        <w:rPr>
          <w:spacing w:val="19"/>
          <w:position w:val="2"/>
        </w:rPr>
        <w:t> </w:t>
      </w:r>
      <w:r>
        <w:rPr>
          <w:position w:val="2"/>
        </w:rPr>
        <w:t>Argentina</w:t>
      </w:r>
      <w:r>
        <w:rPr>
          <w:spacing w:val="23"/>
          <w:position w:val="2"/>
        </w:rPr>
        <w:t> </w:t>
      </w:r>
      <w:r>
        <w:rPr>
          <w:position w:val="2"/>
        </w:rPr>
        <w:t>extracted</w:t>
      </w:r>
      <w:r>
        <w:rPr>
          <w:spacing w:val="24"/>
          <w:position w:val="2"/>
        </w:rPr>
        <w:t> </w:t>
      </w:r>
      <w:r>
        <w:rPr>
          <w:position w:val="2"/>
        </w:rPr>
        <w:t>by</w:t>
      </w:r>
      <w:r>
        <w:rPr>
          <w:spacing w:val="14"/>
          <w:position w:val="2"/>
        </w:rPr>
        <w:t> </w:t>
      </w:r>
      <w:r>
        <w:rPr>
          <w:position w:val="2"/>
        </w:rPr>
        <w:t>pressing</w:t>
      </w:r>
      <w:r>
        <w:rPr>
          <w:spacing w:val="24"/>
          <w:position w:val="2"/>
        </w:rPr>
        <w:t> </w:t>
      </w:r>
      <w:r>
        <w:rPr>
          <w:position w:val="2"/>
        </w:rPr>
        <w:t>and</w:t>
      </w:r>
      <w:r>
        <w:rPr>
          <w:spacing w:val="24"/>
          <w:position w:val="2"/>
        </w:rPr>
        <w:t> </w:t>
      </w:r>
      <w:r>
        <w:rPr>
          <w:position w:val="2"/>
        </w:rPr>
        <w:t>conditioned</w:t>
      </w:r>
      <w:r>
        <w:rPr>
          <w:spacing w:val="24"/>
          <w:position w:val="2"/>
        </w:rPr>
        <w:t> </w:t>
      </w:r>
      <w:r>
        <w:rPr>
          <w:position w:val="2"/>
        </w:rPr>
        <w:t>at</w:t>
      </w:r>
      <w:r>
        <w:rPr>
          <w:spacing w:val="29"/>
          <w:position w:val="2"/>
        </w:rPr>
        <w:t> </w:t>
      </w:r>
      <w:r>
        <w:rPr>
          <w:position w:val="2"/>
        </w:rPr>
        <w:t>25</w:t>
      </w:r>
      <w:r>
        <w:rPr>
          <w:spacing w:val="19"/>
          <w:position w:val="2"/>
        </w:rPr>
        <w:t> </w:t>
      </w:r>
      <w:r>
        <w:rPr>
          <w:position w:val="2"/>
        </w:rPr>
        <w:t>ºC</w:t>
      </w:r>
      <w:r>
        <w:rPr>
          <w:spacing w:val="22"/>
          <w:position w:val="2"/>
        </w:rPr>
        <w:t> </w:t>
      </w:r>
      <w:r>
        <w:rPr>
          <w:position w:val="2"/>
        </w:rPr>
        <w:t>and</w:t>
      </w:r>
      <w:r>
        <w:rPr>
          <w:spacing w:val="36"/>
          <w:position w:val="2"/>
        </w:rPr>
        <w:t> </w:t>
      </w:r>
      <w:r>
        <w:rPr>
          <w:i/>
          <w:position w:val="2"/>
        </w:rPr>
        <w:t>a</w:t>
      </w:r>
      <w:r>
        <w:rPr>
          <w:i/>
          <w:sz w:val="16"/>
        </w:rPr>
        <w:t>w</w:t>
      </w:r>
      <w:r>
        <w:rPr>
          <w:i/>
          <w:spacing w:val="39"/>
          <w:sz w:val="16"/>
        </w:rPr>
        <w:t> </w:t>
      </w:r>
      <w:r>
        <w:rPr>
          <w:position w:val="2"/>
        </w:rPr>
        <w:t>=</w:t>
      </w:r>
    </w:p>
    <w:p>
      <w:pPr>
        <w:pStyle w:val="BodyText"/>
        <w:spacing w:line="360" w:lineRule="auto" w:before="3"/>
        <w:ind w:left="100" w:right="120"/>
        <w:jc w:val="both"/>
      </w:pPr>
      <w:r>
        <w:rPr/>
        <w:t>0.40. The shelf life of the CO studied was of </w:t>
      </w:r>
      <w:r>
        <w:rPr>
          <w:rFonts w:ascii="Symbol" w:hAnsi="Symbol"/>
        </w:rPr>
        <w:t></w:t>
      </w:r>
      <w:r>
        <w:rPr/>
        <w:t> 90 days considering a maximum PV ≤ 15 mEq/kg oil. Also, Ixtaina et al</w:t>
      </w:r>
      <w:r>
        <w:rPr>
          <w:i/>
        </w:rPr>
        <w:t>. </w:t>
      </w:r>
      <w:r>
        <w:rPr/>
        <w:t>(2012) analyzed the CO oxidation at 20 ºC, which reached a PV of 10 mEq/kg oil after 60 days of storage.</w:t>
      </w:r>
    </w:p>
    <w:p>
      <w:pPr>
        <w:pStyle w:val="BodyText"/>
        <w:spacing w:line="360" w:lineRule="auto" w:before="4"/>
        <w:ind w:left="100" w:right="112" w:firstLine="427"/>
        <w:jc w:val="both"/>
      </w:pPr>
      <w:r>
        <w:rPr/>
        <w:t>Figure 5 illustrates the effect of temperature, water activity and storage time under dark conditions on the evolution of hydroperoxides in microencapsulated CO. The oxidation profiles at 25 °C and 35 °C were different compared to the one produced at 40 °C. Profiles of formation of hydroperoxides at 25 and 35 ºC had the same trend, where the initiation step can be distinguished during the first seven days. After that, the propagation step lasted until the end of the evaluation period (60 days). For microcapsules stored at 40 ºC, the initiation step was not clearly observable, because the hydroperoxide formation was too fast and therefore the propagation step practically began from the start of the analysis and finished at day 30, followed by the termination step which lasted until day 60.</w:t>
      </w:r>
    </w:p>
    <w:p>
      <w:pPr>
        <w:pStyle w:val="BodyText"/>
        <w:spacing w:line="360" w:lineRule="auto" w:before="4"/>
        <w:ind w:left="100" w:right="112" w:firstLine="427"/>
        <w:jc w:val="both"/>
      </w:pPr>
      <w:r>
        <w:rPr/>
        <w:t>It </w:t>
      </w:r>
      <w:r>
        <w:rPr>
          <w:spacing w:val="-5"/>
        </w:rPr>
        <w:t>is </w:t>
      </w:r>
      <w:r>
        <w:rPr/>
        <w:t>also worth noticing </w:t>
      </w:r>
      <w:r>
        <w:rPr>
          <w:spacing w:val="-3"/>
        </w:rPr>
        <w:t>in </w:t>
      </w:r>
      <w:r>
        <w:rPr/>
        <w:t>figure 5 that, independently </w:t>
      </w:r>
      <w:r>
        <w:rPr>
          <w:spacing w:val="4"/>
        </w:rPr>
        <w:t>of </w:t>
      </w:r>
      <w:r>
        <w:rPr/>
        <w:t>storage temperature, water activity exerted an important effect on the hydroperoxide formation </w:t>
      </w:r>
      <w:r>
        <w:rPr>
          <w:spacing w:val="-3"/>
        </w:rPr>
        <w:t>in </w:t>
      </w:r>
      <w:r>
        <w:rPr/>
        <w:t>the microencapsulated </w:t>
      </w:r>
      <w:r>
        <w:rPr>
          <w:position w:val="2"/>
        </w:rPr>
        <w:t>CO. PV decreased as </w:t>
      </w:r>
      <w:r>
        <w:rPr>
          <w:i/>
          <w:position w:val="2"/>
        </w:rPr>
        <w:t>a</w:t>
      </w:r>
      <w:r>
        <w:rPr>
          <w:i/>
          <w:sz w:val="16"/>
        </w:rPr>
        <w:t>w </w:t>
      </w:r>
      <w:r>
        <w:rPr>
          <w:position w:val="2"/>
        </w:rPr>
        <w:t>increased, except for the samples stored </w:t>
      </w:r>
      <w:r>
        <w:rPr>
          <w:spacing w:val="-3"/>
          <w:position w:val="2"/>
        </w:rPr>
        <w:t>in </w:t>
      </w:r>
      <w:r>
        <w:rPr>
          <w:position w:val="2"/>
        </w:rPr>
        <w:t>the </w:t>
      </w:r>
      <w:r>
        <w:rPr>
          <w:i/>
          <w:position w:val="2"/>
        </w:rPr>
        <w:t>a</w:t>
      </w:r>
      <w:r>
        <w:rPr>
          <w:i/>
          <w:sz w:val="16"/>
        </w:rPr>
        <w:t>w </w:t>
      </w:r>
      <w:r>
        <w:rPr>
          <w:position w:val="2"/>
        </w:rPr>
        <w:t>range of 0.614 and </w:t>
      </w:r>
      <w:r>
        <w:rPr/>
        <w:t>0.654, where the lowest hydroperoxide formation was observed. According to the </w:t>
      </w:r>
      <w:r>
        <w:rPr>
          <w:i/>
        </w:rPr>
        <w:t>Codex </w:t>
      </w:r>
      <w:r>
        <w:rPr>
          <w:i/>
        </w:rPr>
        <w:t>Alimentarius </w:t>
      </w:r>
      <w:r>
        <w:rPr/>
        <w:t>(1999) specifications, the shelf-life of microencapsulated CO </w:t>
      </w:r>
      <w:r>
        <w:rPr>
          <w:spacing w:val="-3"/>
        </w:rPr>
        <w:t>in </w:t>
      </w:r>
      <w:r>
        <w:rPr/>
        <w:t>this work was </w:t>
      </w:r>
      <w:r>
        <w:rPr>
          <w:rFonts w:ascii="Symbol" w:hAnsi="Symbol"/>
        </w:rPr>
        <w:t></w:t>
      </w:r>
      <w:r>
        <w:rPr/>
        <w:t> 45 days when stored </w:t>
      </w:r>
      <w:r>
        <w:rPr>
          <w:spacing w:val="-3"/>
        </w:rPr>
        <w:t>at </w:t>
      </w:r>
      <w:r>
        <w:rPr/>
        <w:t>25 ºC, 22 – 45 days when stored at 35 ºC, and 15 – 22 days at 40 ºC,  </w:t>
      </w:r>
      <w:r>
        <w:rPr>
          <w:spacing w:val="-3"/>
        </w:rPr>
        <w:t>in </w:t>
      </w:r>
      <w:r>
        <w:rPr/>
        <w:t>the water activity range studied. These results vouch the effectiveness of the mesquite gum-whey protein concentrate biopolymer </w:t>
      </w:r>
      <w:r>
        <w:rPr>
          <w:spacing w:val="-3"/>
        </w:rPr>
        <w:t>matrix, </w:t>
      </w:r>
      <w:r>
        <w:rPr/>
        <w:t>which significantly slowed-down the diffusion of prooxidants into the interior of the microcapsules. The hydroperoxide formation </w:t>
      </w:r>
      <w:r>
        <w:rPr>
          <w:spacing w:val="-3"/>
        </w:rPr>
        <w:t>in </w:t>
      </w:r>
      <w:r>
        <w:rPr/>
        <w:t>vegetable oils </w:t>
      </w:r>
      <w:r>
        <w:rPr>
          <w:spacing w:val="-3"/>
        </w:rPr>
        <w:t>in </w:t>
      </w:r>
      <w:r>
        <w:rPr/>
        <w:t>microencapsulated systems is a complex phenomenon and even more when temperature and water activity are taken into account, </w:t>
      </w:r>
      <w:r>
        <w:rPr>
          <w:spacing w:val="-4"/>
        </w:rPr>
        <w:t>so </w:t>
      </w:r>
      <w:r>
        <w:rPr/>
        <w:t>the literature related to this </w:t>
      </w:r>
      <w:r>
        <w:rPr>
          <w:spacing w:val="-3"/>
        </w:rPr>
        <w:t>is </w:t>
      </w:r>
      <w:r>
        <w:rPr/>
        <w:t>sparse. </w:t>
      </w:r>
      <w:r>
        <w:rPr>
          <w:spacing w:val="-3"/>
        </w:rPr>
        <w:t>Some </w:t>
      </w:r>
      <w:r>
        <w:rPr/>
        <w:t>authors </w:t>
      </w:r>
      <w:r>
        <w:rPr>
          <w:spacing w:val="-3"/>
        </w:rPr>
        <w:t>have </w:t>
      </w:r>
      <w:r>
        <w:rPr/>
        <w:t>analyzed the oxidation of microencapsulated polyunsaturated oils when temperature and water activity are taken into account. Ixtaina et </w:t>
      </w:r>
      <w:r>
        <w:rPr>
          <w:spacing w:val="-3"/>
        </w:rPr>
        <w:t>al. </w:t>
      </w:r>
      <w:r>
        <w:rPr/>
        <w:t>(2015) microencapsulated  by spray drying  Argentinian CO  using  sodium caseinate  and  lactose</w:t>
      </w:r>
      <w:r>
        <w:rPr>
          <w:spacing w:val="-13"/>
        </w:rPr>
        <w:t> </w:t>
      </w:r>
      <w:r>
        <w:rPr/>
        <w:t>as</w:t>
      </w:r>
    </w:p>
    <w:p>
      <w:pPr>
        <w:spacing w:after="0" w:line="360" w:lineRule="auto"/>
        <w:jc w:val="both"/>
        <w:sectPr>
          <w:pgSz w:w="11900" w:h="16840"/>
          <w:pgMar w:header="0" w:footer="1026" w:top="1380" w:bottom="1220" w:left="1340" w:right="1320"/>
        </w:sectPr>
      </w:pPr>
    </w:p>
    <w:p>
      <w:pPr>
        <w:pStyle w:val="BodyText"/>
        <w:spacing w:line="360" w:lineRule="auto" w:before="31"/>
        <w:ind w:left="100" w:right="112"/>
        <w:jc w:val="both"/>
      </w:pPr>
      <w:r>
        <w:rPr/>
        <w:t>wall materials. These microcapsules shelf-life </w:t>
      </w:r>
      <w:r>
        <w:rPr>
          <w:spacing w:val="4"/>
        </w:rPr>
        <w:t>of </w:t>
      </w:r>
      <w:r>
        <w:rPr>
          <w:rFonts w:ascii="Symbol" w:hAnsi="Symbol"/>
        </w:rPr>
        <w:t></w:t>
      </w:r>
      <w:r>
        <w:rPr/>
        <w:t> 180 days with a PV ≤ 10 mEq/kg oil when the emulsions were spray dried at 135 ºC and 400 bar, and the microcapsules were stored </w:t>
      </w:r>
      <w:r>
        <w:rPr>
          <w:spacing w:val="-3"/>
        </w:rPr>
        <w:t>at </w:t>
      </w:r>
      <w:r>
        <w:rPr/>
        <w:t>20 ºC and 33 % of relative humidity. Martínez et </w:t>
      </w:r>
      <w:r>
        <w:rPr>
          <w:spacing w:val="-4"/>
        </w:rPr>
        <w:t>al. </w:t>
      </w:r>
      <w:r>
        <w:rPr/>
        <w:t>(2015) microencapsulated by spray drying Argentinian CO with hydroxypropyl methylcellulose and maltodextrin DE 15 as wall </w:t>
      </w:r>
      <w:r>
        <w:rPr>
          <w:position w:val="2"/>
        </w:rPr>
        <w:t>materials. Emulsions were dried at 163 ºC and the microcapsules stored </w:t>
      </w:r>
      <w:r>
        <w:rPr>
          <w:spacing w:val="-3"/>
          <w:position w:val="2"/>
        </w:rPr>
        <w:t>at </w:t>
      </w:r>
      <w:r>
        <w:rPr>
          <w:position w:val="2"/>
        </w:rPr>
        <w:t>25 ºC and </w:t>
      </w:r>
      <w:r>
        <w:rPr>
          <w:i/>
          <w:position w:val="2"/>
        </w:rPr>
        <w:t>a</w:t>
      </w:r>
      <w:r>
        <w:rPr>
          <w:i/>
          <w:sz w:val="16"/>
        </w:rPr>
        <w:t>w </w:t>
      </w:r>
      <w:r>
        <w:rPr>
          <w:position w:val="2"/>
        </w:rPr>
        <w:t>= </w:t>
      </w:r>
      <w:r>
        <w:rPr/>
        <w:t>0.40, for 90 </w:t>
      </w:r>
      <w:r>
        <w:rPr>
          <w:spacing w:val="-3"/>
        </w:rPr>
        <w:t>days. </w:t>
      </w:r>
      <w:r>
        <w:rPr/>
        <w:t>The microencapsulated CO had PV ≤ 15 mEq/kg oil. Partanen et </w:t>
      </w:r>
      <w:r>
        <w:rPr>
          <w:spacing w:val="-4"/>
        </w:rPr>
        <w:t>al. </w:t>
      </w:r>
      <w:r>
        <w:rPr/>
        <w:t>(2008) assessed the oxidation of microencapsulated flaxseed oil </w:t>
      </w:r>
      <w:r>
        <w:rPr>
          <w:spacing w:val="-3"/>
        </w:rPr>
        <w:t>in </w:t>
      </w:r>
      <w:r>
        <w:rPr/>
        <w:t>whey protein isolate  (WPI) </w:t>
      </w:r>
      <w:r>
        <w:rPr>
          <w:position w:val="2"/>
        </w:rPr>
        <w:t>matrix, stored </w:t>
      </w:r>
      <w:r>
        <w:rPr>
          <w:spacing w:val="-3"/>
          <w:position w:val="2"/>
        </w:rPr>
        <w:t>in </w:t>
      </w:r>
      <w:r>
        <w:rPr>
          <w:i/>
          <w:position w:val="2"/>
        </w:rPr>
        <w:t>a</w:t>
      </w:r>
      <w:r>
        <w:rPr>
          <w:i/>
          <w:sz w:val="16"/>
        </w:rPr>
        <w:t>w </w:t>
      </w:r>
      <w:r>
        <w:rPr>
          <w:position w:val="2"/>
        </w:rPr>
        <w:t>between ~ 0 y 0.91 at 37 ºC. </w:t>
      </w:r>
      <w:r>
        <w:rPr>
          <w:spacing w:val="-3"/>
          <w:position w:val="2"/>
        </w:rPr>
        <w:t>The </w:t>
      </w:r>
      <w:r>
        <w:rPr>
          <w:position w:val="2"/>
        </w:rPr>
        <w:t>lowest peroxide value was found at 0.75 of </w:t>
      </w:r>
      <w:r>
        <w:rPr>
          <w:i/>
          <w:position w:val="2"/>
        </w:rPr>
        <w:t>a</w:t>
      </w:r>
      <w:r>
        <w:rPr>
          <w:i/>
          <w:sz w:val="16"/>
        </w:rPr>
        <w:t>w</w:t>
      </w:r>
      <w:r>
        <w:rPr>
          <w:position w:val="2"/>
        </w:rPr>
        <w:t>. Fang et </w:t>
      </w:r>
      <w:r>
        <w:rPr>
          <w:spacing w:val="-3"/>
          <w:position w:val="2"/>
        </w:rPr>
        <w:t>al</w:t>
      </w:r>
      <w:r>
        <w:rPr>
          <w:i/>
          <w:spacing w:val="-3"/>
          <w:position w:val="2"/>
        </w:rPr>
        <w:t>. </w:t>
      </w:r>
      <w:r>
        <w:rPr>
          <w:position w:val="2"/>
        </w:rPr>
        <w:t>(2005) microencapsulated linoleic acid with Arabic gum at </w:t>
      </w:r>
      <w:r>
        <w:rPr>
          <w:i/>
          <w:position w:val="2"/>
        </w:rPr>
        <w:t>a</w:t>
      </w:r>
      <w:r>
        <w:rPr>
          <w:i/>
          <w:sz w:val="16"/>
        </w:rPr>
        <w:t>w </w:t>
      </w:r>
      <w:r>
        <w:rPr>
          <w:position w:val="2"/>
        </w:rPr>
        <w:t>= 0.12, 0.44, and 0.75, at 30, 50, and 70 ºC. The authors found that microcapsules at </w:t>
      </w:r>
      <w:r>
        <w:rPr>
          <w:i/>
          <w:position w:val="2"/>
        </w:rPr>
        <w:t>a</w:t>
      </w:r>
      <w:r>
        <w:rPr>
          <w:i/>
          <w:sz w:val="16"/>
        </w:rPr>
        <w:t>w </w:t>
      </w:r>
      <w:r>
        <w:rPr>
          <w:spacing w:val="4"/>
          <w:position w:val="2"/>
        </w:rPr>
        <w:t>of </w:t>
      </w:r>
      <w:r>
        <w:rPr>
          <w:position w:val="2"/>
        </w:rPr>
        <w:t>0.44 and 0.75 </w:t>
      </w:r>
      <w:r>
        <w:rPr/>
        <w:t>were </w:t>
      </w:r>
      <w:r>
        <w:rPr>
          <w:spacing w:val="-3"/>
        </w:rPr>
        <w:t>in </w:t>
      </w:r>
      <w:r>
        <w:rPr/>
        <w:t>the rubbery state. </w:t>
      </w:r>
      <w:r>
        <w:rPr>
          <w:spacing w:val="-3"/>
        </w:rPr>
        <w:t>This </w:t>
      </w:r>
      <w:r>
        <w:rPr/>
        <w:t>prevented the oil from being further oxidized unlike </w:t>
      </w:r>
      <w:r>
        <w:rPr>
          <w:position w:val="2"/>
        </w:rPr>
        <w:t>microcapsules </w:t>
      </w:r>
      <w:r>
        <w:rPr>
          <w:spacing w:val="-3"/>
          <w:position w:val="2"/>
        </w:rPr>
        <w:t>in </w:t>
      </w:r>
      <w:r>
        <w:rPr>
          <w:position w:val="2"/>
        </w:rPr>
        <w:t>the glassy state stored </w:t>
      </w:r>
      <w:r>
        <w:rPr>
          <w:spacing w:val="-3"/>
          <w:position w:val="2"/>
        </w:rPr>
        <w:t>at </w:t>
      </w:r>
      <w:r>
        <w:rPr>
          <w:i/>
          <w:position w:val="2"/>
        </w:rPr>
        <w:t>a</w:t>
      </w:r>
      <w:r>
        <w:rPr>
          <w:i/>
          <w:sz w:val="16"/>
        </w:rPr>
        <w:t>w </w:t>
      </w:r>
      <w:r>
        <w:rPr>
          <w:position w:val="2"/>
        </w:rPr>
        <w:t>of 0.12. Iwami et </w:t>
      </w:r>
      <w:r>
        <w:rPr>
          <w:spacing w:val="-4"/>
          <w:position w:val="2"/>
        </w:rPr>
        <w:t>al. </w:t>
      </w:r>
      <w:r>
        <w:rPr>
          <w:position w:val="2"/>
        </w:rPr>
        <w:t>(2005) encapsulated a </w:t>
      </w:r>
      <w:r>
        <w:rPr/>
        <w:t>mixture of linoleic and palmitic acids (8.4:3.6 w/w) using gliadin as wall material at 40 ºC, </w:t>
      </w:r>
      <w:r>
        <w:rPr>
          <w:position w:val="2"/>
        </w:rPr>
        <w:t>and </w:t>
      </w:r>
      <w:r>
        <w:rPr>
          <w:i/>
          <w:position w:val="2"/>
        </w:rPr>
        <w:t>a</w:t>
      </w:r>
      <w:r>
        <w:rPr>
          <w:i/>
          <w:sz w:val="16"/>
        </w:rPr>
        <w:t>w </w:t>
      </w:r>
      <w:r>
        <w:rPr>
          <w:spacing w:val="4"/>
          <w:position w:val="2"/>
        </w:rPr>
        <w:t>of </w:t>
      </w:r>
      <w:r>
        <w:rPr>
          <w:position w:val="2"/>
        </w:rPr>
        <w:t>0.30, 0.55, and 0.85. They noticed that the microencapsulated oil oxidized to a </w:t>
      </w:r>
      <w:r>
        <w:rPr/>
        <w:t>lesser degree than the bulk oil due </w:t>
      </w:r>
      <w:r>
        <w:rPr>
          <w:spacing w:val="2"/>
        </w:rPr>
        <w:t>to </w:t>
      </w:r>
      <w:r>
        <w:rPr/>
        <w:t>the protection provided by the wall material </w:t>
      </w:r>
      <w:r>
        <w:rPr>
          <w:position w:val="2"/>
        </w:rPr>
        <w:t>independently of the </w:t>
      </w:r>
      <w:r>
        <w:rPr>
          <w:i/>
          <w:position w:val="2"/>
        </w:rPr>
        <w:t>a</w:t>
      </w:r>
      <w:r>
        <w:rPr>
          <w:i/>
          <w:sz w:val="16"/>
        </w:rPr>
        <w:t>w </w:t>
      </w:r>
      <w:r>
        <w:rPr>
          <w:position w:val="2"/>
        </w:rPr>
        <w:t>at which they were</w:t>
      </w:r>
      <w:r>
        <w:rPr>
          <w:spacing w:val="4"/>
          <w:position w:val="2"/>
        </w:rPr>
        <w:t> </w:t>
      </w:r>
      <w:r>
        <w:rPr>
          <w:position w:val="2"/>
        </w:rPr>
        <w:t>stored.</w:t>
      </w:r>
    </w:p>
    <w:p>
      <w:pPr>
        <w:pStyle w:val="BodyText"/>
      </w:pPr>
    </w:p>
    <w:p>
      <w:pPr>
        <w:spacing w:before="142"/>
        <w:ind w:left="100" w:right="0" w:firstLine="0"/>
        <w:jc w:val="both"/>
        <w:rPr>
          <w:i/>
          <w:sz w:val="24"/>
        </w:rPr>
      </w:pPr>
      <w:r>
        <w:rPr>
          <w:i/>
          <w:sz w:val="24"/>
        </w:rPr>
        <w:t>3.6. Oxidation kinetics of bulk and microencapsulated CO</w:t>
      </w:r>
    </w:p>
    <w:p>
      <w:pPr>
        <w:pStyle w:val="BodyText"/>
        <w:spacing w:line="357" w:lineRule="auto" w:before="137"/>
        <w:ind w:left="100" w:right="111" w:firstLine="427"/>
        <w:jc w:val="both"/>
      </w:pPr>
      <w:r>
        <w:rPr/>
        <w:t>An integral method was used for determining the reaction order of hydroperoxides formation by oxidation of bulk and microencapsulated CO. The experimental data (Figures 4 and 5) were fitted to equations 9, 10 and 11. Both systems followed zero-order kinetics (</w:t>
      </w:r>
      <w:r>
        <w:rPr>
          <w:i/>
        </w:rPr>
        <w:t>r</w:t>
      </w:r>
      <w:r>
        <w:rPr>
          <w:i/>
          <w:position w:val="9"/>
          <w:sz w:val="16"/>
        </w:rPr>
        <w:t>2 </w:t>
      </w:r>
      <w:r>
        <w:rPr/>
        <w:t>≥ 0.950). This means that the rate of hydroperoxides formation is not concentration dependent, and only depends on thermal effects and water activity. Peroxide values were plotted as function of storage time to obtain the apparent reaction rate constants of hydroperoxide </w:t>
      </w:r>
      <w:r>
        <w:rPr>
          <w:position w:val="2"/>
        </w:rPr>
        <w:t>formation for both bulk (</w:t>
      </w:r>
      <w:r>
        <w:rPr>
          <w:i/>
          <w:position w:val="2"/>
        </w:rPr>
        <w:t>k</w:t>
      </w:r>
      <w:r>
        <w:rPr>
          <w:i/>
          <w:sz w:val="16"/>
        </w:rPr>
        <w:t>HP,b</w:t>
      </w:r>
      <w:r>
        <w:rPr>
          <w:position w:val="2"/>
        </w:rPr>
        <w:t>) and microencapsulated (</w:t>
      </w:r>
      <w:r>
        <w:rPr>
          <w:i/>
          <w:position w:val="2"/>
        </w:rPr>
        <w:t>k</w:t>
      </w:r>
      <w:r>
        <w:rPr>
          <w:i/>
          <w:sz w:val="16"/>
        </w:rPr>
        <w:t>HP.m</w:t>
      </w:r>
      <w:r>
        <w:rPr>
          <w:position w:val="2"/>
        </w:rPr>
        <w:t>) CO. It is worth clarifying that data of the induction period were not taken into account for the determination of </w:t>
      </w:r>
      <w:r>
        <w:rPr>
          <w:i/>
          <w:position w:val="2"/>
        </w:rPr>
        <w:t>k</w:t>
      </w:r>
      <w:r>
        <w:rPr>
          <w:i/>
          <w:sz w:val="16"/>
        </w:rPr>
        <w:t>HP,b </w:t>
      </w:r>
      <w:r>
        <w:rPr>
          <w:position w:val="2"/>
        </w:rPr>
        <w:t>and </w:t>
      </w:r>
      <w:r>
        <w:rPr>
          <w:i/>
          <w:position w:val="2"/>
        </w:rPr>
        <w:t>k</w:t>
      </w:r>
      <w:r>
        <w:rPr>
          <w:i/>
          <w:sz w:val="16"/>
        </w:rPr>
        <w:t>HP,m</w:t>
      </w:r>
      <w:r>
        <w:rPr>
          <w:position w:val="2"/>
        </w:rPr>
        <w:t>.</w:t>
      </w:r>
    </w:p>
    <w:p>
      <w:pPr>
        <w:pStyle w:val="BodyText"/>
        <w:spacing w:line="360" w:lineRule="auto" w:before="3"/>
        <w:ind w:left="100" w:right="116" w:firstLine="427"/>
        <w:jc w:val="both"/>
      </w:pPr>
      <w:r>
        <w:rPr/>
        <w:t>Tables 4 and 5 summarize the calculated kinetic parameters of the bulk and microencapsulated CO oxidation. As can be observed, the apparent reaction rate constant </w:t>
      </w:r>
      <w:r>
        <w:rPr>
          <w:position w:val="2"/>
        </w:rPr>
        <w:t>values increased as temperature increased at a specific water activity, while </w:t>
      </w:r>
      <w:r>
        <w:rPr>
          <w:i/>
          <w:position w:val="2"/>
        </w:rPr>
        <w:t>k</w:t>
      </w:r>
      <w:r>
        <w:rPr>
          <w:i/>
          <w:sz w:val="16"/>
        </w:rPr>
        <w:t>HP,b </w:t>
      </w:r>
      <w:r>
        <w:rPr>
          <w:position w:val="2"/>
        </w:rPr>
        <w:t>and </w:t>
      </w:r>
      <w:r>
        <w:rPr>
          <w:i/>
          <w:position w:val="2"/>
        </w:rPr>
        <w:t>k</w:t>
      </w:r>
      <w:r>
        <w:rPr>
          <w:i/>
          <w:sz w:val="16"/>
        </w:rPr>
        <w:t>HP,m </w:t>
      </w:r>
      <w:r>
        <w:rPr>
          <w:position w:val="2"/>
        </w:rPr>
        <w:t>diminished as </w:t>
      </w:r>
      <w:r>
        <w:rPr>
          <w:i/>
          <w:position w:val="2"/>
        </w:rPr>
        <w:t>a</w:t>
      </w:r>
      <w:r>
        <w:rPr>
          <w:i/>
          <w:sz w:val="16"/>
        </w:rPr>
        <w:t>w </w:t>
      </w:r>
      <w:r>
        <w:rPr>
          <w:position w:val="2"/>
        </w:rPr>
        <w:t>increased, independently of the storage temperature, except at water </w:t>
      </w:r>
      <w:r>
        <w:rPr/>
        <w:t>activities </w:t>
      </w:r>
      <w:r>
        <w:rPr>
          <w:rFonts w:ascii="Symbol" w:hAnsi="Symbol"/>
        </w:rPr>
        <w:t></w:t>
      </w:r>
      <w:r>
        <w:rPr/>
        <w:t> 0.734. Reaction rate constants of bulk CO were about 2-2.5 times higher than those  of  the   microencapsulated   CO.   confirming   that   the   biopolymer   matrix delayed</w:t>
      </w:r>
    </w:p>
    <w:p>
      <w:pPr>
        <w:spacing w:after="0" w:line="360" w:lineRule="auto"/>
        <w:jc w:val="both"/>
        <w:sectPr>
          <w:footerReference w:type="even" r:id="rId24"/>
          <w:footerReference w:type="default" r:id="rId25"/>
          <w:pgSz w:w="11900" w:h="16840"/>
          <w:pgMar w:footer="1370" w:header="0" w:top="1380" w:bottom="1560" w:left="1340" w:right="1320"/>
        </w:sectPr>
      </w:pPr>
    </w:p>
    <w:p>
      <w:pPr>
        <w:pStyle w:val="BodyText"/>
        <w:spacing w:line="360" w:lineRule="auto" w:before="54"/>
        <w:ind w:left="100" w:right="118"/>
        <w:jc w:val="both"/>
      </w:pPr>
      <w:r>
        <w:rPr/>
        <w:t>hydroperoxide formation, besides providing high encapsulation efficiency (Rodea-González et al., 2012). Reaction rate constant indicate higher oxygen diffusivity in bulk CO, whilst oxygen diffusion was retarded through the biopolymer matrix of the microencapsulated CO.</w:t>
      </w:r>
    </w:p>
    <w:p>
      <w:pPr>
        <w:pStyle w:val="BodyText"/>
        <w:spacing w:line="357" w:lineRule="auto" w:before="8"/>
        <w:ind w:left="100" w:right="109" w:firstLine="427"/>
        <w:jc w:val="both"/>
      </w:pPr>
      <w:r>
        <w:rPr>
          <w:position w:val="2"/>
        </w:rPr>
        <w:t>The apparent activation energies for bulk (</w:t>
      </w:r>
      <w:r>
        <w:rPr>
          <w:i/>
          <w:position w:val="2"/>
        </w:rPr>
        <w:t>E</w:t>
      </w:r>
      <w:r>
        <w:rPr>
          <w:i/>
          <w:sz w:val="16"/>
        </w:rPr>
        <w:t>a,b</w:t>
      </w:r>
      <w:r>
        <w:rPr>
          <w:position w:val="2"/>
        </w:rPr>
        <w:t>) and microencapsulated (</w:t>
      </w:r>
      <w:r>
        <w:rPr>
          <w:i/>
          <w:position w:val="2"/>
        </w:rPr>
        <w:t>E</w:t>
      </w:r>
      <w:r>
        <w:rPr>
          <w:i/>
          <w:sz w:val="16"/>
        </w:rPr>
        <w:t>a,m</w:t>
      </w:r>
      <w:r>
        <w:rPr>
          <w:position w:val="2"/>
        </w:rPr>
        <w:t>) CO diminished as </w:t>
      </w:r>
      <w:r>
        <w:rPr>
          <w:i/>
          <w:position w:val="2"/>
        </w:rPr>
        <w:t>a</w:t>
      </w:r>
      <w:r>
        <w:rPr>
          <w:i/>
          <w:sz w:val="16"/>
        </w:rPr>
        <w:t>w </w:t>
      </w:r>
      <w:r>
        <w:rPr>
          <w:position w:val="2"/>
        </w:rPr>
        <w:t>increased, except at water activities </w:t>
      </w:r>
      <w:r>
        <w:rPr>
          <w:rFonts w:ascii="Symbol" w:hAnsi="Symbol"/>
          <w:position w:val="2"/>
        </w:rPr>
        <w:t></w:t>
      </w:r>
      <w:r>
        <w:rPr>
          <w:position w:val="2"/>
        </w:rPr>
        <w:t> 0.734, where the activation energy </w:t>
      </w:r>
      <w:r>
        <w:rPr/>
        <w:t>slightly increased. In all cases the activation energy values were smaller for the </w:t>
      </w:r>
      <w:r>
        <w:rPr>
          <w:position w:val="2"/>
        </w:rPr>
        <w:t>microencapsulated CO than for bulk CO. </w:t>
      </w:r>
      <w:r>
        <w:rPr>
          <w:i/>
          <w:position w:val="2"/>
        </w:rPr>
        <w:t>k</w:t>
      </w:r>
      <w:r>
        <w:rPr>
          <w:i/>
          <w:sz w:val="16"/>
        </w:rPr>
        <w:t>HP,b </w:t>
      </w:r>
      <w:r>
        <w:rPr>
          <w:position w:val="2"/>
        </w:rPr>
        <w:t>values were of an order of magnitude greater than </w:t>
      </w:r>
      <w:r>
        <w:rPr>
          <w:i/>
          <w:position w:val="2"/>
        </w:rPr>
        <w:t>k</w:t>
      </w:r>
      <w:r>
        <w:rPr>
          <w:i/>
          <w:sz w:val="16"/>
        </w:rPr>
        <w:t>HP,m </w:t>
      </w:r>
      <w:r>
        <w:rPr>
          <w:position w:val="2"/>
        </w:rPr>
        <w:t>at 35 and 40 ºC. Actually, the calculated values of activation energy for the </w:t>
      </w:r>
      <w:r>
        <w:rPr/>
        <w:t>microencapsulated CO suggest that oxidation was an oxygen diffusion-controlled process. In order to validate this statement effectiveness factors (</w:t>
      </w:r>
      <w:r>
        <w:rPr>
          <w:i/>
        </w:rPr>
        <w:t>η</w:t>
      </w:r>
      <w:r>
        <w:rPr/>
        <w:t>) were calculated by means of equation</w:t>
      </w:r>
    </w:p>
    <w:p>
      <w:pPr>
        <w:pStyle w:val="BodyText"/>
        <w:spacing w:before="6"/>
        <w:ind w:left="100"/>
        <w:jc w:val="both"/>
      </w:pPr>
      <w:r>
        <w:rPr/>
        <w:t>(13) (Fogler, 2008):</w:t>
      </w:r>
    </w:p>
    <w:p>
      <w:pPr>
        <w:pStyle w:val="BodyText"/>
        <w:rPr>
          <w:sz w:val="20"/>
        </w:rPr>
      </w:pPr>
    </w:p>
    <w:p>
      <w:pPr>
        <w:pStyle w:val="BodyText"/>
        <w:spacing w:before="5"/>
        <w:rPr>
          <w:sz w:val="23"/>
        </w:rPr>
      </w:pPr>
    </w:p>
    <w:p>
      <w:pPr>
        <w:spacing w:after="0"/>
        <w:rPr>
          <w:sz w:val="23"/>
        </w:rPr>
        <w:sectPr>
          <w:pgSz w:w="11900" w:h="16840"/>
          <w:pgMar w:header="0" w:footer="1026" w:top="1360" w:bottom="1220" w:left="1340" w:right="1320"/>
        </w:sectPr>
      </w:pPr>
    </w:p>
    <w:p>
      <w:pPr>
        <w:spacing w:line="383" w:lineRule="exact" w:before="85"/>
        <w:ind w:left="0" w:right="0" w:firstLine="0"/>
        <w:jc w:val="right"/>
        <w:rPr>
          <w:i/>
          <w:sz w:val="14"/>
        </w:rPr>
      </w:pPr>
      <w:r>
        <w:rPr/>
        <w:pict>
          <v:line style="position:absolute;mso-position-horizontal-relative:page;mso-position-vertical-relative:paragraph;z-index:-75736" from="250.253876pt,20.031485pt" to="266.128664pt,20.031496pt" stroked="true" strokeweight=".582065pt" strokecolor="#000000">
            <w10:wrap type="none"/>
          </v:line>
        </w:pict>
      </w:r>
      <w:r>
        <w:rPr>
          <w:i/>
          <w:position w:val="-8"/>
          <w:sz w:val="24"/>
        </w:rPr>
        <w:t>η </w:t>
      </w:r>
      <w:r>
        <w:rPr>
          <w:rFonts w:ascii="Symbol" w:hAnsi="Symbol"/>
          <w:position w:val="-8"/>
          <w:sz w:val="24"/>
        </w:rPr>
        <w:t></w:t>
      </w:r>
      <w:r>
        <w:rPr>
          <w:position w:val="-8"/>
          <w:sz w:val="24"/>
        </w:rPr>
        <w:t> </w:t>
      </w:r>
      <w:r>
        <w:rPr>
          <w:i/>
          <w:position w:val="6"/>
          <w:sz w:val="24"/>
        </w:rPr>
        <w:t>r</w:t>
      </w:r>
      <w:r>
        <w:rPr>
          <w:i/>
          <w:sz w:val="14"/>
        </w:rPr>
        <w:t>obs</w:t>
      </w:r>
    </w:p>
    <w:p>
      <w:pPr>
        <w:spacing w:line="270" w:lineRule="exact" w:before="0"/>
        <w:ind w:left="0" w:right="60" w:firstLine="0"/>
        <w:jc w:val="right"/>
        <w:rPr>
          <w:i/>
          <w:sz w:val="14"/>
        </w:rPr>
      </w:pPr>
      <w:r>
        <w:rPr>
          <w:i/>
          <w:w w:val="95"/>
          <w:sz w:val="24"/>
        </w:rPr>
        <w:t>r</w:t>
      </w:r>
      <w:r>
        <w:rPr>
          <w:i/>
          <w:w w:val="95"/>
          <w:position w:val="-5"/>
          <w:sz w:val="14"/>
        </w:rPr>
        <w:t>b</w:t>
      </w:r>
    </w:p>
    <w:p>
      <w:pPr>
        <w:spacing w:line="215" w:lineRule="exact" w:before="69"/>
        <w:ind w:left="252" w:right="320" w:firstLine="0"/>
        <w:jc w:val="center"/>
        <w:rPr>
          <w:i/>
          <w:sz w:val="24"/>
        </w:rPr>
      </w:pPr>
      <w:r>
        <w:rPr/>
        <w:br w:type="column"/>
      </w:r>
      <w:r>
        <w:rPr>
          <w:i/>
          <w:sz w:val="24"/>
        </w:rPr>
        <w:t>k</w:t>
      </w:r>
    </w:p>
    <w:p>
      <w:pPr>
        <w:spacing w:line="188" w:lineRule="exact" w:before="0"/>
        <w:ind w:left="287" w:right="0" w:hanging="225"/>
        <w:jc w:val="left"/>
        <w:rPr>
          <w:i/>
          <w:sz w:val="14"/>
        </w:rPr>
      </w:pPr>
      <w:r>
        <w:rPr/>
        <w:pict>
          <v:line style="position:absolute;mso-position-horizontal-relative:page;mso-position-vertical-relative:paragraph;z-index:-75712" from="278.931335pt,5.858485pt" to="303.901869pt,5.858503pt" stroked="true" strokeweight=".582065pt" strokecolor="#000000">
            <w10:wrap type="none"/>
          </v:line>
        </w:pict>
      </w:r>
      <w:r>
        <w:rPr>
          <w:rFonts w:ascii="Symbol" w:hAnsi="Symbol"/>
          <w:position w:val="-10"/>
          <w:sz w:val="24"/>
        </w:rPr>
        <w:t></w:t>
      </w:r>
      <w:r>
        <w:rPr>
          <w:position w:val="-10"/>
          <w:sz w:val="24"/>
        </w:rPr>
        <w:t>   </w:t>
      </w:r>
      <w:r>
        <w:rPr>
          <w:i/>
          <w:sz w:val="14"/>
        </w:rPr>
        <w:t>HP,m</w:t>
      </w:r>
    </w:p>
    <w:p>
      <w:pPr>
        <w:spacing w:line="269" w:lineRule="exact" w:before="0"/>
        <w:ind w:left="287" w:right="0" w:firstLine="0"/>
        <w:jc w:val="left"/>
        <w:rPr>
          <w:i/>
          <w:sz w:val="14"/>
        </w:rPr>
      </w:pPr>
      <w:r>
        <w:rPr>
          <w:i/>
          <w:position w:val="6"/>
          <w:sz w:val="24"/>
        </w:rPr>
        <w:t>k</w:t>
      </w:r>
      <w:r>
        <w:rPr>
          <w:i/>
          <w:sz w:val="14"/>
        </w:rPr>
        <w:t>HP,b</w:t>
      </w:r>
    </w:p>
    <w:p>
      <w:pPr>
        <w:pStyle w:val="BodyText"/>
        <w:spacing w:before="3"/>
        <w:rPr>
          <w:i/>
          <w:sz w:val="20"/>
        </w:rPr>
      </w:pPr>
      <w:r>
        <w:rPr/>
        <w:br w:type="column"/>
      </w:r>
      <w:r>
        <w:rPr>
          <w:i/>
          <w:sz w:val="20"/>
        </w:rPr>
      </w:r>
    </w:p>
    <w:p>
      <w:pPr>
        <w:pStyle w:val="BodyText"/>
        <w:ind w:left="1250"/>
      </w:pPr>
      <w:r>
        <w:rPr/>
        <w:t>(13)</w:t>
      </w:r>
    </w:p>
    <w:p>
      <w:pPr>
        <w:spacing w:after="0"/>
        <w:sectPr>
          <w:type w:val="continuous"/>
          <w:pgSz w:w="11900" w:h="16840"/>
          <w:pgMar w:top="1580" w:bottom="280" w:left="1340" w:right="1320"/>
          <w:cols w:num="3" w:equalWidth="0">
            <w:col w:w="3944" w:space="40"/>
            <w:col w:w="719" w:space="40"/>
            <w:col w:w="4497"/>
          </w:cols>
        </w:sectPr>
      </w:pPr>
    </w:p>
    <w:p>
      <w:pPr>
        <w:pStyle w:val="BodyText"/>
        <w:rPr>
          <w:sz w:val="20"/>
        </w:rPr>
      </w:pPr>
    </w:p>
    <w:p>
      <w:pPr>
        <w:pStyle w:val="BodyText"/>
        <w:rPr>
          <w:sz w:val="25"/>
        </w:rPr>
      </w:pPr>
    </w:p>
    <w:p>
      <w:pPr>
        <w:pStyle w:val="BodyText"/>
        <w:spacing w:line="357" w:lineRule="auto" w:before="69"/>
        <w:ind w:left="100" w:right="115"/>
        <w:jc w:val="both"/>
      </w:pPr>
      <w:r>
        <w:rPr>
          <w:position w:val="2"/>
        </w:rPr>
        <w:t>where </w:t>
      </w:r>
      <w:r>
        <w:rPr>
          <w:i/>
          <w:position w:val="2"/>
        </w:rPr>
        <w:t>r</w:t>
      </w:r>
      <w:r>
        <w:rPr>
          <w:i/>
          <w:sz w:val="16"/>
        </w:rPr>
        <w:t>obs </w:t>
      </w:r>
      <w:r>
        <w:rPr>
          <w:position w:val="2"/>
        </w:rPr>
        <w:t>is the observed reaction rate of the microencapsulated CO and </w:t>
      </w:r>
      <w:r>
        <w:rPr>
          <w:i/>
          <w:position w:val="2"/>
        </w:rPr>
        <w:t>r</w:t>
      </w:r>
      <w:r>
        <w:rPr>
          <w:i/>
          <w:sz w:val="16"/>
        </w:rPr>
        <w:t>b </w:t>
      </w:r>
      <w:r>
        <w:rPr>
          <w:position w:val="2"/>
        </w:rPr>
        <w:t>is the oxidation </w:t>
      </w:r>
      <w:r>
        <w:rPr/>
        <w:t>rate of the bulk CO. In the former there is a diffusion barrier while the latter is calculated at bulk conditions.</w:t>
      </w:r>
    </w:p>
    <w:p>
      <w:pPr>
        <w:pStyle w:val="BodyText"/>
        <w:spacing w:line="360" w:lineRule="auto" w:before="6"/>
        <w:ind w:left="100" w:right="109" w:firstLine="427"/>
        <w:jc w:val="both"/>
      </w:pPr>
      <w:r>
        <w:rPr/>
        <w:t>By applying equation (13) it was found that effectiveness factor is temperature and water activity dependent and varies from 0.265 to 0.425. In concordance with the effectiveness factor concept, the first value definitely indicates a diffusion-controlled process and is </w:t>
      </w:r>
      <w:r>
        <w:rPr>
          <w:position w:val="2"/>
        </w:rPr>
        <w:t>associated to the lowest calculated activation energy. Actually, the lowest values of </w:t>
      </w:r>
      <w:r>
        <w:rPr>
          <w:i/>
          <w:position w:val="2"/>
        </w:rPr>
        <w:t>k</w:t>
      </w:r>
      <w:r>
        <w:rPr>
          <w:i/>
          <w:sz w:val="16"/>
        </w:rPr>
        <w:t>HP,m </w:t>
      </w:r>
      <w:r>
        <w:rPr>
          <w:position w:val="2"/>
        </w:rPr>
        <w:t>and </w:t>
      </w:r>
      <w:r>
        <w:rPr>
          <w:i/>
          <w:position w:val="2"/>
        </w:rPr>
        <w:t>E</w:t>
      </w:r>
      <w:r>
        <w:rPr>
          <w:i/>
          <w:sz w:val="16"/>
        </w:rPr>
        <w:t>a,m </w:t>
      </w:r>
      <w:r>
        <w:rPr>
          <w:position w:val="2"/>
        </w:rPr>
        <w:t>were obtained for the microencapsulated CO stored at water activities close to the </w:t>
      </w:r>
      <w:r>
        <w:rPr/>
        <w:t>minimum integral entropy zone (0.625-0.672 at 25 °C, 0.617-0.668 at 35 °C, and 0.666-0.718 at 40 °C), e.g. under conditions considered as belonging to the maximum stability zone. In this zone water is less available to participate in degradation reactions; furthermore water acts as plasticizer hindering the oxygen diffusion through the pores of the polymeric matrix that leads to less oxygen availability for carrying out the oxidation process. At the same time, at this minimum entropy zone the microcapsules were below their critical storage conditions (CSC) preserving their glassy state and maintaining a defined morphology as SEM images </w:t>
      </w:r>
      <w:r>
        <w:rPr>
          <w:position w:val="2"/>
        </w:rPr>
        <w:t>demonstrate (Figure 3c), while at </w:t>
      </w:r>
      <w:r>
        <w:rPr>
          <w:i/>
          <w:position w:val="2"/>
        </w:rPr>
        <w:t>a</w:t>
      </w:r>
      <w:r>
        <w:rPr>
          <w:i/>
          <w:sz w:val="16"/>
        </w:rPr>
        <w:t>w </w:t>
      </w:r>
      <w:r>
        <w:rPr>
          <w:rFonts w:ascii="Symbol" w:hAnsi="Symbol"/>
          <w:position w:val="2"/>
        </w:rPr>
        <w:t></w:t>
      </w:r>
      <w:r>
        <w:rPr>
          <w:position w:val="2"/>
        </w:rPr>
        <w:t> 0.734 caking was evident, which might have </w:t>
      </w:r>
      <w:r>
        <w:rPr/>
        <w:t>contributed to oil migration outside the polymeric matrix. This is reflected in an increase in </w:t>
      </w:r>
      <w:r>
        <w:rPr>
          <w:i/>
          <w:position w:val="2"/>
        </w:rPr>
        <w:t>k</w:t>
      </w:r>
      <w:r>
        <w:rPr>
          <w:i/>
          <w:sz w:val="16"/>
        </w:rPr>
        <w:t>HP,m  </w:t>
      </w:r>
      <w:r>
        <w:rPr>
          <w:position w:val="2"/>
        </w:rPr>
        <w:t>and  </w:t>
      </w:r>
      <w:r>
        <w:rPr>
          <w:i/>
          <w:position w:val="2"/>
        </w:rPr>
        <w:t>E</w:t>
      </w:r>
      <w:r>
        <w:rPr>
          <w:i/>
          <w:sz w:val="16"/>
        </w:rPr>
        <w:t>a,m  </w:t>
      </w:r>
      <w:r>
        <w:rPr>
          <w:position w:val="2"/>
        </w:rPr>
        <w:t>since  oil was  more  exposed  and  therefore  available  to  react  with oxygen.</w:t>
      </w:r>
    </w:p>
    <w:p>
      <w:pPr>
        <w:spacing w:after="0" w:line="360" w:lineRule="auto"/>
        <w:jc w:val="both"/>
        <w:sectPr>
          <w:type w:val="continuous"/>
          <w:pgSz w:w="11900" w:h="16840"/>
          <w:pgMar w:top="1580" w:bottom="280" w:left="1340" w:right="1320"/>
        </w:sectPr>
      </w:pPr>
    </w:p>
    <w:p>
      <w:pPr>
        <w:pStyle w:val="BodyText"/>
        <w:spacing w:line="360" w:lineRule="auto" w:before="53"/>
        <w:ind w:left="100" w:right="114"/>
        <w:jc w:val="both"/>
        <w:rPr>
          <w:i/>
        </w:rPr>
      </w:pPr>
      <w:r>
        <w:rPr>
          <w:position w:val="2"/>
        </w:rPr>
        <w:t>Moreover, </w:t>
      </w:r>
      <w:r>
        <w:rPr>
          <w:spacing w:val="-3"/>
          <w:position w:val="2"/>
        </w:rPr>
        <w:t>at </w:t>
      </w:r>
      <w:r>
        <w:rPr>
          <w:position w:val="2"/>
        </w:rPr>
        <w:t>conditions below the CSC an increase </w:t>
      </w:r>
      <w:r>
        <w:rPr>
          <w:spacing w:val="-3"/>
          <w:position w:val="2"/>
        </w:rPr>
        <w:t>in </w:t>
      </w:r>
      <w:r>
        <w:rPr>
          <w:i/>
          <w:position w:val="2"/>
        </w:rPr>
        <w:t>k</w:t>
      </w:r>
      <w:r>
        <w:rPr>
          <w:i/>
          <w:sz w:val="16"/>
        </w:rPr>
        <w:t>HP,m </w:t>
      </w:r>
      <w:r>
        <w:rPr>
          <w:position w:val="2"/>
        </w:rPr>
        <w:t>and </w:t>
      </w:r>
      <w:r>
        <w:rPr>
          <w:i/>
          <w:position w:val="2"/>
        </w:rPr>
        <w:t>E</w:t>
      </w:r>
      <w:r>
        <w:rPr>
          <w:i/>
          <w:sz w:val="16"/>
        </w:rPr>
        <w:t>a,m </w:t>
      </w:r>
      <w:r>
        <w:rPr>
          <w:position w:val="2"/>
        </w:rPr>
        <w:t>was also observed. This </w:t>
      </w:r>
      <w:r>
        <w:rPr>
          <w:spacing w:val="-3"/>
        </w:rPr>
        <w:t>is </w:t>
      </w:r>
      <w:r>
        <w:rPr/>
        <w:t>because both the oxygen diffusion through the polymeric matrix and the oil migration </w:t>
      </w:r>
      <w:r>
        <w:rPr>
          <w:position w:val="2"/>
        </w:rPr>
        <w:t>outside </w:t>
      </w:r>
      <w:r>
        <w:rPr>
          <w:spacing w:val="-5"/>
          <w:position w:val="2"/>
        </w:rPr>
        <w:t>it </w:t>
      </w:r>
      <w:r>
        <w:rPr>
          <w:position w:val="2"/>
        </w:rPr>
        <w:t>are favoured, so at low water activities conditions </w:t>
      </w:r>
      <w:r>
        <w:rPr>
          <w:spacing w:val="4"/>
          <w:position w:val="2"/>
        </w:rPr>
        <w:t>(</w:t>
      </w:r>
      <w:r>
        <w:rPr>
          <w:i/>
          <w:spacing w:val="4"/>
          <w:position w:val="2"/>
        </w:rPr>
        <w:t>a</w:t>
      </w:r>
      <w:r>
        <w:rPr>
          <w:i/>
          <w:spacing w:val="4"/>
          <w:sz w:val="16"/>
        </w:rPr>
        <w:t>w </w:t>
      </w:r>
      <w:r>
        <w:rPr>
          <w:position w:val="2"/>
        </w:rPr>
        <w:t>≤ 0.536), the microcapsules had the highest values of </w:t>
      </w:r>
      <w:r>
        <w:rPr>
          <w:i/>
          <w:position w:val="2"/>
        </w:rPr>
        <w:t>k</w:t>
      </w:r>
      <w:r>
        <w:rPr>
          <w:i/>
          <w:sz w:val="16"/>
        </w:rPr>
        <w:t>HP,m</w:t>
      </w:r>
      <w:r>
        <w:rPr>
          <w:position w:val="2"/>
        </w:rPr>
        <w:t>, </w:t>
      </w:r>
      <w:r>
        <w:rPr>
          <w:i/>
          <w:position w:val="2"/>
        </w:rPr>
        <w:t>E</w:t>
      </w:r>
      <w:r>
        <w:rPr>
          <w:i/>
          <w:sz w:val="16"/>
        </w:rPr>
        <w:t>a,m </w:t>
      </w:r>
      <w:r>
        <w:rPr>
          <w:position w:val="2"/>
        </w:rPr>
        <w:t>and</w:t>
      </w:r>
      <w:r>
        <w:rPr>
          <w:spacing w:val="11"/>
          <w:position w:val="2"/>
        </w:rPr>
        <w:t> </w:t>
      </w:r>
      <w:r>
        <w:rPr>
          <w:i/>
          <w:position w:val="2"/>
        </w:rPr>
        <w:t>η.</w:t>
      </w:r>
    </w:p>
    <w:p>
      <w:pPr>
        <w:pStyle w:val="BodyText"/>
        <w:spacing w:line="360" w:lineRule="auto"/>
        <w:ind w:left="100" w:right="111" w:firstLine="427"/>
        <w:jc w:val="both"/>
      </w:pPr>
      <w:r>
        <w:rPr/>
        <w:t>Water activity affects the mobility and reactivity of chemical species within the system because the amount of water adsorbed is enough to affect the overall dielectric properties so that water behaves as a solvent (Labuza and Altunakar, 2007). In this manner, chemical </w:t>
      </w:r>
      <w:r>
        <w:rPr>
          <w:position w:val="2"/>
        </w:rPr>
        <w:t>species can dissolve, become mobile, and react. Depending on the </w:t>
      </w:r>
      <w:r>
        <w:rPr>
          <w:i/>
          <w:position w:val="2"/>
        </w:rPr>
        <w:t>a</w:t>
      </w:r>
      <w:r>
        <w:rPr>
          <w:i/>
          <w:sz w:val="16"/>
        </w:rPr>
        <w:t>w</w:t>
      </w:r>
      <w:r>
        <w:rPr>
          <w:position w:val="2"/>
        </w:rPr>
        <w:t>, the reaction rate </w:t>
      </w:r>
      <w:r>
        <w:rPr/>
        <w:t>constant could be greater due to the greater solubility and increased mobility but at some higher water activities the chemical species have completely dissolved and the reaction rate </w:t>
      </w:r>
      <w:r>
        <w:rPr>
          <w:position w:val="2"/>
        </w:rPr>
        <w:t>decreases as </w:t>
      </w:r>
      <w:r>
        <w:rPr>
          <w:i/>
          <w:position w:val="2"/>
        </w:rPr>
        <w:t>a</w:t>
      </w:r>
      <w:r>
        <w:rPr>
          <w:i/>
          <w:sz w:val="16"/>
        </w:rPr>
        <w:t>w </w:t>
      </w:r>
      <w:r>
        <w:rPr>
          <w:position w:val="2"/>
        </w:rPr>
        <w:t>increases because water dilutes the reagents (Labuza and Altunakar, 2007). </w:t>
      </w:r>
      <w:r>
        <w:rPr/>
        <w:t>Also, the presence of trace metals as copper or iron could increase the reaction rate.</w:t>
      </w:r>
    </w:p>
    <w:p>
      <w:pPr>
        <w:pStyle w:val="BodyText"/>
        <w:spacing w:line="357" w:lineRule="auto" w:before="4"/>
        <w:ind w:left="100" w:right="112"/>
        <w:jc w:val="both"/>
      </w:pPr>
      <w:r>
        <w:rPr/>
        <w:t>From the above mentioned, </w:t>
      </w:r>
      <w:r>
        <w:rPr>
          <w:spacing w:val="-5"/>
        </w:rPr>
        <w:t>it </w:t>
      </w:r>
      <w:r>
        <w:rPr/>
        <w:t>can </w:t>
      </w:r>
      <w:r>
        <w:rPr>
          <w:spacing w:val="-3"/>
        </w:rPr>
        <w:t>be </w:t>
      </w:r>
      <w:r>
        <w:rPr/>
        <w:t>concluded that oxygen diffusion towards the inside of </w:t>
      </w:r>
      <w:r>
        <w:rPr>
          <w:position w:val="2"/>
        </w:rPr>
        <w:t>the microcapsule </w:t>
      </w:r>
      <w:r>
        <w:rPr>
          <w:spacing w:val="-3"/>
          <w:position w:val="2"/>
        </w:rPr>
        <w:t>is </w:t>
      </w:r>
      <w:r>
        <w:rPr>
          <w:position w:val="2"/>
        </w:rPr>
        <w:t>the controlling step of the oxidation reaction at </w:t>
      </w:r>
      <w:r>
        <w:rPr>
          <w:i/>
          <w:position w:val="2"/>
        </w:rPr>
        <w:t>a</w:t>
      </w:r>
      <w:r>
        <w:rPr>
          <w:i/>
          <w:sz w:val="16"/>
        </w:rPr>
        <w:t>w </w:t>
      </w:r>
      <w:r>
        <w:rPr>
          <w:position w:val="2"/>
        </w:rPr>
        <w:t>close </w:t>
      </w:r>
      <w:r>
        <w:rPr>
          <w:spacing w:val="2"/>
          <w:position w:val="2"/>
        </w:rPr>
        <w:t>to </w:t>
      </w:r>
      <w:r>
        <w:rPr>
          <w:position w:val="2"/>
        </w:rPr>
        <w:t>the minimum entropy zone, while at others </w:t>
      </w:r>
      <w:r>
        <w:rPr>
          <w:i/>
          <w:position w:val="2"/>
        </w:rPr>
        <w:t>a</w:t>
      </w:r>
      <w:r>
        <w:rPr>
          <w:i/>
          <w:sz w:val="16"/>
        </w:rPr>
        <w:t>w </w:t>
      </w:r>
      <w:r>
        <w:rPr>
          <w:position w:val="2"/>
        </w:rPr>
        <w:t>the chemical reaction itself becomes</w:t>
      </w:r>
      <w:r>
        <w:rPr>
          <w:spacing w:val="-13"/>
          <w:position w:val="2"/>
        </w:rPr>
        <w:t> </w:t>
      </w:r>
      <w:r>
        <w:rPr>
          <w:position w:val="2"/>
        </w:rPr>
        <w:t>competitive.</w:t>
      </w:r>
    </w:p>
    <w:p>
      <w:pPr>
        <w:pStyle w:val="BodyText"/>
        <w:spacing w:line="360" w:lineRule="auto" w:before="8"/>
        <w:ind w:left="100" w:right="112" w:firstLine="427"/>
        <w:jc w:val="both"/>
      </w:pPr>
      <w:r>
        <w:rPr/>
        <w:t>In this context, it is worth pointing out that there is sparse literature regarding the determination of the reaction order and kinetic parameters of the oxidation of vegetable oils microencapsulated with different polymeric matrices, stored different temperature and water activity conditions (Labuza and Dugan, 1971; Adachi et al., 2009; Torres-Giner et al., 2010; Pu and Sathivel, 2011). Charoen et al</w:t>
      </w:r>
      <w:r>
        <w:rPr>
          <w:i/>
        </w:rPr>
        <w:t>. </w:t>
      </w:r>
      <w:r>
        <w:rPr/>
        <w:t>(2015) microencapsulated rice bran oil using biopolymer blends as wall materials such as whey protein isolate (WPI)-maltodextrin DE 18, and modified starch-maltodextrin DE 18. Spray drying was performed at 180 °C. Lipid oxidation data for microcapsules stored at 25, 35, and 45 ºC and relative humidities of  11-87</w:t>
      </w:r>
    </w:p>
    <w:p>
      <w:pPr>
        <w:pStyle w:val="BodyText"/>
        <w:spacing w:line="360" w:lineRule="auto" w:before="8"/>
        <w:ind w:left="100" w:right="115"/>
        <w:jc w:val="both"/>
      </w:pPr>
      <w:r>
        <w:rPr/>
        <w:t>% best fitted zero- and first-order kinetics. Reaction rate constants for modified starch powders ranged from 0.1362 to 1.2680 mmol/kg oil</w:t>
      </w:r>
      <w:r>
        <w:rPr>
          <w:rFonts w:ascii="Symbol" w:hAnsi="Symbol"/>
        </w:rPr>
        <w:t></w:t>
      </w:r>
      <w:r>
        <w:rPr/>
        <w:t>day, while for WPI powders varied from 0.0103/day to 0.0225/day. In all cases, the reaction rate constants increased with increasing temperature. The activation energies for powders stabilized with MS and WPI were 26.504 kJ/mol and 30.680 kJ/mol, respectively. Fang et al</w:t>
      </w:r>
      <w:r>
        <w:rPr>
          <w:i/>
        </w:rPr>
        <w:t>. </w:t>
      </w:r>
      <w:r>
        <w:rPr/>
        <w:t>(2006) microencapsulated linoleic acid with gum Arabic by spray drying. The powders were stored in the dark at 30, 50, and 70 ºC, and relative humidities of 12, 44, and 75 %. The oxidation kinetics was modelled by an exponential equation that depends on the unoxidized fraction of the oil. They found that activation  energy  was  45  kJ/mol and  the  rate  constants  were  in  the  approximate ranges</w:t>
      </w:r>
    </w:p>
    <w:p>
      <w:pPr>
        <w:spacing w:after="0" w:line="360" w:lineRule="auto"/>
        <w:jc w:val="both"/>
        <w:sectPr>
          <w:footerReference w:type="default" r:id="rId26"/>
          <w:footerReference w:type="even" r:id="rId27"/>
          <w:pgSz w:w="11900" w:h="16840"/>
          <w:pgMar w:footer="1370" w:header="0" w:top="1360" w:bottom="1560" w:left="1340" w:right="1320"/>
          <w:pgNumType w:start="3"/>
        </w:sectPr>
      </w:pPr>
    </w:p>
    <w:p>
      <w:pPr>
        <w:pStyle w:val="BodyText"/>
        <w:spacing w:line="360" w:lineRule="auto" w:before="54"/>
        <w:ind w:left="100" w:right="124"/>
        <w:jc w:val="both"/>
      </w:pPr>
      <w:r>
        <w:rPr/>
        <w:t>between 0.01/day and 5.0/day, where the lowest rate constant values corresponded to the lowest relative humidity.</w:t>
      </w:r>
    </w:p>
    <w:p>
      <w:pPr>
        <w:pStyle w:val="BodyText"/>
      </w:pPr>
    </w:p>
    <w:p>
      <w:pPr>
        <w:spacing w:before="151"/>
        <w:ind w:left="100" w:right="0" w:firstLine="0"/>
        <w:jc w:val="both"/>
        <w:rPr>
          <w:b/>
          <w:sz w:val="24"/>
        </w:rPr>
      </w:pPr>
      <w:r>
        <w:rPr>
          <w:b/>
          <w:sz w:val="24"/>
        </w:rPr>
        <w:t>4. Conclusions</w:t>
      </w:r>
    </w:p>
    <w:p>
      <w:pPr>
        <w:pStyle w:val="BodyText"/>
        <w:spacing w:line="360" w:lineRule="auto" w:before="132"/>
        <w:ind w:left="100" w:right="111" w:firstLine="706"/>
        <w:jc w:val="both"/>
      </w:pPr>
      <w:r>
        <w:rPr/>
        <w:t>Microencapsulated chia oil was oxidized slower than bulk chia oil independently </w:t>
      </w:r>
      <w:r>
        <w:rPr>
          <w:spacing w:val="7"/>
        </w:rPr>
        <w:t>of </w:t>
      </w:r>
      <w:r>
        <w:rPr>
          <w:position w:val="2"/>
        </w:rPr>
        <w:t>storage temperature. When the water activity was relatively low within the studied </w:t>
      </w:r>
      <w:r>
        <w:rPr>
          <w:i/>
          <w:position w:val="2"/>
        </w:rPr>
        <w:t>a</w:t>
      </w:r>
      <w:r>
        <w:rPr>
          <w:i/>
          <w:sz w:val="16"/>
        </w:rPr>
        <w:t>w </w:t>
      </w:r>
      <w:r>
        <w:rPr>
          <w:position w:val="2"/>
        </w:rPr>
        <w:t>range, </w:t>
      </w:r>
      <w:r>
        <w:rPr/>
        <w:t>the oxidation of bulk and microencapsulated chia oil proceeded faster. </w:t>
      </w:r>
      <w:r>
        <w:rPr>
          <w:spacing w:val="-3"/>
        </w:rPr>
        <w:t>At </w:t>
      </w:r>
      <w:r>
        <w:rPr/>
        <w:t>water activities close to the minimum integral entropy zone, the oxidation process of microencapsulated </w:t>
      </w:r>
      <w:r>
        <w:rPr>
          <w:spacing w:val="-3"/>
        </w:rPr>
        <w:t>chia </w:t>
      </w:r>
      <w:r>
        <w:rPr/>
        <w:t>oil was governed by oxygen diffusion, displaying the lowest kinetic parameter values (rate constant and activation energy) and effectiveness factor. The GAB equation was useful for modelling moisture sorption </w:t>
      </w:r>
      <w:r>
        <w:rPr>
          <w:spacing w:val="4"/>
        </w:rPr>
        <w:t>of </w:t>
      </w:r>
      <w:r>
        <w:rPr/>
        <w:t>chia oil microcapsules at all water activities studied. </w:t>
      </w:r>
      <w:r>
        <w:rPr>
          <w:position w:val="2"/>
        </w:rPr>
        <w:t>Minimum integral entropy zone was found at 11.38-13.75 kg H</w:t>
      </w:r>
      <w:r>
        <w:rPr>
          <w:sz w:val="16"/>
        </w:rPr>
        <w:t>2</w:t>
      </w:r>
      <w:r>
        <w:rPr>
          <w:position w:val="2"/>
        </w:rPr>
        <w:t>O/100 kg d.s., corresponding </w:t>
      </w:r>
      <w:r>
        <w:rPr/>
        <w:t>to a water activity of 0.617-0.718, while critical storage conditions were found at a water activity range of 0.682-0.820. In addition to visually observed caking, SEM revealed changes </w:t>
      </w:r>
      <w:r>
        <w:rPr>
          <w:spacing w:val="-3"/>
          <w:position w:val="2"/>
        </w:rPr>
        <w:t>in </w:t>
      </w:r>
      <w:r>
        <w:rPr>
          <w:position w:val="2"/>
        </w:rPr>
        <w:t>the structure of the biopolymer matrix at </w:t>
      </w:r>
      <w:r>
        <w:rPr>
          <w:i/>
          <w:position w:val="2"/>
        </w:rPr>
        <w:t>a</w:t>
      </w:r>
      <w:r>
        <w:rPr>
          <w:i/>
          <w:sz w:val="16"/>
        </w:rPr>
        <w:t>w </w:t>
      </w:r>
      <w:r>
        <w:rPr>
          <w:position w:val="2"/>
        </w:rPr>
        <w:t>≥ 0.734, while microcapsules stored </w:t>
      </w:r>
      <w:r>
        <w:rPr>
          <w:spacing w:val="-3"/>
          <w:position w:val="2"/>
        </w:rPr>
        <w:t>at </w:t>
      </w:r>
      <w:r>
        <w:rPr>
          <w:i/>
          <w:position w:val="2"/>
        </w:rPr>
        <w:t>a</w:t>
      </w:r>
      <w:r>
        <w:rPr>
          <w:i/>
          <w:sz w:val="16"/>
        </w:rPr>
        <w:t>w </w:t>
      </w:r>
      <w:r>
        <w:rPr>
          <w:position w:val="2"/>
        </w:rPr>
        <w:t>≤ </w:t>
      </w:r>
      <w:r>
        <w:rPr/>
        <w:t>0.654 were </w:t>
      </w:r>
      <w:r>
        <w:rPr>
          <w:spacing w:val="-3"/>
        </w:rPr>
        <w:t>able </w:t>
      </w:r>
      <w:r>
        <w:rPr/>
        <w:t>to retain their morphology without caking and stickiness</w:t>
      </w:r>
      <w:r>
        <w:rPr>
          <w:spacing w:val="-22"/>
        </w:rPr>
        <w:t> </w:t>
      </w:r>
      <w:r>
        <w:rPr/>
        <w:t>occurring.</w:t>
      </w:r>
    </w:p>
    <w:p>
      <w:pPr>
        <w:pStyle w:val="BodyText"/>
        <w:spacing w:line="360" w:lineRule="auto" w:before="4"/>
        <w:ind w:left="100" w:right="124" w:firstLine="706"/>
        <w:jc w:val="both"/>
      </w:pPr>
      <w:r>
        <w:rPr/>
        <w:t>Results obtained in this work suggest that by relating minimum integral entropy, moisture sorption and glass transition temperature in conjunction, reliable predictions for establishing the best storage conditions leading to enhanced stability of microencapsulated chia oil against oxidation and extended shelf-life may be achieved.</w:t>
      </w:r>
    </w:p>
    <w:p>
      <w:pPr>
        <w:pStyle w:val="BodyText"/>
      </w:pPr>
    </w:p>
    <w:p>
      <w:pPr>
        <w:pStyle w:val="BodyText"/>
      </w:pPr>
    </w:p>
    <w:p>
      <w:pPr>
        <w:pStyle w:val="BodyText"/>
        <w:spacing w:before="6"/>
      </w:pPr>
    </w:p>
    <w:p>
      <w:pPr>
        <w:spacing w:before="1"/>
        <w:ind w:left="100" w:right="0" w:firstLine="0"/>
        <w:jc w:val="both"/>
        <w:rPr>
          <w:b/>
          <w:sz w:val="24"/>
        </w:rPr>
      </w:pPr>
      <w:r>
        <w:rPr>
          <w:b/>
          <w:sz w:val="24"/>
        </w:rPr>
        <w:t>References</w:t>
      </w:r>
    </w:p>
    <w:p>
      <w:pPr>
        <w:pStyle w:val="BodyText"/>
        <w:spacing w:line="360" w:lineRule="auto" w:before="137"/>
        <w:ind w:left="100" w:right="114"/>
        <w:jc w:val="both"/>
      </w:pPr>
      <w:r>
        <w:rPr/>
        <w:t>Aberkane, L., Roudaut, G., &amp; Saurel, R. (2014). Encapsulation and oxidative stability of PUFA-rich oil microencapsulated by spray drying using pea protein and pectin. </w:t>
      </w:r>
      <w:r>
        <w:rPr>
          <w:i/>
        </w:rPr>
        <w:t>Food and </w:t>
      </w:r>
      <w:r>
        <w:rPr>
          <w:i/>
        </w:rPr>
        <w:t>Bioprocess Technology, </w:t>
      </w:r>
      <w:r>
        <w:rPr/>
        <w:t>7(5), 1505-1517.</w:t>
      </w:r>
    </w:p>
    <w:p>
      <w:pPr>
        <w:pStyle w:val="BodyText"/>
      </w:pPr>
    </w:p>
    <w:p>
      <w:pPr>
        <w:spacing w:line="360" w:lineRule="auto" w:before="145"/>
        <w:ind w:left="100" w:right="126" w:firstLine="0"/>
        <w:jc w:val="both"/>
        <w:rPr>
          <w:sz w:val="24"/>
        </w:rPr>
      </w:pPr>
      <w:r>
        <w:rPr>
          <w:sz w:val="24"/>
        </w:rPr>
        <w:t>Adachi, S., Minten, S., &amp; Kobayashi, T. (2009). Oxidation of lipid in bulk and dispersion systems. </w:t>
      </w:r>
      <w:r>
        <w:rPr>
          <w:i/>
          <w:sz w:val="24"/>
        </w:rPr>
        <w:t>Japan Journal of Food Engineering, </w:t>
      </w:r>
      <w:r>
        <w:rPr>
          <w:sz w:val="24"/>
        </w:rPr>
        <w:t>10(1), 9-15.</w:t>
      </w:r>
    </w:p>
    <w:p>
      <w:pPr>
        <w:pStyle w:val="BodyText"/>
      </w:pPr>
    </w:p>
    <w:p>
      <w:pPr>
        <w:spacing w:line="360" w:lineRule="auto" w:before="141"/>
        <w:ind w:left="100" w:right="111" w:firstLine="0"/>
        <w:jc w:val="both"/>
        <w:rPr>
          <w:sz w:val="24"/>
        </w:rPr>
      </w:pPr>
      <w:r>
        <w:rPr>
          <w:sz w:val="24"/>
        </w:rPr>
        <w:t>Álvarez-Chávez, L. M., Valdivia-López, M. A., Aburto-Juárez, M. L., &amp; Tecante, A. (2008). Chemical characterization of the lipid fraction of mexican chia seed (</w:t>
      </w:r>
      <w:r>
        <w:rPr>
          <w:i/>
          <w:sz w:val="24"/>
        </w:rPr>
        <w:t>Salvia hispanica </w:t>
      </w:r>
      <w:r>
        <w:rPr>
          <w:sz w:val="24"/>
        </w:rPr>
        <w:t>L.). </w:t>
      </w:r>
      <w:r>
        <w:rPr>
          <w:i/>
          <w:sz w:val="24"/>
        </w:rPr>
        <w:t>International Journal of Food Properties, </w:t>
      </w:r>
      <w:r>
        <w:rPr>
          <w:sz w:val="24"/>
        </w:rPr>
        <w:t>11(3), 687-697.</w:t>
      </w:r>
    </w:p>
    <w:p>
      <w:pPr>
        <w:spacing w:after="0" w:line="360" w:lineRule="auto"/>
        <w:jc w:val="both"/>
        <w:rPr>
          <w:sz w:val="24"/>
        </w:rPr>
        <w:sectPr>
          <w:pgSz w:w="11900" w:h="16840"/>
          <w:pgMar w:header="0" w:footer="1026" w:top="1360" w:bottom="1220" w:left="1340" w:right="1320"/>
        </w:sectPr>
      </w:pPr>
    </w:p>
    <w:p>
      <w:pPr>
        <w:pStyle w:val="BodyText"/>
        <w:spacing w:line="360" w:lineRule="auto" w:before="54"/>
        <w:ind w:left="100" w:right="124"/>
        <w:jc w:val="both"/>
      </w:pPr>
      <w:r>
        <w:rPr/>
        <w:t>Bonilla, E., Azuara, E., Beristain, C. I., &amp; Vernon-Carter, E. J. (2010). Predicting suitable storage conditions for spray-dried microcapsules formed with different biopolymer matrices. </w:t>
      </w:r>
      <w:r>
        <w:rPr>
          <w:i/>
        </w:rPr>
        <w:t>Food Hydrocolloids , </w:t>
      </w:r>
      <w:r>
        <w:rPr/>
        <w:t>24(6-7), 633-640.</w:t>
      </w:r>
    </w:p>
    <w:p>
      <w:pPr>
        <w:pStyle w:val="BodyText"/>
      </w:pPr>
    </w:p>
    <w:p>
      <w:pPr>
        <w:pStyle w:val="BodyText"/>
        <w:spacing w:line="360" w:lineRule="auto" w:before="146"/>
        <w:ind w:left="100" w:right="114"/>
        <w:jc w:val="both"/>
      </w:pPr>
      <w:r>
        <w:rPr/>
        <w:t>Chaires-Martínez, L., Salazar-Montoya, J. A., &amp; Ramos-Ramírez, E. G. (2008). Physicochemical and functional characterization of the galactomannan obtained from mesquite seeds (</w:t>
      </w:r>
      <w:r>
        <w:rPr>
          <w:i/>
        </w:rPr>
        <w:t>Prosopis pallida</w:t>
      </w:r>
      <w:r>
        <w:rPr/>
        <w:t>). </w:t>
      </w:r>
      <w:r>
        <w:rPr>
          <w:i/>
        </w:rPr>
        <w:t>Food Research International, </w:t>
      </w:r>
      <w:r>
        <w:rPr/>
        <w:t>227(6), 1669-1676.</w:t>
      </w:r>
    </w:p>
    <w:p>
      <w:pPr>
        <w:pStyle w:val="BodyText"/>
      </w:pPr>
    </w:p>
    <w:p>
      <w:pPr>
        <w:spacing w:line="360" w:lineRule="auto" w:before="146"/>
        <w:ind w:left="100" w:right="113" w:firstLine="0"/>
        <w:jc w:val="both"/>
        <w:rPr>
          <w:sz w:val="24"/>
        </w:rPr>
      </w:pPr>
      <w:r>
        <w:rPr>
          <w:sz w:val="24"/>
        </w:rPr>
        <w:t>Chapkin, R. S. (2008). Reappraisal of the essential fatty acids. In Chow, C. K. (Ed.), </w:t>
      </w:r>
      <w:r>
        <w:rPr>
          <w:i/>
          <w:sz w:val="24"/>
        </w:rPr>
        <w:t>Fatty </w:t>
      </w:r>
      <w:r>
        <w:rPr>
          <w:i/>
          <w:sz w:val="24"/>
        </w:rPr>
        <w:t>acids in foods and their health implications </w:t>
      </w:r>
      <w:r>
        <w:rPr>
          <w:sz w:val="24"/>
        </w:rPr>
        <w:t>(pp. 675-691). Boca Raton, Florida.</w:t>
      </w:r>
    </w:p>
    <w:p>
      <w:pPr>
        <w:pStyle w:val="BodyText"/>
      </w:pPr>
    </w:p>
    <w:p>
      <w:pPr>
        <w:pStyle w:val="BodyText"/>
        <w:spacing w:line="360" w:lineRule="auto" w:before="145"/>
        <w:ind w:left="100" w:right="110"/>
        <w:jc w:val="both"/>
      </w:pPr>
      <w:r>
        <w:rPr/>
        <w:t>Charoen, R., Jangchud, A., Jangchud, K., Harnsilawat, T., &amp; McClements, D. J. (2015). The physical characterization and sorption isotherm of rice bran oil powders stabilized by food- grade biopolymers. </w:t>
      </w:r>
      <w:r>
        <w:rPr>
          <w:i/>
        </w:rPr>
        <w:t>Drying Technology, </w:t>
      </w:r>
      <w:r>
        <w:rPr/>
        <w:t>33(4), 479-492.</w:t>
      </w:r>
    </w:p>
    <w:p>
      <w:pPr>
        <w:pStyle w:val="BodyText"/>
      </w:pPr>
    </w:p>
    <w:p>
      <w:pPr>
        <w:pStyle w:val="BodyText"/>
        <w:spacing w:line="360" w:lineRule="auto" w:before="145"/>
        <w:ind w:left="100" w:right="125"/>
        <w:jc w:val="both"/>
      </w:pPr>
      <w:r>
        <w:rPr/>
        <w:t>Chranioti, C., Nikoloudaki, A., &amp; Tzia, C. (2015). Saffron and beetroot extracts encapsulated in maltodextrin, gum Arabic, modified starch and chitosan: Incorporation in a chewing gum system. </w:t>
      </w:r>
      <w:r>
        <w:rPr>
          <w:i/>
        </w:rPr>
        <w:t>Carbohydrate Polymers, </w:t>
      </w:r>
      <w:r>
        <w:rPr/>
        <w:t>127, 252-263.</w:t>
      </w:r>
    </w:p>
    <w:p>
      <w:pPr>
        <w:pStyle w:val="BodyText"/>
      </w:pPr>
    </w:p>
    <w:p>
      <w:pPr>
        <w:pStyle w:val="BodyText"/>
        <w:spacing w:line="360" w:lineRule="auto" w:before="145"/>
        <w:ind w:left="100" w:right="130"/>
        <w:jc w:val="both"/>
      </w:pPr>
      <w:r>
        <w:rPr/>
        <w:t>Diosady, L. L., Rizvi, S. S. H., Cai, W., &amp; Jagdeo, D. J. (1996). Moisture sorption isotherms of canola meals, and applications to packing. </w:t>
      </w:r>
      <w:r>
        <w:rPr>
          <w:i/>
        </w:rPr>
        <w:t>Journal of Food Science, </w:t>
      </w:r>
      <w:r>
        <w:rPr/>
        <w:t>61(1), 204-208.</w:t>
      </w:r>
    </w:p>
    <w:p>
      <w:pPr>
        <w:pStyle w:val="BodyText"/>
      </w:pPr>
    </w:p>
    <w:p>
      <w:pPr>
        <w:spacing w:line="362" w:lineRule="auto" w:before="140"/>
        <w:ind w:left="100" w:right="119" w:firstLine="0"/>
        <w:jc w:val="both"/>
        <w:rPr>
          <w:sz w:val="24"/>
        </w:rPr>
      </w:pPr>
      <w:r>
        <w:rPr>
          <w:sz w:val="24"/>
        </w:rPr>
        <w:t>Drusch, S., Serfert, Y., &amp; Schwarz, K. (2006). Microencapsulation of fish oil with n- octenylsuccinate-derivatized starch: Flow properties and oxidative stability. </w:t>
      </w:r>
      <w:r>
        <w:rPr>
          <w:i/>
          <w:sz w:val="24"/>
        </w:rPr>
        <w:t>European </w:t>
      </w:r>
      <w:r>
        <w:rPr>
          <w:i/>
          <w:sz w:val="24"/>
        </w:rPr>
        <w:t>Journal of Lipid Science and Technology</w:t>
      </w:r>
      <w:r>
        <w:rPr>
          <w:sz w:val="24"/>
        </w:rPr>
        <w:t>, 108 (6), 501-512.</w:t>
      </w:r>
    </w:p>
    <w:p>
      <w:pPr>
        <w:pStyle w:val="BodyText"/>
      </w:pPr>
    </w:p>
    <w:p>
      <w:pPr>
        <w:pStyle w:val="BodyText"/>
        <w:spacing w:line="360" w:lineRule="auto" w:before="138"/>
        <w:ind w:left="100" w:right="111"/>
        <w:jc w:val="both"/>
      </w:pPr>
      <w:r>
        <w:rPr/>
        <w:t>Estevinho, B. N., Rocha, F., Santos, L., &amp; Alves, </w:t>
      </w:r>
      <w:r>
        <w:rPr>
          <w:spacing w:val="-3"/>
        </w:rPr>
        <w:t>A. </w:t>
      </w:r>
      <w:r>
        <w:rPr/>
        <w:t>(2013). Microencapsulation with chitosan by spray drying for industry applications - A review. </w:t>
      </w:r>
      <w:r>
        <w:rPr>
          <w:i/>
        </w:rPr>
        <w:t>Trend in Food Science &amp; </w:t>
      </w:r>
      <w:r>
        <w:rPr>
          <w:i/>
        </w:rPr>
        <w:t>Technology , </w:t>
      </w:r>
      <w:r>
        <w:rPr/>
        <w:t>31(2),</w:t>
      </w:r>
      <w:r>
        <w:rPr>
          <w:spacing w:val="-5"/>
        </w:rPr>
        <w:t> </w:t>
      </w:r>
      <w:r>
        <w:rPr/>
        <w:t>138-155.</w:t>
      </w:r>
    </w:p>
    <w:p>
      <w:pPr>
        <w:pStyle w:val="BodyText"/>
      </w:pPr>
    </w:p>
    <w:p>
      <w:pPr>
        <w:pStyle w:val="BodyText"/>
        <w:spacing w:line="360" w:lineRule="auto" w:before="141"/>
        <w:ind w:left="100" w:right="110"/>
        <w:jc w:val="both"/>
      </w:pPr>
      <w:r>
        <w:rPr/>
        <w:t>Fang, X., Shima, M., &amp; Adachi, S. (2005). Effects of drying conditions on the oxidation of linoleic acid encapsulated with gum Arabic by spray drying. </w:t>
      </w:r>
      <w:r>
        <w:rPr>
          <w:i/>
        </w:rPr>
        <w:t>Food Science and Technology </w:t>
      </w:r>
      <w:r>
        <w:rPr>
          <w:i/>
        </w:rPr>
        <w:t>Research, </w:t>
      </w:r>
      <w:r>
        <w:rPr/>
        <w:t>11(4), 380-384.</w:t>
      </w:r>
    </w:p>
    <w:p>
      <w:pPr>
        <w:spacing w:after="0" w:line="360" w:lineRule="auto"/>
        <w:jc w:val="both"/>
        <w:sectPr>
          <w:pgSz w:w="11900" w:h="16840"/>
          <w:pgMar w:header="0" w:footer="1370" w:top="1360" w:bottom="1560" w:left="1340" w:right="1320"/>
        </w:sectPr>
      </w:pPr>
    </w:p>
    <w:p>
      <w:pPr>
        <w:pStyle w:val="BodyText"/>
        <w:spacing w:before="5"/>
        <w:rPr>
          <w:sz w:val="15"/>
        </w:rPr>
      </w:pPr>
    </w:p>
    <w:p>
      <w:pPr>
        <w:spacing w:line="360" w:lineRule="auto" w:before="69"/>
        <w:ind w:left="100" w:right="111" w:firstLine="0"/>
        <w:jc w:val="both"/>
        <w:rPr>
          <w:sz w:val="24"/>
        </w:rPr>
      </w:pPr>
      <w:r>
        <w:rPr>
          <w:sz w:val="24"/>
        </w:rPr>
        <w:t>Fogler, H. S. (2006). </w:t>
      </w:r>
      <w:r>
        <w:rPr>
          <w:i/>
          <w:sz w:val="24"/>
        </w:rPr>
        <w:t>Elements of chemical reaction engineering </w:t>
      </w:r>
      <w:r>
        <w:rPr>
          <w:sz w:val="24"/>
        </w:rPr>
        <w:t>(4th ed., pp. 79-142). Upper Saddle River, NJ.</w:t>
      </w:r>
    </w:p>
    <w:p>
      <w:pPr>
        <w:pStyle w:val="BodyText"/>
      </w:pPr>
    </w:p>
    <w:p>
      <w:pPr>
        <w:pStyle w:val="BodyText"/>
        <w:spacing w:before="146"/>
        <w:ind w:left="100"/>
        <w:jc w:val="both"/>
      </w:pPr>
      <w:r>
        <w:rPr/>
        <w:t>Frankel, E. N. (2005). </w:t>
      </w:r>
      <w:r>
        <w:rPr>
          <w:i/>
        </w:rPr>
        <w:t>Lipid oxidation </w:t>
      </w:r>
      <w:r>
        <w:rPr/>
        <w:t>(2nd ed., pp. 25-50). Sawston, Cambidge, UK.</w:t>
      </w:r>
    </w:p>
    <w:p>
      <w:pPr>
        <w:pStyle w:val="BodyText"/>
      </w:pPr>
    </w:p>
    <w:p>
      <w:pPr>
        <w:pStyle w:val="BodyText"/>
        <w:spacing w:before="9"/>
        <w:rPr>
          <w:sz w:val="23"/>
        </w:rPr>
      </w:pPr>
    </w:p>
    <w:p>
      <w:pPr>
        <w:pStyle w:val="BodyText"/>
        <w:spacing w:line="360" w:lineRule="auto"/>
        <w:ind w:left="100" w:right="111"/>
        <w:jc w:val="both"/>
      </w:pPr>
      <w:r>
        <w:rPr/>
        <w:t>Frascareli, E. C., Silva, V. M., Tonon, R. V., &amp; Hubinger, M. D. (2012). Determination of critical storage conditions of coffee oil microcapsules by coupling water sorption isotherms and glass transition temperature. </w:t>
      </w:r>
      <w:r>
        <w:rPr>
          <w:i/>
        </w:rPr>
        <w:t>International Journal of Food Science &amp; Technology  , </w:t>
      </w:r>
      <w:r>
        <w:rPr/>
        <w:t>47(5), 1044-1054.</w:t>
      </w:r>
    </w:p>
    <w:p>
      <w:pPr>
        <w:pStyle w:val="BodyText"/>
      </w:pPr>
    </w:p>
    <w:p>
      <w:pPr>
        <w:pStyle w:val="BodyText"/>
        <w:spacing w:line="360" w:lineRule="auto" w:before="145"/>
        <w:ind w:left="100" w:right="119"/>
        <w:jc w:val="both"/>
      </w:pPr>
      <w:r>
        <w:rPr/>
        <w:t>García, L., Cova, A., Sandoval, A. J., Müller, A. J., &amp; Carrasquel, L. M. (2012). Glass transition temperatures of cassava starch–whey protein concentrate systems at low and intermediate water content. </w:t>
      </w:r>
      <w:r>
        <w:rPr>
          <w:i/>
        </w:rPr>
        <w:t>Carbohydrate Polymers , </w:t>
      </w:r>
      <w:r>
        <w:rPr/>
        <w:t>87(2), 1375-1382.</w:t>
      </w:r>
    </w:p>
    <w:p>
      <w:pPr>
        <w:pStyle w:val="BodyText"/>
      </w:pPr>
    </w:p>
    <w:p>
      <w:pPr>
        <w:pStyle w:val="BodyText"/>
        <w:spacing w:line="360" w:lineRule="auto" w:before="145"/>
        <w:ind w:left="100" w:right="110"/>
        <w:jc w:val="both"/>
      </w:pPr>
      <w:r>
        <w:rPr/>
        <w:t>Gordon, M., &amp; Taylor, J. S. (1952). Ideal copolymers and the second-order transitions of synthetic rubbers. I. Non-crystalline copolymers. </w:t>
      </w:r>
      <w:r>
        <w:rPr>
          <w:i/>
        </w:rPr>
        <w:t>Journal of Applied Chemistry, </w:t>
      </w:r>
      <w:r>
        <w:rPr/>
        <w:t>2(9), 493- 500.</w:t>
      </w:r>
    </w:p>
    <w:p>
      <w:pPr>
        <w:pStyle w:val="BodyText"/>
      </w:pPr>
    </w:p>
    <w:p>
      <w:pPr>
        <w:pStyle w:val="BodyText"/>
        <w:spacing w:line="360" w:lineRule="auto" w:before="145"/>
        <w:ind w:left="100" w:right="109"/>
        <w:jc w:val="both"/>
      </w:pPr>
      <w:r>
        <w:rPr/>
        <w:t>Guadarrama-Lezama, A. Y., Cruz-Olivares, J., Martínez-Vargas, S. L., Carrillo-Navas, H., Román-Guerrero, A., &amp; Pérez-Alonso C. (2014a). Determination of the minimum integral entropy, water sorption and glass transition temperature to establishing critical storage conditions of beetroot microcapsules by spray drying. </w:t>
      </w:r>
      <w:r>
        <w:rPr>
          <w:i/>
        </w:rPr>
        <w:t>Revista Mexicana de Ingeniería </w:t>
      </w:r>
      <w:r>
        <w:rPr>
          <w:i/>
        </w:rPr>
        <w:t>Química</w:t>
      </w:r>
      <w:r>
        <w:rPr/>
        <w:t>, 13(2), 405-416.</w:t>
      </w:r>
    </w:p>
    <w:p>
      <w:pPr>
        <w:pStyle w:val="BodyText"/>
      </w:pPr>
    </w:p>
    <w:p>
      <w:pPr>
        <w:pStyle w:val="BodyText"/>
        <w:spacing w:line="360" w:lineRule="auto" w:before="141"/>
        <w:ind w:left="100" w:right="113"/>
        <w:jc w:val="both"/>
      </w:pPr>
      <w:r>
        <w:rPr/>
        <w:t>Guadarrama-Lezama, A. Y., Jaramillo-Flores, E., Gutiérrez-López, G. F., Pérez-Alonso, C., Dorantes-Álvarez, L., &amp; Alamilla-Beltrán, L. (2014b). Effects of storage temperature and water activity on the degradation of carotenoids in microencapsulated chili extract. </w:t>
      </w:r>
      <w:r>
        <w:rPr>
          <w:i/>
        </w:rPr>
        <w:t>Drying </w:t>
      </w:r>
      <w:r>
        <w:rPr>
          <w:i/>
        </w:rPr>
        <w:t>Technology, </w:t>
      </w:r>
      <w:r>
        <w:rPr/>
        <w:t>32(12), 1435-1447</w:t>
      </w:r>
    </w:p>
    <w:p>
      <w:pPr>
        <w:pStyle w:val="BodyText"/>
      </w:pPr>
    </w:p>
    <w:p>
      <w:pPr>
        <w:spacing w:line="360" w:lineRule="auto" w:before="141"/>
        <w:ind w:left="100" w:right="114" w:firstLine="0"/>
        <w:jc w:val="both"/>
        <w:rPr>
          <w:sz w:val="24"/>
        </w:rPr>
      </w:pPr>
      <w:r>
        <w:rPr>
          <w:sz w:val="24"/>
        </w:rPr>
        <w:t>Iwami, K., Hattori, M., Yasumi, T., &amp; Ibuki, F. (1988). Stability of gladin-encapsulated unsaturated fatty acids against autoxidation. </w:t>
      </w:r>
      <w:r>
        <w:rPr>
          <w:i/>
          <w:sz w:val="24"/>
        </w:rPr>
        <w:t>Journal of Agricultural and Food Chemistry, </w:t>
      </w:r>
      <w:r>
        <w:rPr>
          <w:sz w:val="24"/>
        </w:rPr>
        <w:t>36(1), 160-164.</w:t>
      </w:r>
    </w:p>
    <w:p>
      <w:pPr>
        <w:spacing w:after="0" w:line="360" w:lineRule="auto"/>
        <w:jc w:val="both"/>
        <w:rPr>
          <w:sz w:val="24"/>
        </w:rPr>
        <w:sectPr>
          <w:pgSz w:w="11900" w:h="16840"/>
          <w:pgMar w:header="0" w:footer="1026" w:top="1580" w:bottom="1220" w:left="1340" w:right="1320"/>
        </w:sectPr>
      </w:pPr>
    </w:p>
    <w:p>
      <w:pPr>
        <w:spacing w:line="360" w:lineRule="auto" w:before="54"/>
        <w:ind w:left="100" w:right="114" w:firstLine="0"/>
        <w:jc w:val="both"/>
        <w:rPr>
          <w:sz w:val="24"/>
        </w:rPr>
      </w:pPr>
      <w:r>
        <w:rPr>
          <w:sz w:val="24"/>
        </w:rPr>
        <w:t>Ixtaina, V. I., Nolasco, S. M., &amp; Tomás, M. C. (2012). Oxidative stability of chia (</w:t>
      </w:r>
      <w:r>
        <w:rPr>
          <w:i/>
          <w:sz w:val="24"/>
        </w:rPr>
        <w:t>Salvia </w:t>
      </w:r>
      <w:r>
        <w:rPr>
          <w:i/>
          <w:sz w:val="24"/>
        </w:rPr>
        <w:t>hispanica </w:t>
      </w:r>
      <w:r>
        <w:rPr>
          <w:sz w:val="24"/>
        </w:rPr>
        <w:t>L.) seed oil: Effect of antioxidants and storage conditions. </w:t>
      </w:r>
      <w:r>
        <w:rPr>
          <w:i/>
          <w:sz w:val="24"/>
        </w:rPr>
        <w:t>Journal of the American </w:t>
      </w:r>
      <w:r>
        <w:rPr>
          <w:i/>
          <w:sz w:val="24"/>
        </w:rPr>
        <w:t>Oil Chemists’ Society, </w:t>
      </w:r>
      <w:r>
        <w:rPr>
          <w:sz w:val="24"/>
        </w:rPr>
        <w:t>89(6), 1077-1090</w:t>
      </w:r>
    </w:p>
    <w:p>
      <w:pPr>
        <w:pStyle w:val="BodyText"/>
      </w:pPr>
    </w:p>
    <w:p>
      <w:pPr>
        <w:pStyle w:val="BodyText"/>
        <w:spacing w:line="360" w:lineRule="auto" w:before="146"/>
        <w:ind w:left="100" w:right="114"/>
        <w:jc w:val="both"/>
      </w:pPr>
      <w:r>
        <w:rPr/>
        <w:t>Ixtaina, V. I., Julio, L. M., Wagner, J. R., Nolasco, S. M., &amp; Tomás, M. C. (2015). Physicochemical characterization and stability of chia oil microencapsulated with sodium caseinate and lactose by spray-drying. </w:t>
      </w:r>
      <w:r>
        <w:rPr>
          <w:i/>
        </w:rPr>
        <w:t>Powder Technology , </w:t>
      </w:r>
      <w:r>
        <w:rPr/>
        <w:t>271, 26-34.</w:t>
      </w:r>
    </w:p>
    <w:p>
      <w:pPr>
        <w:pStyle w:val="BodyText"/>
      </w:pPr>
    </w:p>
    <w:p>
      <w:pPr>
        <w:spacing w:line="360" w:lineRule="auto" w:before="146"/>
        <w:ind w:left="100" w:right="116" w:firstLine="0"/>
        <w:jc w:val="both"/>
        <w:rPr>
          <w:sz w:val="24"/>
        </w:rPr>
      </w:pPr>
      <w:r>
        <w:rPr>
          <w:sz w:val="24"/>
        </w:rPr>
        <w:t>Jakubczyk, E., Ostrowska-Ligeza, E., &amp; Gondek, E. (2010) Moisture sorption characteristics and glass transition temperature of apple puree powder. </w:t>
      </w:r>
      <w:r>
        <w:rPr>
          <w:i/>
          <w:sz w:val="24"/>
        </w:rPr>
        <w:t>International Journal </w:t>
      </w:r>
      <w:r>
        <w:rPr>
          <w:i/>
          <w:spacing w:val="-3"/>
          <w:sz w:val="24"/>
        </w:rPr>
        <w:t>of </w:t>
      </w:r>
      <w:r>
        <w:rPr>
          <w:i/>
          <w:sz w:val="24"/>
        </w:rPr>
        <w:t>Food  </w:t>
      </w:r>
      <w:r>
        <w:rPr>
          <w:i/>
          <w:sz w:val="24"/>
        </w:rPr>
        <w:t>Science and Technology, </w:t>
      </w:r>
      <w:r>
        <w:rPr>
          <w:sz w:val="24"/>
        </w:rPr>
        <w:t>45(12),</w:t>
      </w:r>
      <w:r>
        <w:rPr>
          <w:spacing w:val="-4"/>
          <w:sz w:val="24"/>
        </w:rPr>
        <w:t> </w:t>
      </w:r>
      <w:r>
        <w:rPr>
          <w:sz w:val="24"/>
        </w:rPr>
        <w:t>2515-2523.</w:t>
      </w:r>
    </w:p>
    <w:p>
      <w:pPr>
        <w:pStyle w:val="BodyText"/>
      </w:pPr>
    </w:p>
    <w:p>
      <w:pPr>
        <w:pStyle w:val="BodyText"/>
        <w:spacing w:line="360" w:lineRule="auto" w:before="146"/>
        <w:ind w:left="100" w:right="110"/>
        <w:jc w:val="both"/>
      </w:pPr>
      <w:r>
        <w:rPr/>
        <w:t>Kamal-Eldin, A., Mäkinen, M., &amp; Lampi, A. M. (2003) The challenging contribution of hydroperoxides to the lipid oxidation mechanism. In Kamal-Eldin, A. (Ed.), </w:t>
      </w:r>
      <w:r>
        <w:rPr>
          <w:i/>
        </w:rPr>
        <w:t>Lipid oxidation </w:t>
      </w:r>
      <w:r>
        <w:rPr>
          <w:i/>
        </w:rPr>
        <w:t>pathways </w:t>
      </w:r>
      <w:r>
        <w:rPr/>
        <w:t>(pp. 1-36). Champaign, Illinois.</w:t>
      </w:r>
    </w:p>
    <w:p>
      <w:pPr>
        <w:pStyle w:val="BodyText"/>
      </w:pPr>
    </w:p>
    <w:p>
      <w:pPr>
        <w:spacing w:line="360" w:lineRule="auto" w:before="146"/>
        <w:ind w:left="100" w:right="125" w:firstLine="0"/>
        <w:jc w:val="both"/>
        <w:rPr>
          <w:sz w:val="24"/>
        </w:rPr>
      </w:pPr>
      <w:r>
        <w:rPr>
          <w:sz w:val="24"/>
        </w:rPr>
        <w:t>Kaur, N., Chugh, V., &amp; Gupta, </w:t>
      </w:r>
      <w:r>
        <w:rPr>
          <w:spacing w:val="-3"/>
          <w:sz w:val="24"/>
        </w:rPr>
        <w:t>A. K. </w:t>
      </w:r>
      <w:r>
        <w:rPr>
          <w:sz w:val="24"/>
        </w:rPr>
        <w:t>(2014). Essential fatty acids as functional components  of food – a review. </w:t>
      </w:r>
      <w:r>
        <w:rPr>
          <w:i/>
          <w:sz w:val="24"/>
        </w:rPr>
        <w:t>Journal of Food Science and Technology. </w:t>
      </w:r>
      <w:r>
        <w:rPr>
          <w:sz w:val="24"/>
        </w:rPr>
        <w:t>51(10),</w:t>
      </w:r>
      <w:r>
        <w:rPr>
          <w:spacing w:val="-10"/>
          <w:sz w:val="24"/>
        </w:rPr>
        <w:t> </w:t>
      </w:r>
      <w:r>
        <w:rPr>
          <w:sz w:val="24"/>
        </w:rPr>
        <w:t>2289-2303.</w:t>
      </w:r>
    </w:p>
    <w:p>
      <w:pPr>
        <w:pStyle w:val="BodyText"/>
      </w:pPr>
    </w:p>
    <w:p>
      <w:pPr>
        <w:spacing w:line="360" w:lineRule="auto" w:before="145"/>
        <w:ind w:left="100" w:right="117" w:firstLine="0"/>
        <w:jc w:val="both"/>
        <w:rPr>
          <w:sz w:val="24"/>
        </w:rPr>
      </w:pPr>
      <w:r>
        <w:rPr>
          <w:sz w:val="24"/>
        </w:rPr>
        <w:t>Labuza, T. P., &amp; Dugan, L. R. (1971). Kinetics of </w:t>
      </w:r>
      <w:r>
        <w:rPr>
          <w:spacing w:val="-3"/>
          <w:sz w:val="24"/>
        </w:rPr>
        <w:t>lipid </w:t>
      </w:r>
      <w:r>
        <w:rPr>
          <w:sz w:val="24"/>
        </w:rPr>
        <w:t>oxidation </w:t>
      </w:r>
      <w:r>
        <w:rPr>
          <w:spacing w:val="-3"/>
          <w:sz w:val="24"/>
        </w:rPr>
        <w:t>in </w:t>
      </w:r>
      <w:r>
        <w:rPr>
          <w:sz w:val="24"/>
        </w:rPr>
        <w:t>foods. </w:t>
      </w:r>
      <w:r>
        <w:rPr>
          <w:i/>
          <w:sz w:val="24"/>
        </w:rPr>
        <w:t>Critical Reviews  </w:t>
      </w:r>
      <w:r>
        <w:rPr>
          <w:i/>
          <w:sz w:val="24"/>
        </w:rPr>
        <w:t>in Food Technology, </w:t>
      </w:r>
      <w:r>
        <w:rPr>
          <w:sz w:val="24"/>
        </w:rPr>
        <w:t>2(3),</w:t>
      </w:r>
      <w:r>
        <w:rPr>
          <w:spacing w:val="-3"/>
          <w:sz w:val="24"/>
        </w:rPr>
        <w:t> </w:t>
      </w:r>
      <w:r>
        <w:rPr>
          <w:sz w:val="24"/>
        </w:rPr>
        <w:t>355-405.</w:t>
      </w:r>
    </w:p>
    <w:p>
      <w:pPr>
        <w:pStyle w:val="BodyText"/>
      </w:pPr>
    </w:p>
    <w:p>
      <w:pPr>
        <w:pStyle w:val="BodyText"/>
        <w:spacing w:line="362" w:lineRule="auto" w:before="140"/>
        <w:ind w:left="100" w:right="112"/>
        <w:jc w:val="both"/>
      </w:pPr>
      <w:r>
        <w:rPr/>
        <w:t>Labuza, T. P., Kaanane, A., &amp; Bostan, A (1985). Effect of temperature on the moisture sorption isotherms and water activity shift of two dehydrated foods. </w:t>
      </w:r>
      <w:r>
        <w:rPr>
          <w:i/>
        </w:rPr>
        <w:t>Journal of Food Science, </w:t>
      </w:r>
      <w:r>
        <w:rPr/>
        <w:t>50(2), 385-392.</w:t>
      </w:r>
    </w:p>
    <w:p>
      <w:pPr>
        <w:pStyle w:val="BodyText"/>
      </w:pPr>
    </w:p>
    <w:p>
      <w:pPr>
        <w:spacing w:line="360" w:lineRule="auto" w:before="138"/>
        <w:ind w:left="100" w:right="113" w:firstLine="0"/>
        <w:jc w:val="both"/>
        <w:rPr>
          <w:sz w:val="24"/>
        </w:rPr>
      </w:pPr>
      <w:r>
        <w:rPr>
          <w:sz w:val="24"/>
        </w:rPr>
        <w:t>Labuza, T. P, &amp; Altunakar, B. (2007). Water activity prediction and moisture sorption isotherms. In Barbosa-Cánovas, G. V., Fontana, A. J., Schmidt, S. J., &amp; Labuza, T. P. (Ed.), </w:t>
      </w:r>
      <w:r>
        <w:rPr>
          <w:i/>
          <w:sz w:val="24"/>
        </w:rPr>
        <w:t>Water activity  in foods: Fundamentals and applications </w:t>
      </w:r>
      <w:r>
        <w:rPr>
          <w:sz w:val="24"/>
        </w:rPr>
        <w:t>(pp. 109-154). Oxford, UK.</w:t>
      </w:r>
    </w:p>
    <w:p>
      <w:pPr>
        <w:pStyle w:val="BodyText"/>
      </w:pPr>
    </w:p>
    <w:p>
      <w:pPr>
        <w:pStyle w:val="BodyText"/>
        <w:spacing w:line="362" w:lineRule="auto" w:before="141"/>
        <w:ind w:left="100" w:right="132"/>
        <w:jc w:val="both"/>
      </w:pPr>
      <w:r>
        <w:rPr/>
        <w:t>Lang, K. W., McCune, T. D., &amp; Steinberg, M. P. (1981). A proximity equilibrium cell for rapid determination of sorption isotherms. </w:t>
      </w:r>
      <w:r>
        <w:rPr>
          <w:i/>
        </w:rPr>
        <w:t>Journal of Food Science, </w:t>
      </w:r>
      <w:r>
        <w:rPr/>
        <w:t>46(3), 936-938.</w:t>
      </w:r>
    </w:p>
    <w:p>
      <w:pPr>
        <w:spacing w:after="0" w:line="362" w:lineRule="auto"/>
        <w:jc w:val="both"/>
        <w:sectPr>
          <w:pgSz w:w="11900" w:h="16840"/>
          <w:pgMar w:header="0" w:footer="1370" w:top="1360" w:bottom="1560" w:left="1340" w:right="1320"/>
        </w:sectPr>
      </w:pPr>
    </w:p>
    <w:p>
      <w:pPr>
        <w:spacing w:before="54"/>
        <w:ind w:left="100" w:right="0" w:firstLine="0"/>
        <w:jc w:val="both"/>
        <w:rPr>
          <w:sz w:val="24"/>
        </w:rPr>
      </w:pPr>
      <w:r>
        <w:rPr>
          <w:sz w:val="24"/>
        </w:rPr>
        <w:t>Levenspiel, O. (1999). </w:t>
      </w:r>
      <w:r>
        <w:rPr>
          <w:i/>
          <w:sz w:val="24"/>
        </w:rPr>
        <w:t>Chemical reaction engineering </w:t>
      </w:r>
      <w:r>
        <w:rPr>
          <w:sz w:val="24"/>
        </w:rPr>
        <w:t>(3rd ed., pp. 38-82). New York.</w:t>
      </w:r>
    </w:p>
    <w:p>
      <w:pPr>
        <w:pStyle w:val="BodyText"/>
      </w:pPr>
    </w:p>
    <w:p>
      <w:pPr>
        <w:pStyle w:val="BodyText"/>
        <w:spacing w:before="9"/>
        <w:rPr>
          <w:sz w:val="23"/>
        </w:rPr>
      </w:pPr>
    </w:p>
    <w:p>
      <w:pPr>
        <w:pStyle w:val="BodyText"/>
        <w:spacing w:line="364" w:lineRule="auto"/>
        <w:ind w:left="100" w:right="126"/>
        <w:jc w:val="both"/>
      </w:pPr>
      <w:r>
        <w:rPr/>
        <w:t>Levine, H., &amp; Slade, L. (1990). Influences of the glassy and rubbery states on the thermal, mechanical, and structural properties of doughs and baked products. In Faridi, H. &amp;  Faubión,</w:t>
      </w:r>
    </w:p>
    <w:p>
      <w:pPr>
        <w:spacing w:line="275" w:lineRule="exact" w:before="0"/>
        <w:ind w:left="100" w:right="0" w:firstLine="0"/>
        <w:jc w:val="both"/>
        <w:rPr>
          <w:sz w:val="24"/>
        </w:rPr>
      </w:pPr>
      <w:r>
        <w:rPr>
          <w:sz w:val="24"/>
        </w:rPr>
        <w:t>J. M. (Eds.), </w:t>
      </w:r>
      <w:r>
        <w:rPr>
          <w:i/>
          <w:sz w:val="24"/>
        </w:rPr>
        <w:t>Dough rheology and baked product texture </w:t>
      </w:r>
      <w:r>
        <w:rPr>
          <w:sz w:val="24"/>
        </w:rPr>
        <w:t>(pp. 157-330). AVI, New York.</w:t>
      </w:r>
    </w:p>
    <w:p>
      <w:pPr>
        <w:pStyle w:val="BodyText"/>
      </w:pPr>
    </w:p>
    <w:p>
      <w:pPr>
        <w:pStyle w:val="BodyText"/>
        <w:spacing w:before="9"/>
        <w:rPr>
          <w:sz w:val="23"/>
        </w:rPr>
      </w:pPr>
    </w:p>
    <w:p>
      <w:pPr>
        <w:pStyle w:val="BodyText"/>
        <w:ind w:left="100"/>
        <w:jc w:val="both"/>
      </w:pPr>
      <w:r>
        <w:rPr/>
        <w:t>Lewicki, P. P. (1997). The applicability of the GAB model to food water sorption  isotherms.</w:t>
      </w:r>
    </w:p>
    <w:p>
      <w:pPr>
        <w:spacing w:before="142"/>
        <w:ind w:left="100" w:right="0" w:firstLine="0"/>
        <w:jc w:val="both"/>
        <w:rPr>
          <w:sz w:val="24"/>
        </w:rPr>
      </w:pPr>
      <w:r>
        <w:rPr>
          <w:i/>
          <w:sz w:val="24"/>
        </w:rPr>
        <w:t>International Journal of Food Science and Technology, </w:t>
      </w:r>
      <w:r>
        <w:rPr>
          <w:sz w:val="24"/>
        </w:rPr>
        <w:t>32(6), 553-557.</w:t>
      </w:r>
    </w:p>
    <w:p>
      <w:pPr>
        <w:pStyle w:val="BodyText"/>
      </w:pPr>
    </w:p>
    <w:p>
      <w:pPr>
        <w:pStyle w:val="BodyText"/>
        <w:spacing w:before="9"/>
        <w:rPr>
          <w:sz w:val="23"/>
        </w:rPr>
      </w:pPr>
    </w:p>
    <w:p>
      <w:pPr>
        <w:pStyle w:val="BodyText"/>
        <w:spacing w:line="360" w:lineRule="auto"/>
        <w:ind w:left="100" w:right="112"/>
        <w:jc w:val="both"/>
      </w:pPr>
      <w:r>
        <w:rPr/>
        <w:t>Martín-Polvillo, M., Márquez-Ruiz, G., &amp; Dobarganes, M. C. (2004). Oxidative stability of sunflower oils differing in unsaturation degree during long-term storage at room temperature. </w:t>
      </w:r>
      <w:r>
        <w:rPr>
          <w:i/>
        </w:rPr>
        <w:t>Journal of the American oil Chemists’ Society, </w:t>
      </w:r>
      <w:r>
        <w:rPr/>
        <w:t>81(6), 577-583.</w:t>
      </w:r>
    </w:p>
    <w:p>
      <w:pPr>
        <w:pStyle w:val="BodyText"/>
      </w:pPr>
    </w:p>
    <w:p>
      <w:pPr>
        <w:pStyle w:val="BodyText"/>
        <w:spacing w:line="360" w:lineRule="auto" w:before="141"/>
        <w:ind w:left="100" w:right="110"/>
        <w:jc w:val="both"/>
      </w:pPr>
      <w:r>
        <w:rPr/>
        <w:t>Martínez, M. L., Curti, m. I., Roccia, P., Llabot, J. M., Penci, M. C., Bodoira, R. M., &amp; Ribotta, P. D. (2015). Oxidative stability ofwalnut (Juglans regia L.) and chia (</w:t>
      </w:r>
      <w:r>
        <w:rPr>
          <w:i/>
        </w:rPr>
        <w:t>Salvia </w:t>
      </w:r>
      <w:r>
        <w:rPr>
          <w:i/>
        </w:rPr>
        <w:t>hispanica </w:t>
      </w:r>
      <w:r>
        <w:rPr/>
        <w:t>L.) oils microencapsulated by spray drying. </w:t>
      </w:r>
      <w:r>
        <w:rPr>
          <w:i/>
        </w:rPr>
        <w:t>Powder Technology, </w:t>
      </w:r>
      <w:r>
        <w:rPr/>
        <w:t>270(Part A), 271- 277.</w:t>
      </w:r>
    </w:p>
    <w:p>
      <w:pPr>
        <w:pStyle w:val="BodyText"/>
      </w:pPr>
    </w:p>
    <w:p>
      <w:pPr>
        <w:spacing w:line="362" w:lineRule="auto" w:before="140"/>
        <w:ind w:left="100" w:right="124" w:firstLine="0"/>
        <w:jc w:val="both"/>
        <w:rPr>
          <w:sz w:val="24"/>
        </w:rPr>
      </w:pPr>
      <w:r>
        <w:rPr>
          <w:sz w:val="24"/>
        </w:rPr>
        <w:t>Monkos, K. (2015). Determination of the glass-transition temperature of proteins from a viscometric approach. </w:t>
      </w:r>
      <w:r>
        <w:rPr>
          <w:i/>
          <w:sz w:val="24"/>
        </w:rPr>
        <w:t>International Journal of Biological Macromolecules , </w:t>
      </w:r>
      <w:r>
        <w:rPr>
          <w:sz w:val="24"/>
        </w:rPr>
        <w:t>74, 1-4.</w:t>
      </w:r>
    </w:p>
    <w:p>
      <w:pPr>
        <w:pStyle w:val="BodyText"/>
      </w:pPr>
    </w:p>
    <w:p>
      <w:pPr>
        <w:pStyle w:val="BodyText"/>
        <w:spacing w:line="360" w:lineRule="auto" w:before="138"/>
        <w:ind w:left="100" w:right="125"/>
        <w:jc w:val="both"/>
      </w:pPr>
      <w:r>
        <w:rPr/>
        <w:t>Mosquera, L. H., Morgana, G., &amp; Martínez-Navarrete, N. (2012). Critical water activity and critical water content of freeze-dried strawberry powder as affected by maltodextrin and Arabic gum. </w:t>
      </w:r>
      <w:r>
        <w:rPr>
          <w:i/>
        </w:rPr>
        <w:t>Food Research International, </w:t>
      </w:r>
      <w:r>
        <w:rPr/>
        <w:t>47(2), 202-206.</w:t>
      </w:r>
    </w:p>
    <w:p>
      <w:pPr>
        <w:pStyle w:val="BodyText"/>
      </w:pPr>
    </w:p>
    <w:p>
      <w:pPr>
        <w:spacing w:line="360" w:lineRule="auto" w:before="141"/>
        <w:ind w:left="100" w:right="109" w:firstLine="0"/>
        <w:jc w:val="both"/>
        <w:rPr>
          <w:sz w:val="24"/>
        </w:rPr>
      </w:pPr>
      <w:r>
        <w:rPr>
          <w:sz w:val="24"/>
        </w:rPr>
        <w:t>Muñoz, L. A., Cobos, A., </w:t>
      </w:r>
      <w:r>
        <w:rPr>
          <w:spacing w:val="-3"/>
          <w:sz w:val="24"/>
        </w:rPr>
        <w:t>Díaz, </w:t>
      </w:r>
      <w:r>
        <w:rPr>
          <w:sz w:val="24"/>
        </w:rPr>
        <w:t>O., &amp; Aguilera, J. </w:t>
      </w:r>
      <w:r>
        <w:rPr>
          <w:spacing w:val="-4"/>
          <w:sz w:val="24"/>
        </w:rPr>
        <w:t>M. </w:t>
      </w:r>
      <w:r>
        <w:rPr>
          <w:sz w:val="24"/>
        </w:rPr>
        <w:t>(2013). Chia seed (</w:t>
      </w:r>
      <w:r>
        <w:rPr>
          <w:i/>
          <w:sz w:val="24"/>
        </w:rPr>
        <w:t>Salvia hispanica</w:t>
      </w:r>
      <w:r>
        <w:rPr>
          <w:sz w:val="24"/>
        </w:rPr>
        <w:t>): An ancient grain and a new functional food. </w:t>
      </w:r>
      <w:r>
        <w:rPr>
          <w:i/>
          <w:sz w:val="24"/>
        </w:rPr>
        <w:t>Food Reviews International, </w:t>
      </w:r>
      <w:r>
        <w:rPr>
          <w:sz w:val="24"/>
        </w:rPr>
        <w:t>29(4),</w:t>
      </w:r>
      <w:r>
        <w:rPr>
          <w:spacing w:val="-13"/>
          <w:sz w:val="24"/>
        </w:rPr>
        <w:t> </w:t>
      </w:r>
      <w:r>
        <w:rPr>
          <w:sz w:val="24"/>
        </w:rPr>
        <w:t>394-408.</w:t>
      </w:r>
    </w:p>
    <w:p>
      <w:pPr>
        <w:pStyle w:val="BodyText"/>
      </w:pPr>
    </w:p>
    <w:p>
      <w:pPr>
        <w:pStyle w:val="BodyText"/>
        <w:spacing w:before="145"/>
        <w:ind w:left="100"/>
        <w:jc w:val="both"/>
      </w:pPr>
      <w:r>
        <w:rPr/>
        <w:t>Nunes, R. V., &amp; Rotstein, E. (1991). Thermodynamics of the water-foodstuff equilibrium.</w:t>
      </w:r>
    </w:p>
    <w:p>
      <w:pPr>
        <w:spacing w:before="137"/>
        <w:ind w:left="100" w:right="0" w:firstLine="0"/>
        <w:jc w:val="both"/>
        <w:rPr>
          <w:sz w:val="24"/>
        </w:rPr>
      </w:pPr>
      <w:r>
        <w:rPr>
          <w:i/>
          <w:sz w:val="24"/>
        </w:rPr>
        <w:t>Drying Technology, </w:t>
      </w:r>
      <w:r>
        <w:rPr>
          <w:sz w:val="24"/>
        </w:rPr>
        <w:t>9(1), 113-117</w:t>
      </w:r>
    </w:p>
    <w:p>
      <w:pPr>
        <w:pStyle w:val="BodyText"/>
      </w:pPr>
    </w:p>
    <w:p>
      <w:pPr>
        <w:pStyle w:val="BodyText"/>
        <w:spacing w:before="2"/>
      </w:pPr>
    </w:p>
    <w:p>
      <w:pPr>
        <w:pStyle w:val="BodyText"/>
        <w:spacing w:line="360" w:lineRule="auto"/>
        <w:ind w:left="100" w:right="125"/>
        <w:jc w:val="both"/>
      </w:pPr>
      <w:r>
        <w:rPr/>
        <w:t>Partanen, R., Raula, J., Seppänen, R., Buchert, J., Kauppinen, E., &amp; Forssell, P. (2008).  Effect of relative humidity on oxidation of flaxseed oil </w:t>
      </w:r>
      <w:r>
        <w:rPr>
          <w:spacing w:val="-3"/>
        </w:rPr>
        <w:t>in </w:t>
      </w:r>
      <w:r>
        <w:rPr/>
        <w:t>spray dried whey protein  emulsions. </w:t>
      </w:r>
      <w:r>
        <w:rPr>
          <w:i/>
        </w:rPr>
        <w:t>Journal of Agricultural and Food Chemistry , </w:t>
      </w:r>
      <w:r>
        <w:rPr/>
        <w:t>56(14),</w:t>
      </w:r>
      <w:r>
        <w:rPr>
          <w:spacing w:val="-13"/>
        </w:rPr>
        <w:t> </w:t>
      </w:r>
      <w:r>
        <w:rPr/>
        <w:t>5717-5722.</w:t>
      </w:r>
    </w:p>
    <w:p>
      <w:pPr>
        <w:spacing w:after="0" w:line="360" w:lineRule="auto"/>
        <w:jc w:val="both"/>
        <w:sectPr>
          <w:pgSz w:w="11900" w:h="16840"/>
          <w:pgMar w:header="0" w:footer="1026" w:top="1360" w:bottom="1220" w:left="1340" w:right="1320"/>
        </w:sectPr>
      </w:pPr>
    </w:p>
    <w:p>
      <w:pPr>
        <w:pStyle w:val="BodyText"/>
        <w:spacing w:before="5"/>
        <w:rPr>
          <w:sz w:val="15"/>
        </w:rPr>
      </w:pPr>
    </w:p>
    <w:p>
      <w:pPr>
        <w:pStyle w:val="BodyText"/>
        <w:spacing w:line="362" w:lineRule="auto" w:before="69"/>
        <w:ind w:left="100" w:right="115"/>
        <w:jc w:val="both"/>
      </w:pPr>
      <w:r>
        <w:rPr/>
        <w:t>Pérez-Alonso, C., Beristain, C. I., Lobato-Calleros, C., Rodríguez-Huezo, M. E., &amp; Vernon- Carter, E. J. (2006). Thermodynamic analysis of the sorption isotherms of pure and blended carbohydrate polymers. </w:t>
      </w:r>
      <w:r>
        <w:rPr>
          <w:i/>
        </w:rPr>
        <w:t>Journal of Food Engineering , </w:t>
      </w:r>
      <w:r>
        <w:rPr/>
        <w:t>77(4), 753-760.</w:t>
      </w:r>
    </w:p>
    <w:p>
      <w:pPr>
        <w:pStyle w:val="BodyText"/>
      </w:pPr>
    </w:p>
    <w:p>
      <w:pPr>
        <w:spacing w:line="362" w:lineRule="auto" w:before="138"/>
        <w:ind w:left="100" w:right="112" w:firstLine="0"/>
        <w:jc w:val="both"/>
        <w:rPr>
          <w:sz w:val="24"/>
        </w:rPr>
      </w:pPr>
      <w:r>
        <w:rPr>
          <w:sz w:val="24"/>
        </w:rPr>
        <w:t>Pu, J., &amp; Sathivel, S. (2011). Kinetics of lipid oxidation and degradation of flaxseed oil containing crawfish (</w:t>
      </w:r>
      <w:r>
        <w:rPr>
          <w:i/>
          <w:sz w:val="24"/>
        </w:rPr>
        <w:t>Procambarus clarkia) </w:t>
      </w:r>
      <w:r>
        <w:rPr>
          <w:sz w:val="24"/>
        </w:rPr>
        <w:t>astaxanthin. </w:t>
      </w:r>
      <w:r>
        <w:rPr>
          <w:i/>
          <w:sz w:val="24"/>
        </w:rPr>
        <w:t>Journal of the American Oil </w:t>
      </w:r>
      <w:r>
        <w:rPr>
          <w:i/>
          <w:sz w:val="24"/>
        </w:rPr>
        <w:t>Chemists’ Society, </w:t>
      </w:r>
      <w:r>
        <w:rPr>
          <w:sz w:val="24"/>
        </w:rPr>
        <w:t>88(5), 595-601.</w:t>
      </w:r>
    </w:p>
    <w:p>
      <w:pPr>
        <w:pStyle w:val="BodyText"/>
      </w:pPr>
    </w:p>
    <w:p>
      <w:pPr>
        <w:spacing w:line="360" w:lineRule="auto" w:before="138"/>
        <w:ind w:left="100" w:right="110" w:firstLine="0"/>
        <w:jc w:val="both"/>
        <w:rPr>
          <w:sz w:val="24"/>
        </w:rPr>
      </w:pPr>
      <w:r>
        <w:rPr>
          <w:sz w:val="24"/>
        </w:rPr>
        <w:t>Ramírez-Jaramillo, G, &amp; Lozano-Contreras, M. G. (2015). Potential of growing </w:t>
      </w:r>
      <w:r>
        <w:rPr>
          <w:i/>
          <w:sz w:val="24"/>
        </w:rPr>
        <w:t>Salvia </w:t>
      </w:r>
      <w:r>
        <w:rPr>
          <w:i/>
          <w:sz w:val="24"/>
        </w:rPr>
        <w:t>hispanica </w:t>
      </w:r>
      <w:r>
        <w:rPr>
          <w:sz w:val="24"/>
        </w:rPr>
        <w:t>L., areas under rainfed conditions in Mexico. </w:t>
      </w:r>
      <w:r>
        <w:rPr>
          <w:i/>
          <w:sz w:val="24"/>
        </w:rPr>
        <w:t>Agricultural Science, </w:t>
      </w:r>
      <w:r>
        <w:rPr>
          <w:sz w:val="24"/>
        </w:rPr>
        <w:t>6(9), 1048- 1057.</w:t>
      </w:r>
    </w:p>
    <w:p>
      <w:pPr>
        <w:pStyle w:val="BodyText"/>
      </w:pPr>
    </w:p>
    <w:p>
      <w:pPr>
        <w:pStyle w:val="BodyText"/>
        <w:spacing w:line="360" w:lineRule="auto" w:before="141"/>
        <w:ind w:left="100" w:right="112"/>
        <w:jc w:val="both"/>
      </w:pPr>
      <w:r>
        <w:rPr/>
        <w:t>Ramoneda, X. A., Ponce-Cevallos, P. A., Buera, M. P., &amp; Elizalde, B. (2011). Degradation of β-carotene in amorphous polymer matrices. Effect of water sorption properties and physical state. </w:t>
      </w:r>
      <w:r>
        <w:rPr>
          <w:i/>
        </w:rPr>
        <w:t>Journal of the Science of Food and Agriculture, </w:t>
      </w:r>
      <w:r>
        <w:rPr/>
        <w:t>91(14), 2587-2593.</w:t>
      </w:r>
    </w:p>
    <w:p>
      <w:pPr>
        <w:pStyle w:val="BodyText"/>
      </w:pPr>
    </w:p>
    <w:p>
      <w:pPr>
        <w:pStyle w:val="BodyText"/>
        <w:spacing w:line="360" w:lineRule="auto" w:before="141"/>
        <w:ind w:left="100" w:right="112"/>
        <w:jc w:val="both"/>
      </w:pPr>
      <w:r>
        <w:rPr/>
        <w:t>Rascón, M. P., Bonilla, E., García, H. S., Salgado, M. A., González-Arnao, M. T., &amp; Beristain, C. I. (2015). Tg and aw as criteria for the oxidative stability of spray-dried encapsulated paprika oleoresin. </w:t>
      </w:r>
      <w:r>
        <w:rPr>
          <w:i/>
        </w:rPr>
        <w:t>European Food Research and Technology </w:t>
      </w:r>
      <w:r>
        <w:rPr/>
        <w:t>241(2), 217-225.</w:t>
      </w:r>
    </w:p>
    <w:p>
      <w:pPr>
        <w:pStyle w:val="BodyText"/>
      </w:pPr>
    </w:p>
    <w:p>
      <w:pPr>
        <w:pStyle w:val="BodyText"/>
        <w:spacing w:line="360" w:lineRule="auto" w:before="141"/>
        <w:ind w:left="100" w:right="113"/>
        <w:jc w:val="both"/>
      </w:pPr>
      <w:r>
        <w:rPr/>
        <w:t>Rodea-Gonázelez, D. A., Cruz-Olivares, J., Román-Guerrero, A., Rodríguez-Huezo, M. E., Vernon-Carter, E. J., &amp; Pérez-Alonso, C. (2012). Spray-dried encapsulation of chia essential oil (</w:t>
      </w:r>
      <w:r>
        <w:rPr>
          <w:i/>
        </w:rPr>
        <w:t>Salvia hispanica </w:t>
      </w:r>
      <w:r>
        <w:rPr/>
        <w:t>L.) in whey protein concentrate-polysaccharide matrices. </w:t>
      </w:r>
      <w:r>
        <w:rPr>
          <w:i/>
        </w:rPr>
        <w:t>Journal of </w:t>
      </w:r>
      <w:r>
        <w:rPr>
          <w:i/>
        </w:rPr>
        <w:t>Food Engineering , </w:t>
      </w:r>
      <w:r>
        <w:rPr/>
        <w:t>111(1), 102-109.</w:t>
      </w:r>
    </w:p>
    <w:p>
      <w:pPr>
        <w:pStyle w:val="BodyText"/>
      </w:pPr>
    </w:p>
    <w:p>
      <w:pPr>
        <w:pStyle w:val="BodyText"/>
        <w:spacing w:line="360" w:lineRule="auto" w:before="140"/>
        <w:ind w:left="100" w:right="119"/>
        <w:jc w:val="both"/>
      </w:pPr>
      <w:r>
        <w:rPr/>
        <w:t>Román-Guerrero, A., Orozco-Villafuerte, J., Pérez-Orozco, J.P., Cruz-Sosa, F., Jiménez- Alvarado, R., &amp; Vernon-Carter, E.J. (2009). Application and evaluation of mesquite gum and its fractions as interfacial film formers and emulsifiers of orange peel-oil. </w:t>
      </w:r>
      <w:r>
        <w:rPr>
          <w:i/>
        </w:rPr>
        <w:t>Food </w:t>
      </w:r>
      <w:r>
        <w:rPr>
          <w:i/>
        </w:rPr>
        <w:t>Hydrocolloids</w:t>
      </w:r>
      <w:r>
        <w:rPr/>
        <w:t>, 23, 708-713.</w:t>
      </w:r>
    </w:p>
    <w:p>
      <w:pPr>
        <w:pStyle w:val="BodyText"/>
      </w:pPr>
    </w:p>
    <w:p>
      <w:pPr>
        <w:pStyle w:val="BodyText"/>
        <w:spacing w:before="145"/>
        <w:ind w:left="100"/>
        <w:jc w:val="both"/>
      </w:pPr>
      <w:r>
        <w:rPr/>
        <w:t>Roos, Y. H., (1993). Water activity and physical state effects on amorphous food stability.</w:t>
      </w:r>
    </w:p>
    <w:p>
      <w:pPr>
        <w:spacing w:before="137"/>
        <w:ind w:left="100" w:right="0" w:firstLine="0"/>
        <w:jc w:val="both"/>
        <w:rPr>
          <w:sz w:val="24"/>
        </w:rPr>
      </w:pPr>
      <w:r>
        <w:rPr>
          <w:i/>
          <w:sz w:val="24"/>
        </w:rPr>
        <w:t>Journal of Food Processing and Preservation, </w:t>
      </w:r>
      <w:r>
        <w:rPr>
          <w:sz w:val="24"/>
        </w:rPr>
        <w:t>16(6), 433-447.</w:t>
      </w:r>
    </w:p>
    <w:p>
      <w:pPr>
        <w:spacing w:after="0"/>
        <w:jc w:val="both"/>
        <w:rPr>
          <w:sz w:val="24"/>
        </w:rPr>
        <w:sectPr>
          <w:pgSz w:w="11900" w:h="16840"/>
          <w:pgMar w:header="0" w:footer="1370" w:top="1580" w:bottom="1560" w:left="1340" w:right="1320"/>
        </w:sectPr>
      </w:pPr>
    </w:p>
    <w:p>
      <w:pPr>
        <w:pStyle w:val="BodyText"/>
        <w:spacing w:before="5"/>
        <w:rPr>
          <w:sz w:val="15"/>
        </w:rPr>
      </w:pPr>
    </w:p>
    <w:p>
      <w:pPr>
        <w:pStyle w:val="BodyText"/>
        <w:spacing w:line="360" w:lineRule="auto" w:before="69"/>
        <w:ind w:left="100" w:right="128"/>
        <w:jc w:val="both"/>
      </w:pPr>
      <w:r>
        <w:rPr/>
        <w:t>Roos, Y. H., Karel, M. &amp; Kokini, J. L. (1996). Glass transitions in low moisture and frozen foods: Effects on shelf life and quality. </w:t>
      </w:r>
      <w:r>
        <w:rPr>
          <w:i/>
        </w:rPr>
        <w:t>Food Technology, </w:t>
      </w:r>
      <w:r>
        <w:rPr/>
        <w:t>50, 95-108.</w:t>
      </w:r>
    </w:p>
    <w:p>
      <w:pPr>
        <w:pStyle w:val="BodyText"/>
      </w:pPr>
    </w:p>
    <w:p>
      <w:pPr>
        <w:pStyle w:val="BodyText"/>
        <w:spacing w:before="146"/>
        <w:ind w:left="100"/>
        <w:jc w:val="both"/>
      </w:pPr>
      <w:r>
        <w:rPr/>
        <w:t>Roos, Y. H. (2007). Water activity and glass transition. In Barbosa-Cánovas, G. V.,  Fontana,</w:t>
      </w:r>
    </w:p>
    <w:p>
      <w:pPr>
        <w:spacing w:line="360" w:lineRule="auto" w:before="137"/>
        <w:ind w:left="100" w:right="115" w:firstLine="0"/>
        <w:jc w:val="both"/>
        <w:rPr>
          <w:sz w:val="24"/>
        </w:rPr>
      </w:pPr>
      <w:r>
        <w:rPr>
          <w:sz w:val="24"/>
        </w:rPr>
        <w:t>A. J., Schmidt, S. J., &amp; Labuza, T. P. (Eds.), </w:t>
      </w:r>
      <w:r>
        <w:rPr>
          <w:i/>
          <w:sz w:val="24"/>
        </w:rPr>
        <w:t>Water activity in foods: Fundamentals and </w:t>
      </w:r>
      <w:r>
        <w:rPr>
          <w:i/>
          <w:sz w:val="24"/>
        </w:rPr>
        <w:t>applications </w:t>
      </w:r>
      <w:r>
        <w:rPr>
          <w:sz w:val="24"/>
        </w:rPr>
        <w:t>(pp. 29-45). Oxford, UK.</w:t>
      </w:r>
    </w:p>
    <w:p>
      <w:pPr>
        <w:pStyle w:val="BodyText"/>
      </w:pPr>
    </w:p>
    <w:p>
      <w:pPr>
        <w:pStyle w:val="BodyText"/>
        <w:spacing w:line="360" w:lineRule="auto" w:before="146"/>
        <w:ind w:left="100" w:right="113"/>
        <w:jc w:val="both"/>
      </w:pPr>
      <w:r>
        <w:rPr/>
        <w:t>Sánchez-Sáenz, E. O., Pérez-Alonso, C., Cruz-Olivares, J., Román-Guerrero, A., Báez- González, J. G., &amp; Rodríguez-Huezo, M. E. (2011). Establishing the most suitable storage conditions for microencapsulated allspice essential oil entrapped in blended biopolymer matrices. </w:t>
      </w:r>
      <w:r>
        <w:rPr>
          <w:i/>
        </w:rPr>
        <w:t>Drying Technology, </w:t>
      </w:r>
      <w:r>
        <w:rPr/>
        <w:t>29(8), 863-872.</w:t>
      </w:r>
    </w:p>
    <w:p>
      <w:pPr>
        <w:pStyle w:val="BodyText"/>
      </w:pPr>
    </w:p>
    <w:p>
      <w:pPr>
        <w:pStyle w:val="BodyText"/>
        <w:spacing w:line="360" w:lineRule="auto" w:before="141"/>
        <w:ind w:left="100" w:right="114"/>
        <w:jc w:val="both"/>
        <w:rPr>
          <w:i/>
        </w:rPr>
      </w:pPr>
      <w:r>
        <w:rPr/>
        <w:t>Shantha, N. C., &amp; Decker, E. A. (1994). Rapid, sensitive, iron-based spectrophotometric method for determination of peroxide values of food lipids. </w:t>
      </w:r>
      <w:r>
        <w:rPr>
          <w:i/>
        </w:rPr>
        <w:t>Food Composition and  Additives</w:t>
      </w:r>
    </w:p>
    <w:p>
      <w:pPr>
        <w:pStyle w:val="BodyText"/>
        <w:spacing w:before="8"/>
        <w:ind w:left="100"/>
        <w:jc w:val="both"/>
      </w:pPr>
      <w:r>
        <w:rPr>
          <w:i/>
        </w:rPr>
        <w:t>, </w:t>
      </w:r>
      <w:r>
        <w:rPr/>
        <w:t>77(2), 421-424.</w:t>
      </w:r>
    </w:p>
    <w:p>
      <w:pPr>
        <w:pStyle w:val="BodyText"/>
      </w:pPr>
    </w:p>
    <w:p>
      <w:pPr>
        <w:pStyle w:val="BodyText"/>
        <w:spacing w:before="9"/>
        <w:rPr>
          <w:sz w:val="23"/>
        </w:rPr>
      </w:pPr>
    </w:p>
    <w:p>
      <w:pPr>
        <w:pStyle w:val="BodyText"/>
        <w:spacing w:line="360" w:lineRule="auto"/>
        <w:ind w:left="100" w:right="126"/>
        <w:jc w:val="both"/>
      </w:pPr>
      <w:r>
        <w:rPr/>
        <w:t>Silva, E. K., Fernandes, R., Borges, S. V., Botrel, D. A., &amp; Queiroz, F. (2014). Water adsorption in rosemary essential oil microparticles: Kinetics, thermodynamics and storage conditions. </w:t>
      </w:r>
      <w:r>
        <w:rPr>
          <w:i/>
        </w:rPr>
        <w:t>Journal of Food Engineering , </w:t>
      </w:r>
      <w:r>
        <w:rPr/>
        <w:t>140, 39-45.</w:t>
      </w:r>
    </w:p>
    <w:p>
      <w:pPr>
        <w:pStyle w:val="BodyText"/>
      </w:pPr>
    </w:p>
    <w:p>
      <w:pPr>
        <w:pStyle w:val="BodyText"/>
        <w:spacing w:line="360" w:lineRule="auto" w:before="141"/>
        <w:ind w:left="100" w:right="111"/>
        <w:jc w:val="both"/>
      </w:pPr>
      <w:r>
        <w:rPr/>
        <w:t>Tonon, R. V., Baroni, A. F., Brabet, C., Giber, O., Pallet, D., &amp; Hubinger, M. D. (2009). Water sorption and glass transition temperature of spray dried açai (</w:t>
      </w:r>
      <w:r>
        <w:rPr>
          <w:i/>
        </w:rPr>
        <w:t>Euterpe oleracea </w:t>
      </w:r>
      <w:r>
        <w:rPr/>
        <w:t>Mart.) juice. </w:t>
      </w:r>
      <w:r>
        <w:rPr>
          <w:i/>
        </w:rPr>
        <w:t>Journal of Food Engineering , </w:t>
      </w:r>
      <w:r>
        <w:rPr/>
        <w:t>94(3-4), 215-221.</w:t>
      </w:r>
    </w:p>
    <w:p>
      <w:pPr>
        <w:pStyle w:val="BodyText"/>
      </w:pPr>
    </w:p>
    <w:p>
      <w:pPr>
        <w:pStyle w:val="BodyText"/>
        <w:spacing w:line="360" w:lineRule="auto" w:before="141"/>
        <w:ind w:left="100" w:right="119"/>
        <w:jc w:val="both"/>
      </w:pPr>
      <w:r>
        <w:rPr/>
        <w:t>Tonon, R. V., Grosso, C. R., &amp; Hubinger, M. D. (2011). Influence of emulsion composition and inlet air temperature on the microencapsulation of flaxseed oil by spray drying. </w:t>
      </w:r>
      <w:r>
        <w:rPr>
          <w:i/>
        </w:rPr>
        <w:t>Food </w:t>
      </w:r>
      <w:r>
        <w:rPr>
          <w:i/>
        </w:rPr>
        <w:t>Research International , </w:t>
      </w:r>
      <w:r>
        <w:rPr/>
        <w:t>44(1), 282-289.</w:t>
      </w:r>
    </w:p>
    <w:p>
      <w:pPr>
        <w:pStyle w:val="BodyText"/>
      </w:pPr>
    </w:p>
    <w:p>
      <w:pPr>
        <w:pStyle w:val="BodyText"/>
        <w:spacing w:line="360" w:lineRule="auto" w:before="141"/>
        <w:ind w:left="100" w:right="117"/>
        <w:jc w:val="both"/>
      </w:pPr>
      <w:r>
        <w:rPr/>
        <w:t>Torres-Giner, S., Martinez-Abad, A., Ocio M. J., &amp;Lagaron, J. M. (2010).Stabilization of a nutraceutical omega-3 fatty acid by encapsulating ultrathin electrosprayed zein prolamine. </w:t>
      </w:r>
      <w:r>
        <w:rPr>
          <w:i/>
        </w:rPr>
        <w:t>Journal of Food Science, </w:t>
      </w:r>
      <w:r>
        <w:rPr/>
        <w:t>75(1), N69-N79.</w:t>
      </w:r>
    </w:p>
    <w:p>
      <w:pPr>
        <w:spacing w:after="0" w:line="360" w:lineRule="auto"/>
        <w:jc w:val="both"/>
        <w:sectPr>
          <w:pgSz w:w="11900" w:h="16840"/>
          <w:pgMar w:header="0" w:footer="1026" w:top="1580" w:bottom="1220" w:left="1340" w:right="1320"/>
        </w:sectPr>
      </w:pPr>
    </w:p>
    <w:p>
      <w:pPr>
        <w:spacing w:line="360" w:lineRule="auto" w:before="54"/>
        <w:ind w:left="100" w:right="115" w:firstLine="0"/>
        <w:jc w:val="both"/>
        <w:rPr>
          <w:sz w:val="24"/>
        </w:rPr>
      </w:pPr>
      <w:r>
        <w:rPr>
          <w:sz w:val="24"/>
        </w:rPr>
        <w:t>Velasco, J., Marmesat, S., Dobarganes, C., &amp; Márquez-Ruiz, G. (2006). Heterogeneous aspects of lipid oxidation in dried microencapsulated oils. </w:t>
      </w:r>
      <w:r>
        <w:rPr>
          <w:i/>
          <w:sz w:val="24"/>
        </w:rPr>
        <w:t>Journal of Agricultural and Food </w:t>
      </w:r>
      <w:r>
        <w:rPr>
          <w:i/>
          <w:sz w:val="24"/>
        </w:rPr>
        <w:t>Chemistry, </w:t>
      </w:r>
      <w:r>
        <w:rPr>
          <w:sz w:val="24"/>
        </w:rPr>
        <w:t>54(5), 1722-1729</w:t>
      </w:r>
    </w:p>
    <w:p>
      <w:pPr>
        <w:pStyle w:val="BodyText"/>
      </w:pPr>
    </w:p>
    <w:p>
      <w:pPr>
        <w:pStyle w:val="BodyText"/>
        <w:spacing w:line="360" w:lineRule="auto" w:before="146"/>
        <w:ind w:left="100" w:right="113"/>
        <w:jc w:val="both"/>
      </w:pPr>
      <w:r>
        <w:rPr/>
        <w:t>Velázquez-Gutiérrez, S. K., Figueira, A. C., Rodríguez-Huezo, M. E., Román-Guerrero, A., Carrillo-Navas, H., &amp; Pérez-Alonso, C. (2015). Sorption isotherms,  thermodynamic properties and glass transition temperature of mucilage extracted from chia seeds (</w:t>
      </w:r>
      <w:r>
        <w:rPr>
          <w:i/>
        </w:rPr>
        <w:t>Salvia </w:t>
      </w:r>
      <w:r>
        <w:rPr>
          <w:i/>
        </w:rPr>
        <w:t>hispanica </w:t>
      </w:r>
      <w:r>
        <w:rPr/>
        <w:t>L.). </w:t>
      </w:r>
      <w:r>
        <w:rPr>
          <w:i/>
        </w:rPr>
        <w:t>Carbohydrate Polymers , </w:t>
      </w:r>
      <w:r>
        <w:rPr/>
        <w:t>121, 411-419.</w:t>
      </w:r>
    </w:p>
    <w:p>
      <w:pPr>
        <w:spacing w:after="0" w:line="360" w:lineRule="auto"/>
        <w:jc w:val="both"/>
        <w:sectPr>
          <w:footerReference w:type="even" r:id="rId28"/>
          <w:footerReference w:type="default" r:id="rId29"/>
          <w:pgSz w:w="11900" w:h="16840"/>
          <w:pgMar w:footer="1370" w:header="0" w:top="1360" w:bottom="1560" w:left="1340" w:right="1320"/>
        </w:sectPr>
      </w:pPr>
    </w:p>
    <w:p>
      <w:pPr>
        <w:spacing w:before="58"/>
        <w:ind w:left="100" w:right="0" w:firstLine="0"/>
        <w:jc w:val="left"/>
        <w:rPr>
          <w:b/>
          <w:sz w:val="24"/>
        </w:rPr>
      </w:pPr>
      <w:r>
        <w:rPr>
          <w:b/>
          <w:sz w:val="24"/>
        </w:rPr>
        <w:t>TABLES</w:t>
      </w:r>
    </w:p>
    <w:p>
      <w:pPr>
        <w:pStyle w:val="BodyText"/>
        <w:rPr>
          <w:b/>
        </w:rPr>
      </w:pPr>
    </w:p>
    <w:p>
      <w:pPr>
        <w:pStyle w:val="BodyText"/>
        <w:rPr>
          <w:b/>
        </w:rPr>
      </w:pPr>
    </w:p>
    <w:p>
      <w:pPr>
        <w:pStyle w:val="BodyText"/>
        <w:spacing w:before="8"/>
        <w:rPr>
          <w:b/>
          <w:sz w:val="35"/>
        </w:rPr>
      </w:pPr>
    </w:p>
    <w:p>
      <w:pPr>
        <w:spacing w:before="0"/>
        <w:ind w:left="117" w:right="0" w:firstLine="0"/>
        <w:jc w:val="center"/>
        <w:rPr>
          <w:sz w:val="24"/>
        </w:rPr>
      </w:pPr>
      <w:r>
        <w:rPr>
          <w:b/>
          <w:sz w:val="24"/>
        </w:rPr>
        <w:t>Table 1. </w:t>
      </w:r>
      <w:r>
        <w:rPr>
          <w:sz w:val="24"/>
        </w:rPr>
        <w:t>Estimated parameters of GAB model.</w:t>
      </w:r>
    </w:p>
    <w:p>
      <w:pPr>
        <w:pStyle w:val="BodyText"/>
        <w:spacing w:before="2"/>
        <w:rPr>
          <w:sz w:val="9"/>
        </w:rPr>
      </w:pPr>
      <w:r>
        <w:rPr/>
        <w:pict>
          <v:group style="position:absolute;margin-left:90.267998pt;margin-top:7.224275pt;width:414.7pt;height:1pt;mso-position-horizontal-relative:page;mso-position-vertical-relative:paragraph;z-index:1792;mso-wrap-distance-left:0;mso-wrap-distance-right:0" coordorigin="1805,144" coordsize="8294,20">
            <v:line style="position:absolute" from="1815,154" to="4500,154" stroked="true" strokeweight=".95999pt" strokecolor="#000000"/>
            <v:line style="position:absolute" from="4500,154" to="4519,154" stroked="true" strokeweight=".95999pt" strokecolor="#000000"/>
            <v:line style="position:absolute" from="4519,154" to="10089,154" stroked="true" strokeweight=".95999pt" strokecolor="#000000"/>
            <w10:wrap type="topAndBottom"/>
          </v:group>
        </w:pict>
      </w:r>
    </w:p>
    <w:p>
      <w:pPr>
        <w:pStyle w:val="BodyText"/>
        <w:spacing w:line="208" w:lineRule="exact"/>
        <w:ind w:left="2809"/>
        <w:jc w:val="center"/>
      </w:pPr>
      <w:r>
        <w:rPr/>
        <w:t>Temperature (°C)</w:t>
      </w:r>
    </w:p>
    <w:p>
      <w:pPr>
        <w:pStyle w:val="BodyText"/>
        <w:tabs>
          <w:tab w:pos="2864" w:val="left" w:leader="none"/>
          <w:tab w:pos="8509" w:val="left" w:leader="none"/>
        </w:tabs>
        <w:spacing w:line="218" w:lineRule="exact"/>
        <w:ind w:left="1034"/>
        <w:jc w:val="center"/>
      </w:pPr>
      <w:r>
        <w:rPr/>
        <w:t>Parameter</w:t>
        <w:tab/>
      </w:r>
      <w:r>
        <w:rPr>
          <w:u w:val="single"/>
        </w:rPr>
        <w:t> </w:t>
        <w:tab/>
      </w:r>
    </w:p>
    <w:p>
      <w:pPr>
        <w:pStyle w:val="BodyText"/>
        <w:tabs>
          <w:tab w:pos="4672" w:val="left" w:leader="none"/>
          <w:tab w:pos="6535" w:val="left" w:leader="none"/>
        </w:tabs>
        <w:spacing w:line="248" w:lineRule="exact"/>
        <w:ind w:left="2808"/>
        <w:jc w:val="center"/>
      </w:pPr>
      <w:r>
        <w:rPr/>
        <w:t>25</w:t>
        <w:tab/>
        <w:t>35</w:t>
        <w:tab/>
        <w:t>40</w:t>
      </w:r>
    </w:p>
    <w:p>
      <w:pPr>
        <w:pStyle w:val="BodyText"/>
        <w:tabs>
          <w:tab w:pos="2840" w:val="left" w:leader="none"/>
          <w:tab w:pos="4699" w:val="left" w:leader="none"/>
          <w:tab w:pos="6533" w:val="left" w:leader="none"/>
        </w:tabs>
        <w:spacing w:before="130"/>
        <w:ind w:left="94"/>
        <w:jc w:val="center"/>
        <w:rPr>
          <w:sz w:val="16"/>
        </w:rPr>
      </w:pPr>
      <w:r>
        <w:rPr/>
        <w:pict>
          <v:group style="position:absolute;margin-left:90.517998pt;margin-top:7.21876pt;width:414.2pt;height:.5pt;mso-position-horizontal-relative:page;mso-position-vertical-relative:paragraph;z-index:-75664" coordorigin="1810,144" coordsize="8284,10">
            <v:line style="position:absolute" from="1815,149" to="4500,149" stroked="true" strokeweight=".48001pt" strokecolor="#000000"/>
            <v:line style="position:absolute" from="4500,149" to="4509,149" stroked="true" strokeweight=".48001pt" strokecolor="#000000"/>
            <v:line style="position:absolute" from="4509,149" to="6358,149" stroked="true" strokeweight=".48001pt" strokecolor="#000000"/>
            <v:line style="position:absolute" from="6358,149" to="6367,149" stroked="true" strokeweight=".48001pt" strokecolor="#000000"/>
            <v:line style="position:absolute" from="6367,149" to="8231,149" stroked="true" strokeweight=".48001pt" strokecolor="#000000"/>
            <v:line style="position:absolute" from="8231,149" to="8240,149" stroked="true" strokeweight=".48001pt" strokecolor="#000000"/>
            <v:line style="position:absolute" from="8240,149" to="10089,149" stroked="true" strokeweight=".48001pt" strokecolor="#000000"/>
            <w10:wrap type="none"/>
          </v:group>
        </w:pict>
      </w:r>
      <w:r>
        <w:rPr>
          <w:i/>
          <w:position w:val="2"/>
        </w:rPr>
        <w:t>M</w:t>
      </w:r>
      <w:r>
        <w:rPr>
          <w:i/>
          <w:sz w:val="16"/>
        </w:rPr>
        <w:t>0 </w:t>
      </w:r>
      <w:r>
        <w:rPr>
          <w:position w:val="2"/>
        </w:rPr>
        <w:t>(kg H</w:t>
      </w:r>
      <w:r>
        <w:rPr>
          <w:sz w:val="16"/>
        </w:rPr>
        <w:t>2</w:t>
      </w:r>
      <w:r>
        <w:rPr>
          <w:position w:val="2"/>
        </w:rPr>
        <w:t>O/100</w:t>
      </w:r>
      <w:r>
        <w:rPr>
          <w:spacing w:val="18"/>
          <w:position w:val="2"/>
        </w:rPr>
        <w:t> </w:t>
      </w:r>
      <w:r>
        <w:rPr>
          <w:position w:val="2"/>
        </w:rPr>
        <w:t>kg</w:t>
      </w:r>
      <w:r>
        <w:rPr>
          <w:spacing w:val="1"/>
          <w:position w:val="2"/>
        </w:rPr>
        <w:t> </w:t>
      </w:r>
      <w:r>
        <w:rPr>
          <w:position w:val="2"/>
        </w:rPr>
        <w:t>d.s.)</w:t>
        <w:tab/>
        <w:t>6.315</w:t>
      </w:r>
      <w:r>
        <w:rPr>
          <w:spacing w:val="1"/>
          <w:position w:val="2"/>
        </w:rPr>
        <w:t> </w:t>
      </w:r>
      <w:r>
        <w:rPr>
          <w:position w:val="2"/>
        </w:rPr>
        <w:t>±</w:t>
      </w:r>
      <w:r>
        <w:rPr>
          <w:spacing w:val="-1"/>
          <w:position w:val="2"/>
        </w:rPr>
        <w:t> </w:t>
      </w:r>
      <w:r>
        <w:rPr>
          <w:position w:val="2"/>
        </w:rPr>
        <w:t>0.095</w:t>
      </w:r>
      <w:r>
        <w:rPr>
          <w:position w:val="11"/>
          <w:sz w:val="16"/>
        </w:rPr>
        <w:t>c</w:t>
        <w:tab/>
      </w:r>
      <w:r>
        <w:rPr>
          <w:position w:val="2"/>
        </w:rPr>
        <w:t>5.582</w:t>
      </w:r>
      <w:r>
        <w:rPr>
          <w:spacing w:val="1"/>
          <w:position w:val="2"/>
        </w:rPr>
        <w:t> </w:t>
      </w:r>
      <w:r>
        <w:rPr>
          <w:position w:val="2"/>
        </w:rPr>
        <w:t>±</w:t>
      </w:r>
      <w:r>
        <w:rPr>
          <w:spacing w:val="-1"/>
          <w:position w:val="2"/>
        </w:rPr>
        <w:t> </w:t>
      </w:r>
      <w:r>
        <w:rPr>
          <w:position w:val="2"/>
        </w:rPr>
        <w:t>0.167</w:t>
      </w:r>
      <w:r>
        <w:rPr>
          <w:position w:val="11"/>
          <w:sz w:val="16"/>
        </w:rPr>
        <w:t>b</w:t>
        <w:tab/>
      </w:r>
      <w:r>
        <w:rPr>
          <w:position w:val="2"/>
        </w:rPr>
        <w:t>5.179  ±</w:t>
      </w:r>
      <w:r>
        <w:rPr>
          <w:spacing w:val="3"/>
          <w:position w:val="2"/>
        </w:rPr>
        <w:t> </w:t>
      </w:r>
      <w:r>
        <w:rPr>
          <w:position w:val="2"/>
        </w:rPr>
        <w:t>0.129</w:t>
      </w:r>
      <w:r>
        <w:rPr>
          <w:position w:val="11"/>
          <w:sz w:val="16"/>
        </w:rPr>
        <w:t>a</w:t>
      </w:r>
    </w:p>
    <w:p>
      <w:pPr>
        <w:pStyle w:val="BodyText"/>
        <w:tabs>
          <w:tab w:pos="3327" w:val="left" w:leader="none"/>
          <w:tab w:pos="5185" w:val="left" w:leader="none"/>
          <w:tab w:pos="7053" w:val="left" w:leader="none"/>
        </w:tabs>
        <w:spacing w:before="120"/>
        <w:ind w:left="1738"/>
        <w:rPr>
          <w:sz w:val="16"/>
        </w:rPr>
      </w:pPr>
      <w:r>
        <w:rPr>
          <w:i/>
        </w:rPr>
        <w:t>C</w:t>
        <w:tab/>
      </w:r>
      <w:r>
        <w:rPr/>
        <w:t>26.424</w:t>
      </w:r>
      <w:r>
        <w:rPr>
          <w:spacing w:val="1"/>
        </w:rPr>
        <w:t> </w:t>
      </w:r>
      <w:r>
        <w:rPr/>
        <w:t>±</w:t>
      </w:r>
      <w:r>
        <w:rPr>
          <w:spacing w:val="-1"/>
        </w:rPr>
        <w:t> </w:t>
      </w:r>
      <w:r>
        <w:rPr/>
        <w:t>0.661</w:t>
      </w:r>
      <w:r>
        <w:rPr>
          <w:position w:val="9"/>
          <w:sz w:val="16"/>
        </w:rPr>
        <w:t>a</w:t>
        <w:tab/>
      </w:r>
      <w:r>
        <w:rPr/>
        <w:t>35.299</w:t>
      </w:r>
      <w:r>
        <w:rPr>
          <w:spacing w:val="1"/>
        </w:rPr>
        <w:t> </w:t>
      </w:r>
      <w:r>
        <w:rPr/>
        <w:t>±</w:t>
      </w:r>
      <w:r>
        <w:rPr>
          <w:spacing w:val="-1"/>
        </w:rPr>
        <w:t> </w:t>
      </w:r>
      <w:r>
        <w:rPr/>
        <w:t>1.059</w:t>
      </w:r>
      <w:r>
        <w:rPr>
          <w:position w:val="9"/>
          <w:sz w:val="16"/>
        </w:rPr>
        <w:t>b</w:t>
        <w:tab/>
      </w:r>
      <w:r>
        <w:rPr/>
        <w:t>39.842 ±</w:t>
      </w:r>
      <w:r>
        <w:rPr>
          <w:spacing w:val="1"/>
        </w:rPr>
        <w:t> </w:t>
      </w:r>
      <w:r>
        <w:rPr/>
        <w:t>0.876</w:t>
      </w:r>
      <w:r>
        <w:rPr>
          <w:position w:val="9"/>
          <w:sz w:val="16"/>
        </w:rPr>
        <w:t>c</w:t>
      </w:r>
    </w:p>
    <w:p>
      <w:pPr>
        <w:pStyle w:val="BodyText"/>
        <w:tabs>
          <w:tab w:pos="3389" w:val="left" w:leader="none"/>
          <w:tab w:pos="5253" w:val="left" w:leader="none"/>
          <w:tab w:pos="7116" w:val="left" w:leader="none"/>
        </w:tabs>
        <w:spacing w:before="121"/>
        <w:ind w:left="1738"/>
        <w:rPr>
          <w:sz w:val="16"/>
        </w:rPr>
      </w:pPr>
      <w:r>
        <w:rPr>
          <w:i/>
        </w:rPr>
        <w:t>K</w:t>
        <w:tab/>
      </w:r>
      <w:r>
        <w:rPr/>
        <w:t>0.819</w:t>
      </w:r>
      <w:r>
        <w:rPr>
          <w:spacing w:val="1"/>
        </w:rPr>
        <w:t> </w:t>
      </w:r>
      <w:r>
        <w:rPr/>
        <w:t>±</w:t>
      </w:r>
      <w:r>
        <w:rPr>
          <w:spacing w:val="-1"/>
        </w:rPr>
        <w:t> </w:t>
      </w:r>
      <w:r>
        <w:rPr/>
        <w:t>0.023</w:t>
      </w:r>
      <w:r>
        <w:rPr>
          <w:position w:val="9"/>
          <w:sz w:val="16"/>
        </w:rPr>
        <w:t>a</w:t>
        <w:tab/>
      </w:r>
      <w:r>
        <w:rPr/>
        <w:t>0.845</w:t>
      </w:r>
      <w:r>
        <w:rPr>
          <w:spacing w:val="1"/>
        </w:rPr>
        <w:t> </w:t>
      </w:r>
      <w:r>
        <w:rPr/>
        <w:t>±</w:t>
      </w:r>
      <w:r>
        <w:rPr>
          <w:spacing w:val="-1"/>
        </w:rPr>
        <w:t> </w:t>
      </w:r>
      <w:r>
        <w:rPr/>
        <w:t>0.017</w:t>
      </w:r>
      <w:r>
        <w:rPr>
          <w:position w:val="9"/>
          <w:sz w:val="16"/>
        </w:rPr>
        <w:t>a</w:t>
        <w:tab/>
      </w:r>
      <w:r>
        <w:rPr/>
        <w:t>0.826 ±</w:t>
      </w:r>
      <w:r>
        <w:rPr>
          <w:spacing w:val="1"/>
        </w:rPr>
        <w:t> </w:t>
      </w:r>
      <w:r>
        <w:rPr/>
        <w:t>0.021</w:t>
      </w:r>
      <w:r>
        <w:rPr>
          <w:position w:val="9"/>
          <w:sz w:val="16"/>
        </w:rPr>
        <w:t>a</w:t>
      </w:r>
    </w:p>
    <w:p>
      <w:pPr>
        <w:pStyle w:val="BodyText"/>
        <w:tabs>
          <w:tab w:pos="3821" w:val="left" w:leader="none"/>
          <w:tab w:pos="5685" w:val="left" w:leader="none"/>
          <w:tab w:pos="8090" w:val="right" w:leader="none"/>
        </w:tabs>
        <w:spacing w:before="141"/>
        <w:ind w:left="1743"/>
      </w:pPr>
      <w:r>
        <w:rPr>
          <w:i/>
        </w:rPr>
        <w:t>E</w:t>
        <w:tab/>
      </w:r>
      <w:r>
        <w:rPr/>
        <w:t>2.701</w:t>
        <w:tab/>
        <w:t>2.306</w:t>
        <w:tab/>
        <w:t>2.905</w:t>
      </w:r>
    </w:p>
    <w:p>
      <w:pPr>
        <w:pStyle w:val="BodyText"/>
        <w:tabs>
          <w:tab w:pos="3821" w:val="left" w:leader="none"/>
          <w:tab w:pos="5685" w:val="left" w:leader="none"/>
          <w:tab w:pos="8090" w:val="right" w:leader="none"/>
        </w:tabs>
        <w:spacing w:before="121"/>
        <w:ind w:left="1733"/>
      </w:pPr>
      <w:r>
        <w:rPr>
          <w:i/>
        </w:rPr>
        <w:t>r</w:t>
      </w:r>
      <w:r>
        <w:rPr>
          <w:i/>
          <w:position w:val="9"/>
          <w:sz w:val="16"/>
        </w:rPr>
        <w:t>2</w:t>
        <w:tab/>
      </w:r>
      <w:r>
        <w:rPr/>
        <w:t>0.996</w:t>
        <w:tab/>
        <w:t>0.997</w:t>
        <w:tab/>
        <w:t>0.996</w:t>
      </w:r>
    </w:p>
    <w:p>
      <w:pPr>
        <w:spacing w:line="360" w:lineRule="auto" w:before="155"/>
        <w:ind w:left="122" w:right="0" w:firstLine="0"/>
        <w:jc w:val="center"/>
        <w:rPr>
          <w:sz w:val="20"/>
        </w:rPr>
      </w:pPr>
      <w:r>
        <w:rPr/>
        <w:pict>
          <v:group style="position:absolute;margin-left:89.547997pt;margin-top:7.195935pt;width:415.45pt;height:1pt;mso-position-horizontal-relative:page;mso-position-vertical-relative:paragraph;z-index:-75640" coordorigin="1791,144" coordsize="8309,20">
            <v:line style="position:absolute" from="1801,154" to="4500,154" stroked="true" strokeweight=".96002pt" strokecolor="#000000"/>
            <v:line style="position:absolute" from="4485,154" to="4504,154" stroked="true" strokeweight=".96002pt" strokecolor="#000000"/>
            <v:line style="position:absolute" from="4504,154" to="6358,154" stroked="true" strokeweight=".96002pt" strokecolor="#000000"/>
            <v:line style="position:absolute" from="6343,154" to="6362,154" stroked="true" strokeweight=".96002pt" strokecolor="#000000"/>
            <v:line style="position:absolute" from="6362,154" to="8231,154" stroked="true" strokeweight=".96002pt" strokecolor="#000000"/>
            <v:line style="position:absolute" from="8216,154" to="8235,154" stroked="true" strokeweight=".96002pt" strokecolor="#000000"/>
            <v:line style="position:absolute" from="8235,154" to="10089,154" stroked="true" strokeweight=".96002pt" strokecolor="#000000"/>
            <w10:wrap type="none"/>
          </v:group>
        </w:pict>
      </w:r>
      <w:r>
        <w:rPr>
          <w:sz w:val="20"/>
        </w:rPr>
        <w:t>Values are means ± standard error, of three replicates. Superscripts with different letters in same line indicate significant differences (P ≤ 0.05).</w:t>
      </w:r>
    </w:p>
    <w:p>
      <w:pPr>
        <w:spacing w:after="0" w:line="360" w:lineRule="auto"/>
        <w:jc w:val="center"/>
        <w:rPr>
          <w:sz w:val="20"/>
        </w:rPr>
        <w:sectPr>
          <w:pgSz w:w="11900" w:h="16840"/>
          <w:pgMar w:header="0" w:footer="1026" w:top="1360" w:bottom="1220" w:left="1340" w:right="1460"/>
        </w:sectPr>
      </w:pPr>
    </w:p>
    <w:p>
      <w:pPr>
        <w:pStyle w:val="BodyText"/>
        <w:spacing w:before="5"/>
        <w:rPr>
          <w:sz w:val="21"/>
        </w:rPr>
      </w:pPr>
    </w:p>
    <w:p>
      <w:pPr>
        <w:pStyle w:val="BodyText"/>
        <w:ind w:left="1547" w:right="1108"/>
      </w:pPr>
      <w:r>
        <w:rPr>
          <w:b/>
        </w:rPr>
        <w:t>Table 2. </w:t>
      </w:r>
      <w:r>
        <w:rPr/>
        <w:t>Estimated parameters of Gordon-Taylor model.</w:t>
      </w:r>
    </w:p>
    <w:p>
      <w:pPr>
        <w:pStyle w:val="BodyText"/>
        <w:spacing w:before="2"/>
        <w:rPr>
          <w:sz w:val="9"/>
        </w:rPr>
      </w:pPr>
      <w:r>
        <w:rPr/>
        <w:pict>
          <v:group style="position:absolute;margin-left:142.350006pt;margin-top:7.224319pt;width:310.55pt;height:1pt;mso-position-horizontal-relative:page;mso-position-vertical-relative:paragraph;z-index:1864;mso-wrap-distance-left:0;mso-wrap-distance-right:0" coordorigin="2847,144" coordsize="6211,20">
            <v:line style="position:absolute" from="2857,154" to="4168,154" stroked="true" strokeweight=".96pt" strokecolor="#000000"/>
            <v:line style="position:absolute" from="4168,154" to="4188,154" stroked="true" strokeweight=".96pt" strokecolor="#000000"/>
            <v:line style="position:absolute" from="4188,154" to="9047,154" stroked="true" strokeweight=".96pt" strokecolor="#000000"/>
            <w10:wrap type="topAndBottom"/>
          </v:group>
        </w:pict>
      </w:r>
    </w:p>
    <w:p>
      <w:pPr>
        <w:pStyle w:val="BodyText"/>
        <w:spacing w:line="213" w:lineRule="exact"/>
        <w:ind w:left="1944" w:right="908"/>
        <w:jc w:val="center"/>
      </w:pPr>
      <w:r>
        <w:rPr/>
        <w:t>Temperature (°C)</w:t>
      </w:r>
    </w:p>
    <w:p>
      <w:pPr>
        <w:pStyle w:val="BodyText"/>
        <w:tabs>
          <w:tab w:pos="7421" w:val="left" w:leader="none"/>
        </w:tabs>
        <w:spacing w:line="246" w:lineRule="exact"/>
        <w:ind w:left="1345" w:right="1108"/>
      </w:pPr>
      <w:r>
        <w:rPr/>
        <w:pict>
          <v:shape style="position:absolute;margin-left:142.850006pt;margin-top:10.862613pt;width:309.5pt;height:79.650pt;mso-position-horizontal-relative:page;mso-position-vertical-relative:paragraph;z-index:191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5"/>
                    <w:gridCol w:w="1676"/>
                    <w:gridCol w:w="1627"/>
                    <w:gridCol w:w="1632"/>
                  </w:tblGrid>
                  <w:tr>
                    <w:trPr>
                      <w:trHeight w:val="395" w:hRule="exact"/>
                    </w:trPr>
                    <w:tc>
                      <w:tcPr>
                        <w:tcW w:w="1255" w:type="dxa"/>
                        <w:tcBorders>
                          <w:bottom w:val="single" w:sz="4" w:space="0" w:color="000000"/>
                        </w:tcBorders>
                      </w:tcPr>
                      <w:p>
                        <w:pPr/>
                      </w:p>
                    </w:tc>
                    <w:tc>
                      <w:tcPr>
                        <w:tcW w:w="1676" w:type="dxa"/>
                        <w:tcBorders>
                          <w:bottom w:val="single" w:sz="4" w:space="0" w:color="000000"/>
                        </w:tcBorders>
                      </w:tcPr>
                      <w:p>
                        <w:pPr>
                          <w:pStyle w:val="TableParagraph"/>
                          <w:spacing w:line="245" w:lineRule="exact" w:before="0"/>
                          <w:ind w:left="205" w:right="146"/>
                          <w:rPr>
                            <w:sz w:val="24"/>
                          </w:rPr>
                        </w:pPr>
                        <w:r>
                          <w:rPr>
                            <w:sz w:val="24"/>
                          </w:rPr>
                          <w:t>25</w:t>
                        </w:r>
                      </w:p>
                    </w:tc>
                    <w:tc>
                      <w:tcPr>
                        <w:tcW w:w="1627" w:type="dxa"/>
                        <w:tcBorders>
                          <w:bottom w:val="single" w:sz="4" w:space="0" w:color="000000"/>
                        </w:tcBorders>
                      </w:tcPr>
                      <w:p>
                        <w:pPr>
                          <w:pStyle w:val="TableParagraph"/>
                          <w:spacing w:line="245" w:lineRule="exact" w:before="0"/>
                          <w:ind w:left="147" w:right="146"/>
                          <w:rPr>
                            <w:sz w:val="24"/>
                          </w:rPr>
                        </w:pPr>
                        <w:r>
                          <w:rPr>
                            <w:sz w:val="24"/>
                          </w:rPr>
                          <w:t>35</w:t>
                        </w:r>
                      </w:p>
                    </w:tc>
                    <w:tc>
                      <w:tcPr>
                        <w:tcW w:w="1632" w:type="dxa"/>
                        <w:tcBorders>
                          <w:bottom w:val="single" w:sz="4" w:space="0" w:color="000000"/>
                        </w:tcBorders>
                      </w:tcPr>
                      <w:p>
                        <w:pPr>
                          <w:pStyle w:val="TableParagraph"/>
                          <w:spacing w:line="245" w:lineRule="exact" w:before="0"/>
                          <w:ind w:left="675" w:right="675"/>
                          <w:rPr>
                            <w:sz w:val="24"/>
                          </w:rPr>
                        </w:pPr>
                        <w:r>
                          <w:rPr>
                            <w:sz w:val="24"/>
                          </w:rPr>
                          <w:t>40</w:t>
                        </w:r>
                      </w:p>
                    </w:tc>
                  </w:tr>
                  <w:tr>
                    <w:trPr>
                      <w:trHeight w:val="345" w:hRule="exact"/>
                    </w:trPr>
                    <w:tc>
                      <w:tcPr>
                        <w:tcW w:w="1255" w:type="dxa"/>
                        <w:tcBorders>
                          <w:top w:val="single" w:sz="4" w:space="0" w:color="000000"/>
                        </w:tcBorders>
                      </w:tcPr>
                      <w:p>
                        <w:pPr>
                          <w:pStyle w:val="TableParagraph"/>
                          <w:spacing w:line="270" w:lineRule="exact" w:before="0"/>
                          <w:ind w:left="268" w:right="214"/>
                          <w:rPr>
                            <w:sz w:val="24"/>
                          </w:rPr>
                        </w:pPr>
                        <w:r>
                          <w:rPr>
                            <w:i/>
                            <w:position w:val="2"/>
                            <w:sz w:val="24"/>
                          </w:rPr>
                          <w:t>T</w:t>
                        </w:r>
                        <w:r>
                          <w:rPr>
                            <w:i/>
                            <w:sz w:val="16"/>
                          </w:rPr>
                          <w:t>gs </w:t>
                        </w:r>
                        <w:r>
                          <w:rPr>
                            <w:position w:val="2"/>
                            <w:sz w:val="24"/>
                          </w:rPr>
                          <w:t>(°C)</w:t>
                        </w:r>
                      </w:p>
                    </w:tc>
                    <w:tc>
                      <w:tcPr>
                        <w:tcW w:w="1676" w:type="dxa"/>
                        <w:tcBorders>
                          <w:top w:val="single" w:sz="4" w:space="0" w:color="000000"/>
                        </w:tcBorders>
                      </w:tcPr>
                      <w:p>
                        <w:pPr>
                          <w:pStyle w:val="TableParagraph"/>
                          <w:spacing w:line="268" w:lineRule="exact" w:before="0"/>
                          <w:ind w:left="205" w:right="147"/>
                          <w:rPr>
                            <w:sz w:val="16"/>
                          </w:rPr>
                        </w:pPr>
                        <w:r>
                          <w:rPr>
                            <w:sz w:val="24"/>
                          </w:rPr>
                          <w:t>68.58 ± 1.71</w:t>
                        </w:r>
                        <w:r>
                          <w:rPr>
                            <w:position w:val="9"/>
                            <w:sz w:val="16"/>
                          </w:rPr>
                          <w:t>a</w:t>
                        </w:r>
                      </w:p>
                    </w:tc>
                    <w:tc>
                      <w:tcPr>
                        <w:tcW w:w="1627" w:type="dxa"/>
                        <w:tcBorders>
                          <w:top w:val="single" w:sz="4" w:space="0" w:color="000000"/>
                        </w:tcBorders>
                      </w:tcPr>
                      <w:p>
                        <w:pPr>
                          <w:pStyle w:val="TableParagraph"/>
                          <w:spacing w:line="268" w:lineRule="exact" w:before="0"/>
                          <w:ind w:left="147" w:right="147"/>
                          <w:rPr>
                            <w:sz w:val="16"/>
                          </w:rPr>
                        </w:pPr>
                        <w:r>
                          <w:rPr>
                            <w:sz w:val="24"/>
                          </w:rPr>
                          <w:t>76.59 ± 1.53</w:t>
                        </w:r>
                        <w:r>
                          <w:rPr>
                            <w:position w:val="9"/>
                            <w:sz w:val="16"/>
                          </w:rPr>
                          <w:t>b</w:t>
                        </w:r>
                      </w:p>
                    </w:tc>
                    <w:tc>
                      <w:tcPr>
                        <w:tcW w:w="1632" w:type="dxa"/>
                        <w:tcBorders>
                          <w:top w:val="single" w:sz="4" w:space="0" w:color="000000"/>
                        </w:tcBorders>
                      </w:tcPr>
                      <w:p>
                        <w:pPr>
                          <w:pStyle w:val="TableParagraph"/>
                          <w:spacing w:line="268" w:lineRule="exact" w:before="0"/>
                          <w:ind w:right="168"/>
                          <w:jc w:val="right"/>
                          <w:rPr>
                            <w:sz w:val="16"/>
                          </w:rPr>
                        </w:pPr>
                        <w:r>
                          <w:rPr>
                            <w:sz w:val="24"/>
                          </w:rPr>
                          <w:t>80.19 ± 1.76</w:t>
                        </w:r>
                        <w:r>
                          <w:rPr>
                            <w:position w:val="9"/>
                            <w:sz w:val="16"/>
                          </w:rPr>
                          <w:t>b</w:t>
                        </w:r>
                      </w:p>
                    </w:tc>
                  </w:tr>
                  <w:tr>
                    <w:trPr>
                      <w:trHeight w:val="426" w:hRule="exact"/>
                    </w:trPr>
                    <w:tc>
                      <w:tcPr>
                        <w:tcW w:w="1255" w:type="dxa"/>
                      </w:tcPr>
                      <w:p>
                        <w:pPr>
                          <w:pStyle w:val="TableParagraph"/>
                          <w:spacing w:before="69"/>
                          <w:ind w:left="57"/>
                          <w:rPr>
                            <w:i/>
                            <w:sz w:val="24"/>
                          </w:rPr>
                        </w:pPr>
                        <w:r>
                          <w:rPr>
                            <w:i/>
                            <w:sz w:val="24"/>
                          </w:rPr>
                          <w:t>K</w:t>
                        </w:r>
                      </w:p>
                    </w:tc>
                    <w:tc>
                      <w:tcPr>
                        <w:tcW w:w="1676" w:type="dxa"/>
                      </w:tcPr>
                      <w:p>
                        <w:pPr>
                          <w:pStyle w:val="TableParagraph"/>
                          <w:spacing w:before="53"/>
                          <w:ind w:left="205" w:right="143"/>
                          <w:rPr>
                            <w:sz w:val="16"/>
                          </w:rPr>
                        </w:pPr>
                        <w:r>
                          <w:rPr>
                            <w:sz w:val="24"/>
                          </w:rPr>
                          <w:t>1.43 ± 0.02</w:t>
                        </w:r>
                        <w:r>
                          <w:rPr>
                            <w:position w:val="9"/>
                            <w:sz w:val="16"/>
                          </w:rPr>
                          <w:t>a</w:t>
                        </w:r>
                      </w:p>
                    </w:tc>
                    <w:tc>
                      <w:tcPr>
                        <w:tcW w:w="1627" w:type="dxa"/>
                      </w:tcPr>
                      <w:p>
                        <w:pPr>
                          <w:pStyle w:val="TableParagraph"/>
                          <w:spacing w:before="53"/>
                          <w:ind w:left="147" w:right="143"/>
                          <w:rPr>
                            <w:sz w:val="16"/>
                          </w:rPr>
                        </w:pPr>
                        <w:r>
                          <w:rPr>
                            <w:sz w:val="24"/>
                          </w:rPr>
                          <w:t>1.70 ± 0.03</w:t>
                        </w:r>
                        <w:r>
                          <w:rPr>
                            <w:position w:val="9"/>
                            <w:sz w:val="16"/>
                          </w:rPr>
                          <w:t>b</w:t>
                        </w:r>
                      </w:p>
                    </w:tc>
                    <w:tc>
                      <w:tcPr>
                        <w:tcW w:w="1632" w:type="dxa"/>
                      </w:tcPr>
                      <w:p>
                        <w:pPr>
                          <w:pStyle w:val="TableParagraph"/>
                          <w:spacing w:before="53"/>
                          <w:ind w:right="230"/>
                          <w:jc w:val="right"/>
                          <w:rPr>
                            <w:sz w:val="16"/>
                          </w:rPr>
                        </w:pPr>
                        <w:r>
                          <w:rPr>
                            <w:sz w:val="24"/>
                          </w:rPr>
                          <w:t>1.97 ± 0.05</w:t>
                        </w:r>
                        <w:r>
                          <w:rPr>
                            <w:position w:val="9"/>
                            <w:sz w:val="16"/>
                          </w:rPr>
                          <w:t>c</w:t>
                        </w:r>
                      </w:p>
                    </w:tc>
                  </w:tr>
                  <w:tr>
                    <w:trPr>
                      <w:trHeight w:val="426" w:hRule="exact"/>
                    </w:trPr>
                    <w:tc>
                      <w:tcPr>
                        <w:tcW w:w="1255" w:type="dxa"/>
                      </w:tcPr>
                      <w:p>
                        <w:pPr>
                          <w:pStyle w:val="TableParagraph"/>
                          <w:spacing w:before="55"/>
                          <w:ind w:left="54"/>
                          <w:rPr>
                            <w:i/>
                            <w:sz w:val="24"/>
                          </w:rPr>
                        </w:pPr>
                        <w:r>
                          <w:rPr>
                            <w:i/>
                            <w:sz w:val="24"/>
                          </w:rPr>
                          <w:t>E</w:t>
                        </w:r>
                      </w:p>
                    </w:tc>
                    <w:tc>
                      <w:tcPr>
                        <w:tcW w:w="1676" w:type="dxa"/>
                      </w:tcPr>
                      <w:p>
                        <w:pPr>
                          <w:pStyle w:val="TableParagraph"/>
                          <w:spacing w:before="55"/>
                          <w:ind w:left="205" w:right="142"/>
                          <w:rPr>
                            <w:sz w:val="24"/>
                          </w:rPr>
                        </w:pPr>
                        <w:r>
                          <w:rPr>
                            <w:sz w:val="24"/>
                          </w:rPr>
                          <w:t>0.180</w:t>
                        </w:r>
                      </w:p>
                    </w:tc>
                    <w:tc>
                      <w:tcPr>
                        <w:tcW w:w="1627" w:type="dxa"/>
                      </w:tcPr>
                      <w:p>
                        <w:pPr>
                          <w:pStyle w:val="TableParagraph"/>
                          <w:spacing w:before="55"/>
                          <w:ind w:left="147" w:right="141"/>
                          <w:rPr>
                            <w:sz w:val="24"/>
                          </w:rPr>
                        </w:pPr>
                        <w:r>
                          <w:rPr>
                            <w:sz w:val="24"/>
                          </w:rPr>
                          <w:t>0.298</w:t>
                        </w:r>
                      </w:p>
                    </w:tc>
                    <w:tc>
                      <w:tcPr>
                        <w:tcW w:w="1632" w:type="dxa"/>
                      </w:tcPr>
                      <w:p>
                        <w:pPr>
                          <w:pStyle w:val="TableParagraph"/>
                          <w:spacing w:before="55"/>
                          <w:ind w:left="546"/>
                          <w:jc w:val="left"/>
                          <w:rPr>
                            <w:sz w:val="24"/>
                          </w:rPr>
                        </w:pPr>
                        <w:r>
                          <w:rPr>
                            <w:sz w:val="24"/>
                          </w:rPr>
                          <w:t>0.346</w:t>
                        </w:r>
                      </w:p>
                    </w:tc>
                  </w:tr>
                </w:tbl>
                <w:p>
                  <w:pPr>
                    <w:pStyle w:val="BodyText"/>
                  </w:pPr>
                </w:p>
              </w:txbxContent>
            </v:textbox>
            <w10:wrap type="none"/>
          </v:shape>
        </w:pict>
      </w:r>
      <w:r>
        <w:rPr/>
        <w:t>Parameter  </w:t>
      </w:r>
      <w:r>
        <w:rPr>
          <w:spacing w:val="-9"/>
        </w:rPr>
        <w:t> </w:t>
      </w:r>
      <w:r>
        <w:rPr>
          <w:u w:val="single"/>
        </w:rPr>
        <w:t> </w:t>
        <w:tab/>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tabs>
          <w:tab w:pos="3030" w:val="left" w:leader="none"/>
          <w:tab w:pos="4653" w:val="left" w:leader="none"/>
          <w:tab w:pos="6823" w:val="right" w:leader="none"/>
        </w:tabs>
        <w:spacing w:before="211"/>
        <w:ind w:left="1748"/>
      </w:pPr>
      <w:r>
        <w:rPr>
          <w:i/>
        </w:rPr>
        <w:t>r</w:t>
      </w:r>
      <w:r>
        <w:rPr>
          <w:i/>
          <w:position w:val="9"/>
          <w:sz w:val="16"/>
        </w:rPr>
        <w:t>2</w:t>
        <w:tab/>
      </w:r>
      <w:r>
        <w:rPr/>
        <w:t>0.996</w:t>
        <w:tab/>
        <w:t>0.988</w:t>
        <w:tab/>
        <w:t>0.984</w:t>
      </w:r>
    </w:p>
    <w:p>
      <w:pPr>
        <w:spacing w:line="355" w:lineRule="auto" w:before="159"/>
        <w:ind w:left="627" w:right="908" w:firstLine="0"/>
        <w:jc w:val="center"/>
        <w:rPr>
          <w:sz w:val="20"/>
        </w:rPr>
      </w:pPr>
      <w:r>
        <w:rPr/>
        <w:pict>
          <v:group style="position:absolute;margin-left:141.630005pt;margin-top:7.425952pt;width:311.25pt;height:1pt;mso-position-horizontal-relative:page;mso-position-vertical-relative:paragraph;z-index:-75592" coordorigin="2833,149" coordsize="6225,20">
            <v:line style="position:absolute" from="2843,159" to="4168,159" stroked="true" strokeweight=".96001pt" strokecolor="#000000"/>
            <v:line style="position:absolute" from="4154,159" to="4173,159" stroked="true" strokeweight=".96001pt" strokecolor="#000000"/>
            <v:line style="position:absolute" from="4173,159" to="5786,159" stroked="true" strokeweight=".96001pt" strokecolor="#000000"/>
            <v:line style="position:absolute" from="5772,159" to="5791,159" stroked="true" strokeweight=".96001pt" strokecolor="#000000"/>
            <v:line style="position:absolute" from="5791,159" to="7419,159" stroked="true" strokeweight=".96001pt" strokecolor="#000000"/>
            <v:line style="position:absolute" from="7404,159" to="7424,159" stroked="true" strokeweight=".96001pt" strokecolor="#000000"/>
            <v:line style="position:absolute" from="7424,159" to="9047,159" stroked="true" strokeweight=".96001pt" strokecolor="#000000"/>
            <w10:wrap type="none"/>
          </v:group>
        </w:pict>
      </w:r>
      <w:r>
        <w:rPr>
          <w:sz w:val="20"/>
        </w:rPr>
        <w:t>Values are means ± standard error, of three replicates. Superscripts with different letters in same line indicate significant differences (P ≤ 0.05).</w:t>
      </w:r>
    </w:p>
    <w:p>
      <w:pPr>
        <w:spacing w:after="0" w:line="355" w:lineRule="auto"/>
        <w:jc w:val="center"/>
        <w:rPr>
          <w:sz w:val="20"/>
        </w:rPr>
        <w:sectPr>
          <w:footerReference w:type="default" r:id="rId30"/>
          <w:footerReference w:type="even" r:id="rId31"/>
          <w:pgSz w:w="11900" w:h="16840"/>
          <w:pgMar w:footer="1370" w:header="0" w:top="1580" w:bottom="1560" w:left="1680" w:right="1400"/>
          <w:pgNumType w:start="3"/>
        </w:sectPr>
      </w:pPr>
    </w:p>
    <w:p>
      <w:pPr>
        <w:pStyle w:val="BodyText"/>
        <w:spacing w:before="107"/>
        <w:ind w:left="1637" w:right="652"/>
      </w:pPr>
      <w:r>
        <w:rPr>
          <w:b/>
        </w:rPr>
        <w:t>Table 3. </w:t>
      </w:r>
      <w:r>
        <w:rPr/>
        <w:t>Critical storage conditions of chia oil microcapsules.</w:t>
      </w:r>
    </w:p>
    <w:p>
      <w:pPr>
        <w:pStyle w:val="BodyText"/>
        <w:rPr>
          <w:sz w:val="13"/>
        </w:rPr>
      </w:pPr>
    </w:p>
    <w:tbl>
      <w:tblPr>
        <w:tblW w:w="0" w:type="auto"/>
        <w:jc w:val="left"/>
        <w:tblInd w:w="19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45"/>
        <w:gridCol w:w="1750"/>
        <w:gridCol w:w="2678"/>
      </w:tblGrid>
      <w:tr>
        <w:trPr>
          <w:trHeight w:val="432" w:hRule="exact"/>
        </w:trPr>
        <w:tc>
          <w:tcPr>
            <w:tcW w:w="945" w:type="dxa"/>
            <w:tcBorders>
              <w:left w:val="nil"/>
              <w:right w:val="nil"/>
            </w:tcBorders>
          </w:tcPr>
          <w:p>
            <w:pPr>
              <w:pStyle w:val="TableParagraph"/>
              <w:spacing w:line="268" w:lineRule="exact" w:before="0"/>
              <w:ind w:left="147" w:right="148"/>
              <w:rPr>
                <w:sz w:val="24"/>
              </w:rPr>
            </w:pPr>
            <w:r>
              <w:rPr>
                <w:i/>
                <w:sz w:val="24"/>
              </w:rPr>
              <w:t>T </w:t>
            </w:r>
            <w:r>
              <w:rPr>
                <w:sz w:val="24"/>
              </w:rPr>
              <w:t>(°C)</w:t>
            </w:r>
          </w:p>
        </w:tc>
        <w:tc>
          <w:tcPr>
            <w:tcW w:w="1750" w:type="dxa"/>
            <w:tcBorders>
              <w:left w:val="nil"/>
              <w:right w:val="nil"/>
            </w:tcBorders>
          </w:tcPr>
          <w:p>
            <w:pPr>
              <w:pStyle w:val="TableParagraph"/>
              <w:spacing w:line="270" w:lineRule="exact" w:before="0"/>
              <w:ind w:left="139" w:right="148"/>
              <w:rPr>
                <w:i/>
                <w:sz w:val="16"/>
              </w:rPr>
            </w:pPr>
            <w:r>
              <w:rPr>
                <w:i/>
                <w:position w:val="2"/>
                <w:sz w:val="24"/>
              </w:rPr>
              <w:t>a</w:t>
            </w:r>
            <w:r>
              <w:rPr>
                <w:i/>
                <w:sz w:val="16"/>
              </w:rPr>
              <w:t>wc</w:t>
            </w:r>
          </w:p>
        </w:tc>
        <w:tc>
          <w:tcPr>
            <w:tcW w:w="2678" w:type="dxa"/>
            <w:tcBorders>
              <w:left w:val="nil"/>
              <w:right w:val="nil"/>
            </w:tcBorders>
          </w:tcPr>
          <w:p>
            <w:pPr>
              <w:pStyle w:val="TableParagraph"/>
              <w:spacing w:line="270" w:lineRule="exact" w:before="0"/>
              <w:ind w:left="139" w:right="141"/>
              <w:rPr>
                <w:sz w:val="24"/>
              </w:rPr>
            </w:pPr>
            <w:r>
              <w:rPr>
                <w:i/>
                <w:position w:val="2"/>
                <w:sz w:val="24"/>
              </w:rPr>
              <w:t>M</w:t>
            </w:r>
            <w:r>
              <w:rPr>
                <w:i/>
                <w:sz w:val="16"/>
              </w:rPr>
              <w:t>c  </w:t>
            </w:r>
            <w:r>
              <w:rPr>
                <w:position w:val="2"/>
                <w:sz w:val="24"/>
              </w:rPr>
              <w:t>(kg H</w:t>
            </w:r>
            <w:r>
              <w:rPr>
                <w:sz w:val="16"/>
              </w:rPr>
              <w:t>2</w:t>
            </w:r>
            <w:r>
              <w:rPr>
                <w:position w:val="2"/>
                <w:sz w:val="24"/>
              </w:rPr>
              <w:t>O/100 kg d.s.)</w:t>
            </w:r>
          </w:p>
        </w:tc>
      </w:tr>
      <w:tr>
        <w:trPr>
          <w:trHeight w:val="349" w:hRule="exact"/>
        </w:trPr>
        <w:tc>
          <w:tcPr>
            <w:tcW w:w="945" w:type="dxa"/>
            <w:tcBorders>
              <w:left w:val="nil"/>
              <w:bottom w:val="nil"/>
              <w:right w:val="nil"/>
            </w:tcBorders>
          </w:tcPr>
          <w:p>
            <w:pPr>
              <w:pStyle w:val="TableParagraph"/>
              <w:spacing w:line="269" w:lineRule="exact" w:before="0"/>
              <w:ind w:left="147" w:right="142"/>
              <w:rPr>
                <w:sz w:val="24"/>
              </w:rPr>
            </w:pPr>
            <w:r>
              <w:rPr>
                <w:sz w:val="24"/>
              </w:rPr>
              <w:t>25</w:t>
            </w:r>
          </w:p>
        </w:tc>
        <w:tc>
          <w:tcPr>
            <w:tcW w:w="1750" w:type="dxa"/>
            <w:tcBorders>
              <w:left w:val="nil"/>
              <w:bottom w:val="nil"/>
              <w:right w:val="nil"/>
            </w:tcBorders>
          </w:tcPr>
          <w:p>
            <w:pPr>
              <w:pStyle w:val="TableParagraph"/>
              <w:spacing w:line="269" w:lineRule="exact" w:before="0"/>
              <w:ind w:left="150" w:right="148"/>
              <w:rPr>
                <w:sz w:val="16"/>
              </w:rPr>
            </w:pPr>
            <w:r>
              <w:rPr>
                <w:sz w:val="24"/>
              </w:rPr>
              <w:t>0.820 ± 0.021</w:t>
            </w:r>
            <w:r>
              <w:rPr>
                <w:position w:val="9"/>
                <w:sz w:val="16"/>
              </w:rPr>
              <w:t>b</w:t>
            </w:r>
          </w:p>
        </w:tc>
        <w:tc>
          <w:tcPr>
            <w:tcW w:w="2678" w:type="dxa"/>
            <w:tcBorders>
              <w:left w:val="nil"/>
              <w:bottom w:val="nil"/>
              <w:right w:val="nil"/>
            </w:tcBorders>
          </w:tcPr>
          <w:p>
            <w:pPr>
              <w:pStyle w:val="TableParagraph"/>
              <w:spacing w:line="269" w:lineRule="exact" w:before="0"/>
              <w:ind w:left="139" w:right="139"/>
              <w:rPr>
                <w:sz w:val="16"/>
              </w:rPr>
            </w:pPr>
            <w:r>
              <w:rPr>
                <w:sz w:val="24"/>
              </w:rPr>
              <w:t>19.00 ± 0.38</w:t>
            </w:r>
            <w:r>
              <w:rPr>
                <w:position w:val="9"/>
                <w:sz w:val="16"/>
              </w:rPr>
              <w:t>c</w:t>
            </w:r>
          </w:p>
        </w:tc>
      </w:tr>
      <w:tr>
        <w:trPr>
          <w:trHeight w:val="415" w:hRule="exact"/>
        </w:trPr>
        <w:tc>
          <w:tcPr>
            <w:tcW w:w="945" w:type="dxa"/>
            <w:tcBorders>
              <w:top w:val="nil"/>
              <w:left w:val="nil"/>
              <w:bottom w:val="nil"/>
              <w:right w:val="nil"/>
            </w:tcBorders>
          </w:tcPr>
          <w:p>
            <w:pPr>
              <w:pStyle w:val="TableParagraph"/>
              <w:spacing w:before="70"/>
              <w:ind w:left="147" w:right="142"/>
              <w:rPr>
                <w:sz w:val="24"/>
              </w:rPr>
            </w:pPr>
            <w:r>
              <w:rPr>
                <w:sz w:val="24"/>
              </w:rPr>
              <w:t>35</w:t>
            </w:r>
          </w:p>
        </w:tc>
        <w:tc>
          <w:tcPr>
            <w:tcW w:w="1750" w:type="dxa"/>
            <w:tcBorders>
              <w:top w:val="nil"/>
              <w:left w:val="nil"/>
              <w:bottom w:val="nil"/>
              <w:right w:val="nil"/>
            </w:tcBorders>
          </w:tcPr>
          <w:p>
            <w:pPr>
              <w:pStyle w:val="TableParagraph"/>
              <w:spacing w:before="55"/>
              <w:ind w:left="150" w:right="147"/>
              <w:rPr>
                <w:sz w:val="16"/>
              </w:rPr>
            </w:pPr>
            <w:r>
              <w:rPr>
                <w:sz w:val="24"/>
              </w:rPr>
              <w:t>0.709 ± 0.013</w:t>
            </w:r>
            <w:r>
              <w:rPr>
                <w:position w:val="9"/>
                <w:sz w:val="16"/>
              </w:rPr>
              <w:t>a</w:t>
            </w:r>
          </w:p>
        </w:tc>
        <w:tc>
          <w:tcPr>
            <w:tcW w:w="2678" w:type="dxa"/>
            <w:tcBorders>
              <w:top w:val="nil"/>
              <w:left w:val="nil"/>
              <w:bottom w:val="nil"/>
              <w:right w:val="nil"/>
            </w:tcBorders>
          </w:tcPr>
          <w:p>
            <w:pPr>
              <w:pStyle w:val="TableParagraph"/>
              <w:spacing w:before="55"/>
              <w:ind w:left="139" w:right="140"/>
              <w:rPr>
                <w:sz w:val="16"/>
              </w:rPr>
            </w:pPr>
            <w:r>
              <w:rPr>
                <w:sz w:val="24"/>
              </w:rPr>
              <w:t>13.81 ± 0.34</w:t>
            </w:r>
            <w:r>
              <w:rPr>
                <w:position w:val="9"/>
                <w:sz w:val="16"/>
              </w:rPr>
              <w:t>b</w:t>
            </w:r>
          </w:p>
        </w:tc>
      </w:tr>
      <w:tr>
        <w:trPr>
          <w:trHeight w:val="499" w:hRule="exact"/>
        </w:trPr>
        <w:tc>
          <w:tcPr>
            <w:tcW w:w="945" w:type="dxa"/>
            <w:tcBorders>
              <w:top w:val="nil"/>
              <w:left w:val="nil"/>
              <w:right w:val="nil"/>
            </w:tcBorders>
          </w:tcPr>
          <w:p>
            <w:pPr>
              <w:pStyle w:val="TableParagraph"/>
              <w:spacing w:before="68"/>
              <w:ind w:left="147" w:right="142"/>
              <w:rPr>
                <w:sz w:val="24"/>
              </w:rPr>
            </w:pPr>
            <w:r>
              <w:rPr>
                <w:sz w:val="24"/>
              </w:rPr>
              <w:t>40</w:t>
            </w:r>
          </w:p>
        </w:tc>
        <w:tc>
          <w:tcPr>
            <w:tcW w:w="1750" w:type="dxa"/>
            <w:tcBorders>
              <w:top w:val="nil"/>
              <w:left w:val="nil"/>
              <w:right w:val="nil"/>
            </w:tcBorders>
          </w:tcPr>
          <w:p>
            <w:pPr>
              <w:pStyle w:val="TableParagraph"/>
              <w:spacing w:before="53"/>
              <w:ind w:left="150" w:right="147"/>
              <w:rPr>
                <w:sz w:val="16"/>
              </w:rPr>
            </w:pPr>
            <w:r>
              <w:rPr>
                <w:sz w:val="24"/>
              </w:rPr>
              <w:t>0.682 ± 0.015</w:t>
            </w:r>
            <w:r>
              <w:rPr>
                <w:position w:val="9"/>
                <w:sz w:val="16"/>
              </w:rPr>
              <w:t>a</w:t>
            </w:r>
          </w:p>
        </w:tc>
        <w:tc>
          <w:tcPr>
            <w:tcW w:w="2678" w:type="dxa"/>
            <w:tcBorders>
              <w:top w:val="nil"/>
              <w:left w:val="nil"/>
              <w:right w:val="nil"/>
            </w:tcBorders>
          </w:tcPr>
          <w:p>
            <w:pPr>
              <w:pStyle w:val="TableParagraph"/>
              <w:spacing w:before="53"/>
              <w:ind w:left="139" w:right="139"/>
              <w:rPr>
                <w:sz w:val="16"/>
              </w:rPr>
            </w:pPr>
            <w:r>
              <w:rPr>
                <w:sz w:val="24"/>
              </w:rPr>
              <w:t>11.78 ± 0.26</w:t>
            </w:r>
            <w:r>
              <w:rPr>
                <w:position w:val="9"/>
                <w:sz w:val="16"/>
              </w:rPr>
              <w:t>a</w:t>
            </w:r>
          </w:p>
        </w:tc>
      </w:tr>
    </w:tbl>
    <w:p>
      <w:pPr>
        <w:spacing w:line="360" w:lineRule="auto" w:before="0"/>
        <w:ind w:left="2371" w:right="652" w:hanging="1359"/>
        <w:jc w:val="left"/>
        <w:rPr>
          <w:sz w:val="20"/>
        </w:rPr>
      </w:pPr>
      <w:r>
        <w:rPr>
          <w:sz w:val="20"/>
        </w:rPr>
        <w:t>Values are means ± standard error of three replicates. Superscripts with different letters in same column indicate significant differences (P ≤ 0.05).</w:t>
      </w:r>
    </w:p>
    <w:p>
      <w:pPr>
        <w:spacing w:after="0" w:line="360" w:lineRule="auto"/>
        <w:jc w:val="left"/>
        <w:rPr>
          <w:sz w:val="20"/>
        </w:rPr>
        <w:sectPr>
          <w:pgSz w:w="11900" w:h="16840"/>
          <w:pgMar w:header="0" w:footer="1026" w:top="1580" w:bottom="1220" w:left="1340" w:right="1680"/>
        </w:sectPr>
      </w:pPr>
    </w:p>
    <w:p>
      <w:pPr>
        <w:pStyle w:val="BodyText"/>
        <w:spacing w:before="5"/>
        <w:rPr>
          <w:sz w:val="15"/>
        </w:rPr>
      </w:pPr>
    </w:p>
    <w:p>
      <w:pPr>
        <w:pStyle w:val="BodyText"/>
        <w:spacing w:before="69"/>
        <w:ind w:left="1564" w:right="352"/>
      </w:pPr>
      <w:r>
        <w:rPr>
          <w:b/>
        </w:rPr>
        <w:t>Table 4. </w:t>
      </w:r>
      <w:r>
        <w:rPr/>
        <w:t>Zero-order kinetic parameters of chia oil oxidation.</w:t>
      </w:r>
    </w:p>
    <w:p>
      <w:pPr>
        <w:pStyle w:val="BodyText"/>
        <w:spacing w:before="6" w:after="1"/>
        <w:rPr>
          <w:sz w:val="12"/>
        </w:rPr>
      </w:pPr>
    </w:p>
    <w:tbl>
      <w:tblPr>
        <w:tblW w:w="0" w:type="auto"/>
        <w:jc w:val="left"/>
        <w:tblInd w:w="1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041"/>
        <w:gridCol w:w="874"/>
        <w:gridCol w:w="2095"/>
        <w:gridCol w:w="759"/>
        <w:gridCol w:w="1994"/>
        <w:gridCol w:w="942"/>
      </w:tblGrid>
      <w:tr>
        <w:trPr>
          <w:trHeight w:val="433" w:hRule="exact"/>
        </w:trPr>
        <w:tc>
          <w:tcPr>
            <w:tcW w:w="2041" w:type="dxa"/>
            <w:tcBorders>
              <w:left w:val="nil"/>
              <w:bottom w:val="nil"/>
              <w:right w:val="nil"/>
            </w:tcBorders>
          </w:tcPr>
          <w:p>
            <w:pPr/>
          </w:p>
        </w:tc>
        <w:tc>
          <w:tcPr>
            <w:tcW w:w="874" w:type="dxa"/>
            <w:tcBorders>
              <w:left w:val="nil"/>
              <w:bottom w:val="nil"/>
              <w:right w:val="nil"/>
            </w:tcBorders>
          </w:tcPr>
          <w:p>
            <w:pPr/>
          </w:p>
        </w:tc>
        <w:tc>
          <w:tcPr>
            <w:tcW w:w="2095" w:type="dxa"/>
            <w:tcBorders>
              <w:top w:val="single" w:sz="4" w:space="0" w:color="000000"/>
              <w:left w:val="nil"/>
              <w:bottom w:val="single" w:sz="4" w:space="0" w:color="000000"/>
              <w:right w:val="nil"/>
            </w:tcBorders>
          </w:tcPr>
          <w:p>
            <w:pPr>
              <w:pStyle w:val="TableParagraph"/>
              <w:spacing w:before="1"/>
              <w:ind w:left="806"/>
              <w:jc w:val="left"/>
              <w:rPr>
                <w:sz w:val="24"/>
              </w:rPr>
            </w:pPr>
            <w:r>
              <w:rPr>
                <w:sz w:val="24"/>
              </w:rPr>
              <w:t>Bulk chia oil</w:t>
            </w:r>
          </w:p>
        </w:tc>
        <w:tc>
          <w:tcPr>
            <w:tcW w:w="759" w:type="dxa"/>
            <w:tcBorders>
              <w:top w:val="single" w:sz="4" w:space="0" w:color="000000"/>
              <w:left w:val="nil"/>
              <w:bottom w:val="single" w:sz="4" w:space="0" w:color="000000"/>
              <w:right w:val="nil"/>
            </w:tcBorders>
          </w:tcPr>
          <w:p>
            <w:pPr/>
          </w:p>
        </w:tc>
        <w:tc>
          <w:tcPr>
            <w:tcW w:w="2937" w:type="dxa"/>
            <w:gridSpan w:val="2"/>
            <w:tcBorders>
              <w:top w:val="single" w:sz="4" w:space="0" w:color="000000"/>
              <w:left w:val="nil"/>
              <w:bottom w:val="single" w:sz="4" w:space="0" w:color="000000"/>
              <w:right w:val="nil"/>
            </w:tcBorders>
          </w:tcPr>
          <w:p>
            <w:pPr>
              <w:pStyle w:val="TableParagraph"/>
              <w:spacing w:before="1"/>
              <w:ind w:left="165"/>
              <w:jc w:val="left"/>
              <w:rPr>
                <w:sz w:val="24"/>
              </w:rPr>
            </w:pPr>
            <w:r>
              <w:rPr>
                <w:sz w:val="24"/>
              </w:rPr>
              <w:t>Microencapsulated chia oil</w:t>
            </w:r>
          </w:p>
        </w:tc>
      </w:tr>
      <w:tr>
        <w:trPr>
          <w:trHeight w:val="271" w:hRule="exact"/>
        </w:trPr>
        <w:tc>
          <w:tcPr>
            <w:tcW w:w="2041" w:type="dxa"/>
            <w:tcBorders>
              <w:top w:val="nil"/>
              <w:left w:val="nil"/>
              <w:bottom w:val="nil"/>
              <w:right w:val="nil"/>
            </w:tcBorders>
          </w:tcPr>
          <w:p>
            <w:pPr>
              <w:pStyle w:val="TableParagraph"/>
              <w:spacing w:before="11"/>
              <w:ind w:left="152" w:right="147"/>
              <w:rPr>
                <w:sz w:val="24"/>
              </w:rPr>
            </w:pPr>
            <w:r>
              <w:rPr>
                <w:sz w:val="24"/>
              </w:rPr>
              <w:t>Temperature (°C)</w:t>
            </w:r>
          </w:p>
        </w:tc>
        <w:tc>
          <w:tcPr>
            <w:tcW w:w="874" w:type="dxa"/>
            <w:tcBorders>
              <w:top w:val="nil"/>
              <w:left w:val="nil"/>
              <w:bottom w:val="nil"/>
              <w:right w:val="nil"/>
            </w:tcBorders>
          </w:tcPr>
          <w:p>
            <w:pPr>
              <w:pStyle w:val="TableParagraph"/>
              <w:spacing w:before="10"/>
              <w:ind w:left="142" w:right="145"/>
              <w:rPr>
                <w:i/>
                <w:sz w:val="16"/>
              </w:rPr>
            </w:pPr>
            <w:r>
              <w:rPr>
                <w:i/>
                <w:position w:val="2"/>
                <w:sz w:val="24"/>
              </w:rPr>
              <w:t>a</w:t>
            </w:r>
            <w:r>
              <w:rPr>
                <w:i/>
                <w:sz w:val="16"/>
              </w:rPr>
              <w:t>w</w:t>
            </w:r>
          </w:p>
        </w:tc>
        <w:tc>
          <w:tcPr>
            <w:tcW w:w="2095" w:type="dxa"/>
            <w:vMerge w:val="restart"/>
            <w:tcBorders>
              <w:top w:val="single" w:sz="4" w:space="0" w:color="000000"/>
              <w:left w:val="nil"/>
              <w:right w:val="nil"/>
            </w:tcBorders>
          </w:tcPr>
          <w:p>
            <w:pPr>
              <w:pStyle w:val="TableParagraph"/>
              <w:spacing w:before="0"/>
              <w:ind w:left="147" w:right="250"/>
              <w:rPr>
                <w:i/>
                <w:sz w:val="16"/>
              </w:rPr>
            </w:pPr>
            <w:r>
              <w:rPr>
                <w:i/>
                <w:position w:val="2"/>
                <w:sz w:val="24"/>
              </w:rPr>
              <w:t>k</w:t>
            </w:r>
            <w:r>
              <w:rPr>
                <w:i/>
                <w:sz w:val="16"/>
              </w:rPr>
              <w:t>HP</w:t>
            </w:r>
          </w:p>
          <w:p>
            <w:pPr>
              <w:pStyle w:val="TableParagraph"/>
              <w:spacing w:before="132"/>
              <w:ind w:left="147" w:right="268"/>
              <w:rPr>
                <w:sz w:val="24"/>
              </w:rPr>
            </w:pPr>
            <w:r>
              <w:rPr>
                <w:sz w:val="24"/>
              </w:rPr>
              <w:t>(mEq/kg oil</w:t>
            </w:r>
            <w:r>
              <w:rPr>
                <w:rFonts w:ascii="Symbol" w:hAnsi="Symbol"/>
                <w:sz w:val="24"/>
              </w:rPr>
              <w:t></w:t>
            </w:r>
            <w:r>
              <w:rPr>
                <w:sz w:val="24"/>
              </w:rPr>
              <w:t>day)</w:t>
            </w:r>
          </w:p>
        </w:tc>
        <w:tc>
          <w:tcPr>
            <w:tcW w:w="759" w:type="dxa"/>
            <w:tcBorders>
              <w:top w:val="single" w:sz="4" w:space="0" w:color="000000"/>
              <w:left w:val="nil"/>
              <w:bottom w:val="nil"/>
              <w:right w:val="nil"/>
            </w:tcBorders>
          </w:tcPr>
          <w:p>
            <w:pPr/>
          </w:p>
        </w:tc>
        <w:tc>
          <w:tcPr>
            <w:tcW w:w="1994" w:type="dxa"/>
            <w:vMerge w:val="restart"/>
            <w:tcBorders>
              <w:top w:val="single" w:sz="4" w:space="0" w:color="000000"/>
              <w:left w:val="nil"/>
              <w:right w:val="nil"/>
            </w:tcBorders>
          </w:tcPr>
          <w:p>
            <w:pPr>
              <w:pStyle w:val="TableParagraph"/>
              <w:spacing w:before="0"/>
              <w:ind w:left="144" w:right="150"/>
              <w:rPr>
                <w:i/>
                <w:sz w:val="16"/>
              </w:rPr>
            </w:pPr>
            <w:r>
              <w:rPr>
                <w:i/>
                <w:position w:val="2"/>
                <w:sz w:val="24"/>
              </w:rPr>
              <w:t>k</w:t>
            </w:r>
            <w:r>
              <w:rPr>
                <w:i/>
                <w:sz w:val="16"/>
              </w:rPr>
              <w:t>HP</w:t>
            </w:r>
          </w:p>
          <w:p>
            <w:pPr>
              <w:pStyle w:val="TableParagraph"/>
              <w:spacing w:before="132"/>
              <w:ind w:left="144" w:right="169"/>
              <w:rPr>
                <w:sz w:val="24"/>
              </w:rPr>
            </w:pPr>
            <w:r>
              <w:rPr>
                <w:sz w:val="24"/>
              </w:rPr>
              <w:t>(mEq/kg oil</w:t>
            </w:r>
            <w:r>
              <w:rPr>
                <w:rFonts w:ascii="Symbol" w:hAnsi="Symbol"/>
                <w:sz w:val="24"/>
              </w:rPr>
              <w:t></w:t>
            </w:r>
            <w:r>
              <w:rPr>
                <w:sz w:val="24"/>
              </w:rPr>
              <w:t>day)</w:t>
            </w:r>
          </w:p>
        </w:tc>
        <w:tc>
          <w:tcPr>
            <w:tcW w:w="942" w:type="dxa"/>
            <w:tcBorders>
              <w:top w:val="single" w:sz="4" w:space="0" w:color="000000"/>
              <w:left w:val="nil"/>
              <w:bottom w:val="nil"/>
              <w:right w:val="nil"/>
            </w:tcBorders>
          </w:tcPr>
          <w:p>
            <w:pPr/>
          </w:p>
        </w:tc>
      </w:tr>
      <w:tr>
        <w:trPr>
          <w:trHeight w:val="602" w:hRule="exact"/>
        </w:trPr>
        <w:tc>
          <w:tcPr>
            <w:tcW w:w="2041" w:type="dxa"/>
            <w:tcBorders>
              <w:top w:val="nil"/>
              <w:left w:val="nil"/>
              <w:bottom w:val="single" w:sz="4" w:space="0" w:color="000000"/>
              <w:right w:val="nil"/>
            </w:tcBorders>
          </w:tcPr>
          <w:p>
            <w:pPr/>
          </w:p>
        </w:tc>
        <w:tc>
          <w:tcPr>
            <w:tcW w:w="874" w:type="dxa"/>
            <w:tcBorders>
              <w:top w:val="nil"/>
              <w:left w:val="nil"/>
              <w:bottom w:val="single" w:sz="4" w:space="0" w:color="000000"/>
              <w:right w:val="nil"/>
            </w:tcBorders>
          </w:tcPr>
          <w:p>
            <w:pPr/>
          </w:p>
        </w:tc>
        <w:tc>
          <w:tcPr>
            <w:tcW w:w="2095" w:type="dxa"/>
            <w:vMerge/>
            <w:tcBorders>
              <w:left w:val="nil"/>
              <w:bottom w:val="single" w:sz="4" w:space="0" w:color="000000"/>
              <w:right w:val="nil"/>
            </w:tcBorders>
          </w:tcPr>
          <w:p>
            <w:pPr/>
          </w:p>
        </w:tc>
        <w:tc>
          <w:tcPr>
            <w:tcW w:w="759" w:type="dxa"/>
            <w:tcBorders>
              <w:top w:val="nil"/>
              <w:left w:val="nil"/>
              <w:bottom w:val="single" w:sz="4" w:space="0" w:color="000000"/>
              <w:right w:val="nil"/>
            </w:tcBorders>
          </w:tcPr>
          <w:p>
            <w:pPr>
              <w:pStyle w:val="TableParagraph"/>
              <w:spacing w:line="231" w:lineRule="exact" w:before="0"/>
              <w:ind w:left="26" w:right="145"/>
              <w:rPr>
                <w:i/>
                <w:sz w:val="16"/>
              </w:rPr>
            </w:pPr>
            <w:r>
              <w:rPr>
                <w:i/>
                <w:position w:val="-8"/>
                <w:sz w:val="24"/>
              </w:rPr>
              <w:t>r</w:t>
            </w:r>
            <w:r>
              <w:rPr>
                <w:i/>
                <w:sz w:val="16"/>
              </w:rPr>
              <w:t>2</w:t>
            </w:r>
          </w:p>
        </w:tc>
        <w:tc>
          <w:tcPr>
            <w:tcW w:w="1994" w:type="dxa"/>
            <w:vMerge/>
            <w:tcBorders>
              <w:left w:val="nil"/>
              <w:bottom w:val="single" w:sz="4" w:space="0" w:color="000000"/>
              <w:right w:val="nil"/>
            </w:tcBorders>
          </w:tcPr>
          <w:p>
            <w:pPr/>
          </w:p>
        </w:tc>
        <w:tc>
          <w:tcPr>
            <w:tcW w:w="942" w:type="dxa"/>
            <w:tcBorders>
              <w:top w:val="nil"/>
              <w:left w:val="nil"/>
              <w:bottom w:val="single" w:sz="4" w:space="0" w:color="000000"/>
              <w:right w:val="nil"/>
            </w:tcBorders>
          </w:tcPr>
          <w:p>
            <w:pPr>
              <w:pStyle w:val="TableParagraph"/>
              <w:spacing w:line="231" w:lineRule="exact" w:before="0"/>
              <w:ind w:left="168" w:right="186"/>
              <w:rPr>
                <w:i/>
                <w:sz w:val="16"/>
              </w:rPr>
            </w:pPr>
            <w:r>
              <w:rPr>
                <w:i/>
                <w:position w:val="-8"/>
                <w:sz w:val="24"/>
              </w:rPr>
              <w:t>r</w:t>
            </w:r>
            <w:r>
              <w:rPr>
                <w:i/>
                <w:sz w:val="16"/>
              </w:rPr>
              <w:t>2</w:t>
            </w:r>
          </w:p>
        </w:tc>
      </w:tr>
      <w:tr>
        <w:trPr>
          <w:trHeight w:val="344" w:hRule="exact"/>
        </w:trPr>
        <w:tc>
          <w:tcPr>
            <w:tcW w:w="2041" w:type="dxa"/>
            <w:tcBorders>
              <w:top w:val="single" w:sz="4" w:space="0" w:color="000000"/>
              <w:left w:val="nil"/>
              <w:bottom w:val="nil"/>
              <w:right w:val="nil"/>
            </w:tcBorders>
          </w:tcPr>
          <w:p>
            <w:pPr/>
          </w:p>
        </w:tc>
        <w:tc>
          <w:tcPr>
            <w:tcW w:w="874" w:type="dxa"/>
            <w:tcBorders>
              <w:top w:val="single" w:sz="4" w:space="0" w:color="000000"/>
              <w:left w:val="nil"/>
              <w:bottom w:val="nil"/>
              <w:right w:val="nil"/>
            </w:tcBorders>
          </w:tcPr>
          <w:p>
            <w:pPr>
              <w:pStyle w:val="TableParagraph"/>
              <w:spacing w:line="268" w:lineRule="exact" w:before="0"/>
              <w:ind w:left="148" w:right="145"/>
              <w:rPr>
                <w:sz w:val="24"/>
              </w:rPr>
            </w:pPr>
            <w:r>
              <w:rPr>
                <w:sz w:val="24"/>
              </w:rPr>
              <w:t>0.115</w:t>
            </w:r>
          </w:p>
        </w:tc>
        <w:tc>
          <w:tcPr>
            <w:tcW w:w="2095" w:type="dxa"/>
            <w:tcBorders>
              <w:top w:val="single" w:sz="4" w:space="0" w:color="000000"/>
              <w:left w:val="nil"/>
              <w:bottom w:val="nil"/>
              <w:right w:val="nil"/>
            </w:tcBorders>
          </w:tcPr>
          <w:p>
            <w:pPr>
              <w:pStyle w:val="TableParagraph"/>
              <w:spacing w:line="268" w:lineRule="exact" w:before="0"/>
              <w:ind w:left="283"/>
              <w:jc w:val="left"/>
              <w:rPr>
                <w:sz w:val="16"/>
              </w:rPr>
            </w:pPr>
            <w:r>
              <w:rPr>
                <w:sz w:val="24"/>
              </w:rPr>
              <w:t>0.854 ± 0.020</w:t>
            </w:r>
            <w:r>
              <w:rPr>
                <w:position w:val="9"/>
                <w:sz w:val="16"/>
              </w:rPr>
              <w:t>d</w:t>
            </w:r>
          </w:p>
        </w:tc>
        <w:tc>
          <w:tcPr>
            <w:tcW w:w="759" w:type="dxa"/>
            <w:tcBorders>
              <w:top w:val="single" w:sz="4" w:space="0" w:color="000000"/>
              <w:left w:val="nil"/>
              <w:bottom w:val="nil"/>
              <w:right w:val="nil"/>
            </w:tcBorders>
          </w:tcPr>
          <w:p>
            <w:pPr>
              <w:pStyle w:val="TableParagraph"/>
              <w:spacing w:line="268" w:lineRule="exact" w:before="0"/>
              <w:ind w:left="33" w:right="145"/>
              <w:rPr>
                <w:sz w:val="24"/>
              </w:rPr>
            </w:pPr>
            <w:r>
              <w:rPr>
                <w:sz w:val="24"/>
              </w:rPr>
              <w:t>0.996</w:t>
            </w:r>
          </w:p>
        </w:tc>
        <w:tc>
          <w:tcPr>
            <w:tcW w:w="1994" w:type="dxa"/>
            <w:tcBorders>
              <w:top w:val="single" w:sz="4" w:space="0" w:color="000000"/>
              <w:left w:val="nil"/>
              <w:bottom w:val="nil"/>
              <w:right w:val="nil"/>
            </w:tcBorders>
          </w:tcPr>
          <w:p>
            <w:pPr>
              <w:pStyle w:val="TableParagraph"/>
              <w:spacing w:line="268" w:lineRule="exact" w:before="0"/>
              <w:ind w:right="300"/>
              <w:jc w:val="right"/>
              <w:rPr>
                <w:sz w:val="16"/>
              </w:rPr>
            </w:pPr>
            <w:r>
              <w:rPr>
                <w:sz w:val="24"/>
              </w:rPr>
              <w:t>0.342 ± 0.007</w:t>
            </w:r>
            <w:r>
              <w:rPr>
                <w:position w:val="9"/>
                <w:sz w:val="16"/>
              </w:rPr>
              <w:t>c</w:t>
            </w:r>
          </w:p>
        </w:tc>
        <w:tc>
          <w:tcPr>
            <w:tcW w:w="942" w:type="dxa"/>
            <w:tcBorders>
              <w:top w:val="single" w:sz="4" w:space="0" w:color="000000"/>
              <w:left w:val="nil"/>
              <w:bottom w:val="nil"/>
              <w:right w:val="nil"/>
            </w:tcBorders>
          </w:tcPr>
          <w:p>
            <w:pPr>
              <w:pStyle w:val="TableParagraph"/>
              <w:spacing w:line="268" w:lineRule="exact" w:before="0"/>
              <w:ind w:left="175" w:right="186"/>
              <w:rPr>
                <w:sz w:val="24"/>
              </w:rPr>
            </w:pPr>
            <w:r>
              <w:rPr>
                <w:sz w:val="24"/>
              </w:rPr>
              <w:t>0.983</w:t>
            </w:r>
          </w:p>
        </w:tc>
      </w:tr>
      <w:tr>
        <w:trPr>
          <w:trHeight w:val="415" w:hRule="exact"/>
        </w:trPr>
        <w:tc>
          <w:tcPr>
            <w:tcW w:w="2041" w:type="dxa"/>
            <w:tcBorders>
              <w:top w:val="nil"/>
              <w:left w:val="nil"/>
              <w:bottom w:val="nil"/>
              <w:right w:val="nil"/>
            </w:tcBorders>
          </w:tcPr>
          <w:p>
            <w:pPr/>
          </w:p>
        </w:tc>
        <w:tc>
          <w:tcPr>
            <w:tcW w:w="874" w:type="dxa"/>
            <w:tcBorders>
              <w:top w:val="nil"/>
              <w:left w:val="nil"/>
              <w:bottom w:val="nil"/>
              <w:right w:val="nil"/>
            </w:tcBorders>
          </w:tcPr>
          <w:p>
            <w:pPr>
              <w:pStyle w:val="TableParagraph"/>
              <w:spacing w:before="70"/>
              <w:ind w:left="148" w:right="145"/>
              <w:rPr>
                <w:sz w:val="24"/>
              </w:rPr>
            </w:pPr>
            <w:r>
              <w:rPr>
                <w:sz w:val="24"/>
              </w:rPr>
              <w:t>0.329</w:t>
            </w:r>
          </w:p>
        </w:tc>
        <w:tc>
          <w:tcPr>
            <w:tcW w:w="2095" w:type="dxa"/>
            <w:tcBorders>
              <w:top w:val="nil"/>
              <w:left w:val="nil"/>
              <w:bottom w:val="nil"/>
              <w:right w:val="nil"/>
            </w:tcBorders>
          </w:tcPr>
          <w:p>
            <w:pPr>
              <w:pStyle w:val="TableParagraph"/>
              <w:spacing w:before="55"/>
              <w:ind w:left="288"/>
              <w:jc w:val="left"/>
              <w:rPr>
                <w:sz w:val="16"/>
              </w:rPr>
            </w:pPr>
            <w:r>
              <w:rPr>
                <w:sz w:val="24"/>
              </w:rPr>
              <w:t>0.789 ± 0.017</w:t>
            </w:r>
            <w:r>
              <w:rPr>
                <w:position w:val="9"/>
                <w:sz w:val="16"/>
              </w:rPr>
              <w:t>c</w:t>
            </w:r>
          </w:p>
        </w:tc>
        <w:tc>
          <w:tcPr>
            <w:tcW w:w="759" w:type="dxa"/>
            <w:tcBorders>
              <w:top w:val="nil"/>
              <w:left w:val="nil"/>
              <w:bottom w:val="nil"/>
              <w:right w:val="nil"/>
            </w:tcBorders>
          </w:tcPr>
          <w:p>
            <w:pPr>
              <w:pStyle w:val="TableParagraph"/>
              <w:spacing w:before="70"/>
              <w:ind w:left="33" w:right="145"/>
              <w:rPr>
                <w:sz w:val="24"/>
              </w:rPr>
            </w:pPr>
            <w:r>
              <w:rPr>
                <w:sz w:val="24"/>
              </w:rPr>
              <w:t>0.991</w:t>
            </w:r>
          </w:p>
        </w:tc>
        <w:tc>
          <w:tcPr>
            <w:tcW w:w="1994" w:type="dxa"/>
            <w:tcBorders>
              <w:top w:val="nil"/>
              <w:left w:val="nil"/>
              <w:bottom w:val="nil"/>
              <w:right w:val="nil"/>
            </w:tcBorders>
          </w:tcPr>
          <w:p>
            <w:pPr>
              <w:pStyle w:val="TableParagraph"/>
              <w:spacing w:before="55"/>
              <w:ind w:right="243"/>
              <w:jc w:val="right"/>
              <w:rPr>
                <w:sz w:val="16"/>
              </w:rPr>
            </w:pPr>
            <w:r>
              <w:rPr>
                <w:sz w:val="24"/>
              </w:rPr>
              <w:t>0.335 ± 0.008</w:t>
            </w:r>
            <w:r>
              <w:rPr>
                <w:position w:val="9"/>
                <w:sz w:val="16"/>
              </w:rPr>
              <w:t>b,c</w:t>
            </w:r>
          </w:p>
        </w:tc>
        <w:tc>
          <w:tcPr>
            <w:tcW w:w="942" w:type="dxa"/>
            <w:tcBorders>
              <w:top w:val="nil"/>
              <w:left w:val="nil"/>
              <w:bottom w:val="nil"/>
              <w:right w:val="nil"/>
            </w:tcBorders>
          </w:tcPr>
          <w:p>
            <w:pPr>
              <w:pStyle w:val="TableParagraph"/>
              <w:spacing w:before="70"/>
              <w:ind w:left="175" w:right="186"/>
              <w:rPr>
                <w:sz w:val="24"/>
              </w:rPr>
            </w:pPr>
            <w:r>
              <w:rPr>
                <w:sz w:val="24"/>
              </w:rPr>
              <w:t>0.971</w:t>
            </w:r>
          </w:p>
        </w:tc>
      </w:tr>
      <w:tr>
        <w:trPr>
          <w:trHeight w:val="426" w:hRule="exact"/>
        </w:trPr>
        <w:tc>
          <w:tcPr>
            <w:tcW w:w="2041" w:type="dxa"/>
            <w:tcBorders>
              <w:top w:val="nil"/>
              <w:left w:val="nil"/>
              <w:bottom w:val="nil"/>
              <w:right w:val="nil"/>
            </w:tcBorders>
          </w:tcPr>
          <w:p>
            <w:pPr>
              <w:pStyle w:val="TableParagraph"/>
              <w:spacing w:before="68"/>
              <w:ind w:left="151" w:right="147"/>
              <w:rPr>
                <w:sz w:val="24"/>
              </w:rPr>
            </w:pPr>
            <w:r>
              <w:rPr>
                <w:sz w:val="24"/>
              </w:rPr>
              <w:t>25</w:t>
            </w:r>
          </w:p>
        </w:tc>
        <w:tc>
          <w:tcPr>
            <w:tcW w:w="874" w:type="dxa"/>
            <w:tcBorders>
              <w:top w:val="nil"/>
              <w:left w:val="nil"/>
              <w:bottom w:val="nil"/>
              <w:right w:val="nil"/>
            </w:tcBorders>
          </w:tcPr>
          <w:p>
            <w:pPr>
              <w:pStyle w:val="TableParagraph"/>
              <w:spacing w:before="68"/>
              <w:ind w:left="148" w:right="145"/>
              <w:rPr>
                <w:sz w:val="24"/>
              </w:rPr>
            </w:pPr>
            <w:r>
              <w:rPr>
                <w:sz w:val="24"/>
              </w:rPr>
              <w:t>0.536</w:t>
            </w:r>
          </w:p>
        </w:tc>
        <w:tc>
          <w:tcPr>
            <w:tcW w:w="2095" w:type="dxa"/>
            <w:tcBorders>
              <w:top w:val="nil"/>
              <w:left w:val="nil"/>
              <w:bottom w:val="nil"/>
              <w:right w:val="nil"/>
            </w:tcBorders>
          </w:tcPr>
          <w:p>
            <w:pPr>
              <w:pStyle w:val="TableParagraph"/>
              <w:spacing w:before="53"/>
              <w:ind w:left="283"/>
              <w:jc w:val="left"/>
              <w:rPr>
                <w:sz w:val="16"/>
              </w:rPr>
            </w:pPr>
            <w:r>
              <w:rPr>
                <w:sz w:val="24"/>
              </w:rPr>
              <w:t>0.719 ± 0.011</w:t>
            </w:r>
            <w:r>
              <w:rPr>
                <w:position w:val="9"/>
                <w:sz w:val="16"/>
              </w:rPr>
              <w:t>b</w:t>
            </w:r>
          </w:p>
        </w:tc>
        <w:tc>
          <w:tcPr>
            <w:tcW w:w="759" w:type="dxa"/>
            <w:tcBorders>
              <w:top w:val="nil"/>
              <w:left w:val="nil"/>
              <w:bottom w:val="nil"/>
              <w:right w:val="nil"/>
            </w:tcBorders>
          </w:tcPr>
          <w:p>
            <w:pPr>
              <w:pStyle w:val="TableParagraph"/>
              <w:spacing w:before="68"/>
              <w:ind w:left="33" w:right="145"/>
              <w:rPr>
                <w:sz w:val="24"/>
              </w:rPr>
            </w:pPr>
            <w:r>
              <w:rPr>
                <w:sz w:val="24"/>
              </w:rPr>
              <w:t>0.981</w:t>
            </w:r>
          </w:p>
        </w:tc>
        <w:tc>
          <w:tcPr>
            <w:tcW w:w="1994" w:type="dxa"/>
            <w:tcBorders>
              <w:top w:val="nil"/>
              <w:left w:val="nil"/>
              <w:bottom w:val="nil"/>
              <w:right w:val="nil"/>
            </w:tcBorders>
          </w:tcPr>
          <w:p>
            <w:pPr>
              <w:pStyle w:val="TableParagraph"/>
              <w:spacing w:before="53"/>
              <w:ind w:right="296"/>
              <w:jc w:val="right"/>
              <w:rPr>
                <w:sz w:val="16"/>
              </w:rPr>
            </w:pPr>
            <w:r>
              <w:rPr>
                <w:sz w:val="24"/>
              </w:rPr>
              <w:t>0.322 ± 0.006</w:t>
            </w:r>
            <w:r>
              <w:rPr>
                <w:position w:val="9"/>
                <w:sz w:val="16"/>
              </w:rPr>
              <w:t>b</w:t>
            </w:r>
          </w:p>
        </w:tc>
        <w:tc>
          <w:tcPr>
            <w:tcW w:w="942" w:type="dxa"/>
            <w:tcBorders>
              <w:top w:val="nil"/>
              <w:left w:val="nil"/>
              <w:bottom w:val="nil"/>
              <w:right w:val="nil"/>
            </w:tcBorders>
          </w:tcPr>
          <w:p>
            <w:pPr>
              <w:pStyle w:val="TableParagraph"/>
              <w:spacing w:before="68"/>
              <w:ind w:left="175" w:right="186"/>
              <w:rPr>
                <w:sz w:val="24"/>
              </w:rPr>
            </w:pPr>
            <w:r>
              <w:rPr>
                <w:sz w:val="24"/>
              </w:rPr>
              <w:t>0.956</w:t>
            </w:r>
          </w:p>
        </w:tc>
      </w:tr>
      <w:tr>
        <w:trPr>
          <w:trHeight w:val="413" w:hRule="exact"/>
        </w:trPr>
        <w:tc>
          <w:tcPr>
            <w:tcW w:w="2041" w:type="dxa"/>
            <w:tcBorders>
              <w:top w:val="nil"/>
              <w:left w:val="nil"/>
              <w:bottom w:val="nil"/>
              <w:right w:val="nil"/>
            </w:tcBorders>
          </w:tcPr>
          <w:p>
            <w:pPr/>
          </w:p>
        </w:tc>
        <w:tc>
          <w:tcPr>
            <w:tcW w:w="874" w:type="dxa"/>
            <w:tcBorders>
              <w:top w:val="nil"/>
              <w:left w:val="nil"/>
              <w:bottom w:val="nil"/>
              <w:right w:val="nil"/>
            </w:tcBorders>
          </w:tcPr>
          <w:p>
            <w:pPr>
              <w:pStyle w:val="TableParagraph"/>
              <w:spacing w:before="55"/>
              <w:ind w:left="148" w:right="145"/>
              <w:rPr>
                <w:sz w:val="24"/>
              </w:rPr>
            </w:pPr>
            <w:r>
              <w:rPr>
                <w:sz w:val="24"/>
              </w:rPr>
              <w:t>0.654</w:t>
            </w:r>
          </w:p>
        </w:tc>
        <w:tc>
          <w:tcPr>
            <w:tcW w:w="2095" w:type="dxa"/>
            <w:tcBorders>
              <w:top w:val="nil"/>
              <w:left w:val="nil"/>
              <w:bottom w:val="nil"/>
              <w:right w:val="nil"/>
            </w:tcBorders>
          </w:tcPr>
          <w:p>
            <w:pPr>
              <w:pStyle w:val="TableParagraph"/>
              <w:spacing w:before="55"/>
              <w:ind w:left="292"/>
              <w:jc w:val="left"/>
              <w:rPr>
                <w:sz w:val="24"/>
              </w:rPr>
            </w:pPr>
            <w:r>
              <w:rPr>
                <w:sz w:val="24"/>
              </w:rPr>
              <w:t>0.617 ± 0.013ª</w:t>
            </w:r>
          </w:p>
        </w:tc>
        <w:tc>
          <w:tcPr>
            <w:tcW w:w="759" w:type="dxa"/>
            <w:tcBorders>
              <w:top w:val="nil"/>
              <w:left w:val="nil"/>
              <w:bottom w:val="nil"/>
              <w:right w:val="nil"/>
            </w:tcBorders>
          </w:tcPr>
          <w:p>
            <w:pPr>
              <w:pStyle w:val="TableParagraph"/>
              <w:spacing w:before="55"/>
              <w:ind w:left="33" w:right="145"/>
              <w:rPr>
                <w:sz w:val="24"/>
              </w:rPr>
            </w:pPr>
            <w:r>
              <w:rPr>
                <w:sz w:val="24"/>
              </w:rPr>
              <w:t>0.972</w:t>
            </w:r>
          </w:p>
        </w:tc>
        <w:tc>
          <w:tcPr>
            <w:tcW w:w="1994" w:type="dxa"/>
            <w:tcBorders>
              <w:top w:val="nil"/>
              <w:left w:val="nil"/>
              <w:bottom w:val="nil"/>
              <w:right w:val="nil"/>
            </w:tcBorders>
          </w:tcPr>
          <w:p>
            <w:pPr>
              <w:pStyle w:val="TableParagraph"/>
              <w:spacing w:before="55"/>
              <w:ind w:right="301"/>
              <w:jc w:val="right"/>
              <w:rPr>
                <w:sz w:val="24"/>
              </w:rPr>
            </w:pPr>
            <w:r>
              <w:rPr>
                <w:sz w:val="24"/>
              </w:rPr>
              <w:t>0.275 ± 0.004ª</w:t>
            </w:r>
          </w:p>
        </w:tc>
        <w:tc>
          <w:tcPr>
            <w:tcW w:w="942" w:type="dxa"/>
            <w:tcBorders>
              <w:top w:val="nil"/>
              <w:left w:val="nil"/>
              <w:bottom w:val="nil"/>
              <w:right w:val="nil"/>
            </w:tcBorders>
          </w:tcPr>
          <w:p>
            <w:pPr>
              <w:pStyle w:val="TableParagraph"/>
              <w:spacing w:before="55"/>
              <w:ind w:left="175" w:right="186"/>
              <w:rPr>
                <w:sz w:val="24"/>
              </w:rPr>
            </w:pPr>
            <w:r>
              <w:rPr>
                <w:sz w:val="24"/>
              </w:rPr>
              <w:t>0.950</w:t>
            </w:r>
          </w:p>
        </w:tc>
      </w:tr>
      <w:tr>
        <w:trPr>
          <w:trHeight w:val="481" w:hRule="exact"/>
        </w:trPr>
        <w:tc>
          <w:tcPr>
            <w:tcW w:w="2041" w:type="dxa"/>
            <w:tcBorders>
              <w:top w:val="nil"/>
              <w:left w:val="nil"/>
              <w:bottom w:val="single" w:sz="4" w:space="0" w:color="000000"/>
              <w:right w:val="nil"/>
            </w:tcBorders>
          </w:tcPr>
          <w:p>
            <w:pPr/>
          </w:p>
        </w:tc>
        <w:tc>
          <w:tcPr>
            <w:tcW w:w="874" w:type="dxa"/>
            <w:tcBorders>
              <w:top w:val="nil"/>
              <w:left w:val="nil"/>
              <w:bottom w:val="single" w:sz="4" w:space="0" w:color="000000"/>
              <w:right w:val="nil"/>
            </w:tcBorders>
          </w:tcPr>
          <w:p>
            <w:pPr>
              <w:pStyle w:val="TableParagraph"/>
              <w:spacing w:before="55"/>
              <w:ind w:left="148" w:right="145"/>
              <w:rPr>
                <w:sz w:val="24"/>
              </w:rPr>
            </w:pPr>
            <w:r>
              <w:rPr>
                <w:sz w:val="24"/>
              </w:rPr>
              <w:t>0.765</w:t>
            </w:r>
          </w:p>
        </w:tc>
        <w:tc>
          <w:tcPr>
            <w:tcW w:w="2095" w:type="dxa"/>
            <w:tcBorders>
              <w:top w:val="nil"/>
              <w:left w:val="nil"/>
              <w:bottom w:val="single" w:sz="4" w:space="0" w:color="000000"/>
              <w:right w:val="nil"/>
            </w:tcBorders>
          </w:tcPr>
          <w:p>
            <w:pPr>
              <w:pStyle w:val="TableParagraph"/>
              <w:spacing w:before="55"/>
              <w:ind w:left="292"/>
              <w:jc w:val="left"/>
              <w:rPr>
                <w:sz w:val="24"/>
              </w:rPr>
            </w:pPr>
            <w:r>
              <w:rPr>
                <w:sz w:val="24"/>
              </w:rPr>
              <w:t>0.647 ± 0.015ª</w:t>
            </w:r>
          </w:p>
        </w:tc>
        <w:tc>
          <w:tcPr>
            <w:tcW w:w="759" w:type="dxa"/>
            <w:tcBorders>
              <w:top w:val="nil"/>
              <w:left w:val="nil"/>
              <w:bottom w:val="single" w:sz="4" w:space="0" w:color="000000"/>
              <w:right w:val="nil"/>
            </w:tcBorders>
          </w:tcPr>
          <w:p>
            <w:pPr>
              <w:pStyle w:val="TableParagraph"/>
              <w:spacing w:before="55"/>
              <w:ind w:left="33" w:right="145"/>
              <w:rPr>
                <w:sz w:val="24"/>
              </w:rPr>
            </w:pPr>
            <w:r>
              <w:rPr>
                <w:sz w:val="24"/>
              </w:rPr>
              <w:t>0.975</w:t>
            </w:r>
          </w:p>
        </w:tc>
        <w:tc>
          <w:tcPr>
            <w:tcW w:w="1994" w:type="dxa"/>
            <w:tcBorders>
              <w:top w:val="nil"/>
              <w:left w:val="nil"/>
              <w:bottom w:val="single" w:sz="4" w:space="0" w:color="000000"/>
              <w:right w:val="nil"/>
            </w:tcBorders>
          </w:tcPr>
          <w:p>
            <w:pPr>
              <w:pStyle w:val="TableParagraph"/>
              <w:spacing w:before="55"/>
              <w:ind w:right="301"/>
              <w:jc w:val="right"/>
              <w:rPr>
                <w:sz w:val="24"/>
              </w:rPr>
            </w:pPr>
            <w:r>
              <w:rPr>
                <w:sz w:val="24"/>
              </w:rPr>
              <w:t>0.281 ± 0.005ª</w:t>
            </w:r>
          </w:p>
        </w:tc>
        <w:tc>
          <w:tcPr>
            <w:tcW w:w="942" w:type="dxa"/>
            <w:tcBorders>
              <w:top w:val="nil"/>
              <w:left w:val="nil"/>
              <w:bottom w:val="single" w:sz="4" w:space="0" w:color="000000"/>
              <w:right w:val="nil"/>
            </w:tcBorders>
          </w:tcPr>
          <w:p>
            <w:pPr>
              <w:pStyle w:val="TableParagraph"/>
              <w:spacing w:before="55"/>
              <w:ind w:left="175" w:right="186"/>
              <w:rPr>
                <w:sz w:val="24"/>
              </w:rPr>
            </w:pPr>
            <w:r>
              <w:rPr>
                <w:sz w:val="24"/>
              </w:rPr>
              <w:t>0.959</w:t>
            </w:r>
          </w:p>
        </w:tc>
      </w:tr>
      <w:tr>
        <w:trPr>
          <w:trHeight w:val="346" w:hRule="exact"/>
        </w:trPr>
        <w:tc>
          <w:tcPr>
            <w:tcW w:w="2041" w:type="dxa"/>
            <w:tcBorders>
              <w:top w:val="single" w:sz="4" w:space="0" w:color="000000"/>
              <w:left w:val="nil"/>
              <w:bottom w:val="nil"/>
              <w:right w:val="nil"/>
            </w:tcBorders>
          </w:tcPr>
          <w:p>
            <w:pPr/>
          </w:p>
        </w:tc>
        <w:tc>
          <w:tcPr>
            <w:tcW w:w="874" w:type="dxa"/>
            <w:tcBorders>
              <w:top w:val="single" w:sz="4" w:space="0" w:color="000000"/>
              <w:left w:val="nil"/>
              <w:bottom w:val="nil"/>
              <w:right w:val="nil"/>
            </w:tcBorders>
          </w:tcPr>
          <w:p>
            <w:pPr>
              <w:pStyle w:val="TableParagraph"/>
              <w:spacing w:line="273" w:lineRule="exact" w:before="0"/>
              <w:ind w:left="148" w:right="145"/>
              <w:rPr>
                <w:sz w:val="24"/>
              </w:rPr>
            </w:pPr>
            <w:r>
              <w:rPr>
                <w:sz w:val="24"/>
              </w:rPr>
              <w:t>0.108</w:t>
            </w:r>
          </w:p>
        </w:tc>
        <w:tc>
          <w:tcPr>
            <w:tcW w:w="2095" w:type="dxa"/>
            <w:tcBorders>
              <w:top w:val="single" w:sz="4" w:space="0" w:color="000000"/>
              <w:left w:val="nil"/>
              <w:bottom w:val="nil"/>
              <w:right w:val="nil"/>
            </w:tcBorders>
          </w:tcPr>
          <w:p>
            <w:pPr>
              <w:pStyle w:val="TableParagraph"/>
              <w:spacing w:line="273" w:lineRule="exact" w:before="0"/>
              <w:ind w:left="288"/>
              <w:jc w:val="left"/>
              <w:rPr>
                <w:sz w:val="16"/>
              </w:rPr>
            </w:pPr>
            <w:r>
              <w:rPr>
                <w:sz w:val="24"/>
              </w:rPr>
              <w:t>2.043 ± 0.045</w:t>
            </w:r>
            <w:r>
              <w:rPr>
                <w:position w:val="9"/>
                <w:sz w:val="16"/>
              </w:rPr>
              <w:t>e</w:t>
            </w:r>
          </w:p>
        </w:tc>
        <w:tc>
          <w:tcPr>
            <w:tcW w:w="759" w:type="dxa"/>
            <w:tcBorders>
              <w:top w:val="single" w:sz="4" w:space="0" w:color="000000"/>
              <w:left w:val="nil"/>
              <w:bottom w:val="nil"/>
              <w:right w:val="nil"/>
            </w:tcBorders>
          </w:tcPr>
          <w:p>
            <w:pPr>
              <w:pStyle w:val="TableParagraph"/>
              <w:spacing w:line="273" w:lineRule="exact" w:before="0"/>
              <w:ind w:left="33" w:right="145"/>
              <w:rPr>
                <w:sz w:val="24"/>
              </w:rPr>
            </w:pPr>
            <w:r>
              <w:rPr>
                <w:sz w:val="24"/>
              </w:rPr>
              <w:t>0.986</w:t>
            </w:r>
          </w:p>
        </w:tc>
        <w:tc>
          <w:tcPr>
            <w:tcW w:w="1994" w:type="dxa"/>
            <w:tcBorders>
              <w:top w:val="single" w:sz="4" w:space="0" w:color="000000"/>
              <w:left w:val="nil"/>
              <w:bottom w:val="nil"/>
              <w:right w:val="nil"/>
            </w:tcBorders>
          </w:tcPr>
          <w:p>
            <w:pPr>
              <w:pStyle w:val="TableParagraph"/>
              <w:spacing w:line="273" w:lineRule="exact" w:before="0"/>
              <w:ind w:right="300"/>
              <w:jc w:val="right"/>
              <w:rPr>
                <w:sz w:val="16"/>
              </w:rPr>
            </w:pPr>
            <w:r>
              <w:rPr>
                <w:sz w:val="24"/>
              </w:rPr>
              <w:t>0.593 ± 0.012</w:t>
            </w:r>
            <w:r>
              <w:rPr>
                <w:position w:val="9"/>
                <w:sz w:val="16"/>
              </w:rPr>
              <w:t>e</w:t>
            </w:r>
          </w:p>
        </w:tc>
        <w:tc>
          <w:tcPr>
            <w:tcW w:w="942" w:type="dxa"/>
            <w:tcBorders>
              <w:top w:val="single" w:sz="4" w:space="0" w:color="000000"/>
              <w:left w:val="nil"/>
              <w:bottom w:val="nil"/>
              <w:right w:val="nil"/>
            </w:tcBorders>
          </w:tcPr>
          <w:p>
            <w:pPr>
              <w:pStyle w:val="TableParagraph"/>
              <w:spacing w:line="273" w:lineRule="exact" w:before="0"/>
              <w:ind w:left="175" w:right="186"/>
              <w:rPr>
                <w:sz w:val="24"/>
              </w:rPr>
            </w:pPr>
            <w:r>
              <w:rPr>
                <w:sz w:val="24"/>
              </w:rPr>
              <w:t>0.994</w:t>
            </w:r>
          </w:p>
        </w:tc>
      </w:tr>
      <w:tr>
        <w:trPr>
          <w:trHeight w:val="413" w:hRule="exact"/>
        </w:trPr>
        <w:tc>
          <w:tcPr>
            <w:tcW w:w="2041" w:type="dxa"/>
            <w:tcBorders>
              <w:top w:val="nil"/>
              <w:left w:val="nil"/>
              <w:bottom w:val="nil"/>
              <w:right w:val="nil"/>
            </w:tcBorders>
          </w:tcPr>
          <w:p>
            <w:pPr/>
          </w:p>
        </w:tc>
        <w:tc>
          <w:tcPr>
            <w:tcW w:w="874" w:type="dxa"/>
            <w:tcBorders>
              <w:top w:val="nil"/>
              <w:left w:val="nil"/>
              <w:bottom w:val="nil"/>
              <w:right w:val="nil"/>
            </w:tcBorders>
          </w:tcPr>
          <w:p>
            <w:pPr>
              <w:pStyle w:val="TableParagraph"/>
              <w:spacing w:before="69"/>
              <w:ind w:left="148" w:right="145"/>
              <w:rPr>
                <w:sz w:val="24"/>
              </w:rPr>
            </w:pPr>
            <w:r>
              <w:rPr>
                <w:sz w:val="24"/>
              </w:rPr>
              <w:t>0.318</w:t>
            </w:r>
          </w:p>
        </w:tc>
        <w:tc>
          <w:tcPr>
            <w:tcW w:w="2095" w:type="dxa"/>
            <w:tcBorders>
              <w:top w:val="nil"/>
              <w:left w:val="nil"/>
              <w:bottom w:val="nil"/>
              <w:right w:val="nil"/>
            </w:tcBorders>
          </w:tcPr>
          <w:p>
            <w:pPr>
              <w:pStyle w:val="TableParagraph"/>
              <w:spacing w:before="53"/>
              <w:ind w:left="283"/>
              <w:jc w:val="left"/>
              <w:rPr>
                <w:sz w:val="16"/>
              </w:rPr>
            </w:pPr>
            <w:r>
              <w:rPr>
                <w:sz w:val="24"/>
              </w:rPr>
              <w:t>1.840 ± 0.025</w:t>
            </w:r>
            <w:r>
              <w:rPr>
                <w:position w:val="9"/>
                <w:sz w:val="16"/>
              </w:rPr>
              <w:t>d</w:t>
            </w:r>
          </w:p>
        </w:tc>
        <w:tc>
          <w:tcPr>
            <w:tcW w:w="759" w:type="dxa"/>
            <w:tcBorders>
              <w:top w:val="nil"/>
              <w:left w:val="nil"/>
              <w:bottom w:val="nil"/>
              <w:right w:val="nil"/>
            </w:tcBorders>
          </w:tcPr>
          <w:p>
            <w:pPr>
              <w:pStyle w:val="TableParagraph"/>
              <w:spacing w:before="69"/>
              <w:ind w:left="33" w:right="145"/>
              <w:rPr>
                <w:sz w:val="24"/>
              </w:rPr>
            </w:pPr>
            <w:r>
              <w:rPr>
                <w:sz w:val="24"/>
              </w:rPr>
              <w:t>0.994</w:t>
            </w:r>
          </w:p>
        </w:tc>
        <w:tc>
          <w:tcPr>
            <w:tcW w:w="1994" w:type="dxa"/>
            <w:tcBorders>
              <w:top w:val="nil"/>
              <w:left w:val="nil"/>
              <w:bottom w:val="nil"/>
              <w:right w:val="nil"/>
            </w:tcBorders>
          </w:tcPr>
          <w:p>
            <w:pPr>
              <w:pStyle w:val="TableParagraph"/>
              <w:spacing w:before="53"/>
              <w:ind w:right="296"/>
              <w:jc w:val="right"/>
              <w:rPr>
                <w:sz w:val="16"/>
              </w:rPr>
            </w:pPr>
            <w:r>
              <w:rPr>
                <w:sz w:val="24"/>
              </w:rPr>
              <w:t>0.518 ± 0.008</w:t>
            </w:r>
            <w:r>
              <w:rPr>
                <w:position w:val="9"/>
                <w:sz w:val="16"/>
              </w:rPr>
              <w:t>d</w:t>
            </w:r>
          </w:p>
        </w:tc>
        <w:tc>
          <w:tcPr>
            <w:tcW w:w="942" w:type="dxa"/>
            <w:tcBorders>
              <w:top w:val="nil"/>
              <w:left w:val="nil"/>
              <w:bottom w:val="nil"/>
              <w:right w:val="nil"/>
            </w:tcBorders>
          </w:tcPr>
          <w:p>
            <w:pPr>
              <w:pStyle w:val="TableParagraph"/>
              <w:spacing w:before="69"/>
              <w:ind w:left="175" w:right="186"/>
              <w:rPr>
                <w:sz w:val="24"/>
              </w:rPr>
            </w:pPr>
            <w:r>
              <w:rPr>
                <w:sz w:val="24"/>
              </w:rPr>
              <w:t>0.995</w:t>
            </w:r>
          </w:p>
        </w:tc>
      </w:tr>
      <w:tr>
        <w:trPr>
          <w:trHeight w:val="426" w:hRule="exact"/>
        </w:trPr>
        <w:tc>
          <w:tcPr>
            <w:tcW w:w="2041" w:type="dxa"/>
            <w:tcBorders>
              <w:top w:val="nil"/>
              <w:left w:val="nil"/>
              <w:bottom w:val="nil"/>
              <w:right w:val="nil"/>
            </w:tcBorders>
          </w:tcPr>
          <w:p>
            <w:pPr>
              <w:pStyle w:val="TableParagraph"/>
              <w:spacing w:before="68"/>
              <w:ind w:left="151" w:right="147"/>
              <w:rPr>
                <w:sz w:val="24"/>
              </w:rPr>
            </w:pPr>
            <w:r>
              <w:rPr>
                <w:sz w:val="24"/>
              </w:rPr>
              <w:t>35</w:t>
            </w:r>
          </w:p>
        </w:tc>
        <w:tc>
          <w:tcPr>
            <w:tcW w:w="874" w:type="dxa"/>
            <w:tcBorders>
              <w:top w:val="nil"/>
              <w:left w:val="nil"/>
              <w:bottom w:val="nil"/>
              <w:right w:val="nil"/>
            </w:tcBorders>
          </w:tcPr>
          <w:p>
            <w:pPr>
              <w:pStyle w:val="TableParagraph"/>
              <w:spacing w:before="68"/>
              <w:ind w:left="148" w:right="145"/>
              <w:rPr>
                <w:sz w:val="24"/>
              </w:rPr>
            </w:pPr>
            <w:r>
              <w:rPr>
                <w:sz w:val="24"/>
              </w:rPr>
              <w:t>0.515</w:t>
            </w:r>
          </w:p>
        </w:tc>
        <w:tc>
          <w:tcPr>
            <w:tcW w:w="2095" w:type="dxa"/>
            <w:tcBorders>
              <w:top w:val="nil"/>
              <w:left w:val="nil"/>
              <w:bottom w:val="nil"/>
              <w:right w:val="nil"/>
            </w:tcBorders>
          </w:tcPr>
          <w:p>
            <w:pPr>
              <w:pStyle w:val="TableParagraph"/>
              <w:spacing w:before="53"/>
              <w:ind w:left="288"/>
              <w:jc w:val="left"/>
              <w:rPr>
                <w:sz w:val="16"/>
              </w:rPr>
            </w:pPr>
            <w:r>
              <w:rPr>
                <w:sz w:val="24"/>
              </w:rPr>
              <w:t>1.339 ± 0.033</w:t>
            </w:r>
            <w:r>
              <w:rPr>
                <w:position w:val="9"/>
                <w:sz w:val="16"/>
              </w:rPr>
              <w:t>c</w:t>
            </w:r>
          </w:p>
        </w:tc>
        <w:tc>
          <w:tcPr>
            <w:tcW w:w="759" w:type="dxa"/>
            <w:tcBorders>
              <w:top w:val="nil"/>
              <w:left w:val="nil"/>
              <w:bottom w:val="nil"/>
              <w:right w:val="nil"/>
            </w:tcBorders>
          </w:tcPr>
          <w:p>
            <w:pPr>
              <w:pStyle w:val="TableParagraph"/>
              <w:spacing w:before="68"/>
              <w:ind w:left="33" w:right="145"/>
              <w:rPr>
                <w:sz w:val="24"/>
              </w:rPr>
            </w:pPr>
            <w:r>
              <w:rPr>
                <w:sz w:val="24"/>
              </w:rPr>
              <w:t>0.993</w:t>
            </w:r>
          </w:p>
        </w:tc>
        <w:tc>
          <w:tcPr>
            <w:tcW w:w="1994" w:type="dxa"/>
            <w:tcBorders>
              <w:top w:val="nil"/>
              <w:left w:val="nil"/>
              <w:bottom w:val="nil"/>
              <w:right w:val="nil"/>
            </w:tcBorders>
          </w:tcPr>
          <w:p>
            <w:pPr>
              <w:pStyle w:val="TableParagraph"/>
              <w:spacing w:before="53"/>
              <w:ind w:right="300"/>
              <w:jc w:val="right"/>
              <w:rPr>
                <w:sz w:val="16"/>
              </w:rPr>
            </w:pPr>
            <w:r>
              <w:rPr>
                <w:sz w:val="24"/>
              </w:rPr>
              <w:t>0.383 ± 0.010</w:t>
            </w:r>
            <w:r>
              <w:rPr>
                <w:position w:val="9"/>
                <w:sz w:val="16"/>
              </w:rPr>
              <w:t>c</w:t>
            </w:r>
          </w:p>
        </w:tc>
        <w:tc>
          <w:tcPr>
            <w:tcW w:w="942" w:type="dxa"/>
            <w:tcBorders>
              <w:top w:val="nil"/>
              <w:left w:val="nil"/>
              <w:bottom w:val="nil"/>
              <w:right w:val="nil"/>
            </w:tcBorders>
          </w:tcPr>
          <w:p>
            <w:pPr>
              <w:pStyle w:val="TableParagraph"/>
              <w:spacing w:before="68"/>
              <w:ind w:left="175" w:right="186"/>
              <w:rPr>
                <w:sz w:val="24"/>
              </w:rPr>
            </w:pPr>
            <w:r>
              <w:rPr>
                <w:sz w:val="24"/>
              </w:rPr>
              <w:t>0.970</w:t>
            </w:r>
          </w:p>
        </w:tc>
      </w:tr>
      <w:tr>
        <w:trPr>
          <w:trHeight w:val="402" w:hRule="exact"/>
        </w:trPr>
        <w:tc>
          <w:tcPr>
            <w:tcW w:w="2041" w:type="dxa"/>
            <w:tcBorders>
              <w:top w:val="nil"/>
              <w:left w:val="nil"/>
              <w:bottom w:val="nil"/>
              <w:right w:val="nil"/>
            </w:tcBorders>
          </w:tcPr>
          <w:p>
            <w:pPr/>
          </w:p>
        </w:tc>
        <w:tc>
          <w:tcPr>
            <w:tcW w:w="874" w:type="dxa"/>
            <w:tcBorders>
              <w:top w:val="nil"/>
              <w:left w:val="nil"/>
              <w:bottom w:val="nil"/>
              <w:right w:val="nil"/>
            </w:tcBorders>
          </w:tcPr>
          <w:p>
            <w:pPr>
              <w:pStyle w:val="TableParagraph"/>
              <w:spacing w:before="55"/>
              <w:ind w:left="148" w:right="145"/>
              <w:rPr>
                <w:sz w:val="24"/>
              </w:rPr>
            </w:pPr>
            <w:r>
              <w:rPr>
                <w:sz w:val="24"/>
              </w:rPr>
              <w:t>0.628</w:t>
            </w:r>
          </w:p>
        </w:tc>
        <w:tc>
          <w:tcPr>
            <w:tcW w:w="2095" w:type="dxa"/>
            <w:tcBorders>
              <w:top w:val="nil"/>
              <w:left w:val="nil"/>
              <w:bottom w:val="nil"/>
              <w:right w:val="nil"/>
            </w:tcBorders>
          </w:tcPr>
          <w:p>
            <w:pPr>
              <w:pStyle w:val="TableParagraph"/>
              <w:spacing w:before="55"/>
              <w:ind w:left="292"/>
              <w:jc w:val="left"/>
              <w:rPr>
                <w:sz w:val="24"/>
              </w:rPr>
            </w:pPr>
            <w:r>
              <w:rPr>
                <w:sz w:val="24"/>
              </w:rPr>
              <w:t>1.093 ± 0.027ª</w:t>
            </w:r>
          </w:p>
        </w:tc>
        <w:tc>
          <w:tcPr>
            <w:tcW w:w="759" w:type="dxa"/>
            <w:tcBorders>
              <w:top w:val="nil"/>
              <w:left w:val="nil"/>
              <w:bottom w:val="nil"/>
              <w:right w:val="nil"/>
            </w:tcBorders>
          </w:tcPr>
          <w:p>
            <w:pPr>
              <w:pStyle w:val="TableParagraph"/>
              <w:spacing w:before="55"/>
              <w:ind w:left="33" w:right="145"/>
              <w:rPr>
                <w:sz w:val="24"/>
              </w:rPr>
            </w:pPr>
            <w:r>
              <w:rPr>
                <w:sz w:val="24"/>
              </w:rPr>
              <w:t>0.986</w:t>
            </w:r>
          </w:p>
        </w:tc>
        <w:tc>
          <w:tcPr>
            <w:tcW w:w="1994" w:type="dxa"/>
            <w:tcBorders>
              <w:top w:val="nil"/>
              <w:left w:val="nil"/>
              <w:bottom w:val="nil"/>
              <w:right w:val="nil"/>
            </w:tcBorders>
          </w:tcPr>
          <w:p>
            <w:pPr>
              <w:pStyle w:val="TableParagraph"/>
              <w:spacing w:before="55"/>
              <w:ind w:right="301"/>
              <w:jc w:val="right"/>
              <w:rPr>
                <w:sz w:val="24"/>
              </w:rPr>
            </w:pPr>
            <w:r>
              <w:rPr>
                <w:sz w:val="24"/>
              </w:rPr>
              <w:t>0.309 ± 0.009ª</w:t>
            </w:r>
          </w:p>
        </w:tc>
        <w:tc>
          <w:tcPr>
            <w:tcW w:w="942" w:type="dxa"/>
            <w:tcBorders>
              <w:top w:val="nil"/>
              <w:left w:val="nil"/>
              <w:bottom w:val="nil"/>
              <w:right w:val="nil"/>
            </w:tcBorders>
          </w:tcPr>
          <w:p>
            <w:pPr>
              <w:pStyle w:val="TableParagraph"/>
              <w:spacing w:before="55"/>
              <w:ind w:left="175" w:right="186"/>
              <w:rPr>
                <w:sz w:val="24"/>
              </w:rPr>
            </w:pPr>
            <w:r>
              <w:rPr>
                <w:sz w:val="24"/>
              </w:rPr>
              <w:t>0.950</w:t>
            </w:r>
          </w:p>
        </w:tc>
      </w:tr>
      <w:tr>
        <w:trPr>
          <w:trHeight w:val="496" w:hRule="exact"/>
        </w:trPr>
        <w:tc>
          <w:tcPr>
            <w:tcW w:w="2041" w:type="dxa"/>
            <w:tcBorders>
              <w:top w:val="nil"/>
              <w:left w:val="nil"/>
              <w:bottom w:val="single" w:sz="4" w:space="0" w:color="000000"/>
              <w:right w:val="nil"/>
            </w:tcBorders>
          </w:tcPr>
          <w:p>
            <w:pPr/>
          </w:p>
        </w:tc>
        <w:tc>
          <w:tcPr>
            <w:tcW w:w="874" w:type="dxa"/>
            <w:tcBorders>
              <w:top w:val="nil"/>
              <w:left w:val="nil"/>
              <w:bottom w:val="single" w:sz="4" w:space="0" w:color="000000"/>
              <w:right w:val="nil"/>
            </w:tcBorders>
          </w:tcPr>
          <w:p>
            <w:pPr>
              <w:pStyle w:val="TableParagraph"/>
              <w:spacing w:before="70"/>
              <w:ind w:left="148" w:right="145"/>
              <w:rPr>
                <w:sz w:val="24"/>
              </w:rPr>
            </w:pPr>
            <w:r>
              <w:rPr>
                <w:sz w:val="24"/>
              </w:rPr>
              <w:t>0.743</w:t>
            </w:r>
          </w:p>
        </w:tc>
        <w:tc>
          <w:tcPr>
            <w:tcW w:w="2095" w:type="dxa"/>
            <w:tcBorders>
              <w:top w:val="nil"/>
              <w:left w:val="nil"/>
              <w:bottom w:val="single" w:sz="4" w:space="0" w:color="000000"/>
              <w:right w:val="nil"/>
            </w:tcBorders>
          </w:tcPr>
          <w:p>
            <w:pPr>
              <w:pStyle w:val="TableParagraph"/>
              <w:spacing w:before="55"/>
              <w:ind w:left="283"/>
              <w:jc w:val="left"/>
              <w:rPr>
                <w:sz w:val="16"/>
              </w:rPr>
            </w:pPr>
            <w:r>
              <w:rPr>
                <w:sz w:val="24"/>
              </w:rPr>
              <w:t>1.230 ± 0.018</w:t>
            </w:r>
            <w:r>
              <w:rPr>
                <w:position w:val="9"/>
                <w:sz w:val="16"/>
              </w:rPr>
              <w:t>b</w:t>
            </w:r>
          </w:p>
        </w:tc>
        <w:tc>
          <w:tcPr>
            <w:tcW w:w="759" w:type="dxa"/>
            <w:tcBorders>
              <w:top w:val="nil"/>
              <w:left w:val="nil"/>
              <w:bottom w:val="single" w:sz="4" w:space="0" w:color="000000"/>
              <w:right w:val="nil"/>
            </w:tcBorders>
          </w:tcPr>
          <w:p>
            <w:pPr>
              <w:pStyle w:val="TableParagraph"/>
              <w:spacing w:before="70"/>
              <w:ind w:left="33" w:right="145"/>
              <w:rPr>
                <w:sz w:val="24"/>
              </w:rPr>
            </w:pPr>
            <w:r>
              <w:rPr>
                <w:sz w:val="24"/>
              </w:rPr>
              <w:t>0.995</w:t>
            </w:r>
          </w:p>
        </w:tc>
        <w:tc>
          <w:tcPr>
            <w:tcW w:w="1994" w:type="dxa"/>
            <w:tcBorders>
              <w:top w:val="nil"/>
              <w:left w:val="nil"/>
              <w:bottom w:val="single" w:sz="4" w:space="0" w:color="000000"/>
              <w:right w:val="nil"/>
            </w:tcBorders>
          </w:tcPr>
          <w:p>
            <w:pPr>
              <w:pStyle w:val="TableParagraph"/>
              <w:spacing w:before="55"/>
              <w:ind w:right="296"/>
              <w:jc w:val="right"/>
              <w:rPr>
                <w:sz w:val="16"/>
              </w:rPr>
            </w:pPr>
            <w:r>
              <w:rPr>
                <w:sz w:val="24"/>
              </w:rPr>
              <w:t>0.340 ± 0.007</w:t>
            </w:r>
            <w:r>
              <w:rPr>
                <w:position w:val="9"/>
                <w:sz w:val="16"/>
              </w:rPr>
              <w:t>b</w:t>
            </w:r>
          </w:p>
        </w:tc>
        <w:tc>
          <w:tcPr>
            <w:tcW w:w="942" w:type="dxa"/>
            <w:tcBorders>
              <w:top w:val="nil"/>
              <w:left w:val="nil"/>
              <w:bottom w:val="single" w:sz="4" w:space="0" w:color="000000"/>
              <w:right w:val="nil"/>
            </w:tcBorders>
          </w:tcPr>
          <w:p>
            <w:pPr>
              <w:pStyle w:val="TableParagraph"/>
              <w:spacing w:before="70"/>
              <w:ind w:left="175" w:right="186"/>
              <w:rPr>
                <w:sz w:val="24"/>
              </w:rPr>
            </w:pPr>
            <w:r>
              <w:rPr>
                <w:sz w:val="24"/>
              </w:rPr>
              <w:t>0.955</w:t>
            </w:r>
          </w:p>
        </w:tc>
      </w:tr>
      <w:tr>
        <w:trPr>
          <w:trHeight w:val="342" w:hRule="exact"/>
        </w:trPr>
        <w:tc>
          <w:tcPr>
            <w:tcW w:w="2041" w:type="dxa"/>
            <w:tcBorders>
              <w:top w:val="single" w:sz="4" w:space="0" w:color="000000"/>
              <w:left w:val="nil"/>
              <w:bottom w:val="nil"/>
              <w:right w:val="nil"/>
            </w:tcBorders>
          </w:tcPr>
          <w:p>
            <w:pPr/>
          </w:p>
        </w:tc>
        <w:tc>
          <w:tcPr>
            <w:tcW w:w="874" w:type="dxa"/>
            <w:tcBorders>
              <w:top w:val="single" w:sz="4" w:space="0" w:color="000000"/>
              <w:left w:val="nil"/>
              <w:bottom w:val="nil"/>
              <w:right w:val="nil"/>
            </w:tcBorders>
          </w:tcPr>
          <w:p>
            <w:pPr>
              <w:pStyle w:val="TableParagraph"/>
              <w:spacing w:line="268" w:lineRule="exact" w:before="0"/>
              <w:ind w:left="148" w:right="145"/>
              <w:rPr>
                <w:sz w:val="24"/>
              </w:rPr>
            </w:pPr>
            <w:r>
              <w:rPr>
                <w:sz w:val="24"/>
              </w:rPr>
              <w:t>0.105</w:t>
            </w:r>
          </w:p>
        </w:tc>
        <w:tc>
          <w:tcPr>
            <w:tcW w:w="2095" w:type="dxa"/>
            <w:tcBorders>
              <w:top w:val="single" w:sz="4" w:space="0" w:color="000000"/>
              <w:left w:val="nil"/>
              <w:bottom w:val="nil"/>
              <w:right w:val="nil"/>
            </w:tcBorders>
          </w:tcPr>
          <w:p>
            <w:pPr>
              <w:pStyle w:val="TableParagraph"/>
              <w:spacing w:line="268" w:lineRule="exact" w:before="0"/>
              <w:ind w:left="288"/>
              <w:jc w:val="left"/>
              <w:rPr>
                <w:sz w:val="16"/>
              </w:rPr>
            </w:pPr>
            <w:r>
              <w:rPr>
                <w:sz w:val="24"/>
              </w:rPr>
              <w:t>2.541 ± 0.046</w:t>
            </w:r>
            <w:r>
              <w:rPr>
                <w:position w:val="9"/>
                <w:sz w:val="16"/>
              </w:rPr>
              <w:t>e</w:t>
            </w:r>
          </w:p>
        </w:tc>
        <w:tc>
          <w:tcPr>
            <w:tcW w:w="759" w:type="dxa"/>
            <w:tcBorders>
              <w:top w:val="single" w:sz="4" w:space="0" w:color="000000"/>
              <w:left w:val="nil"/>
              <w:bottom w:val="nil"/>
              <w:right w:val="nil"/>
            </w:tcBorders>
          </w:tcPr>
          <w:p>
            <w:pPr>
              <w:pStyle w:val="TableParagraph"/>
              <w:spacing w:line="268" w:lineRule="exact" w:before="0"/>
              <w:ind w:left="33" w:right="145"/>
              <w:rPr>
                <w:sz w:val="24"/>
              </w:rPr>
            </w:pPr>
            <w:r>
              <w:rPr>
                <w:sz w:val="24"/>
              </w:rPr>
              <w:t>0.993</w:t>
            </w:r>
          </w:p>
        </w:tc>
        <w:tc>
          <w:tcPr>
            <w:tcW w:w="1994" w:type="dxa"/>
            <w:tcBorders>
              <w:top w:val="single" w:sz="4" w:space="0" w:color="000000"/>
              <w:left w:val="nil"/>
              <w:bottom w:val="nil"/>
              <w:right w:val="nil"/>
            </w:tcBorders>
          </w:tcPr>
          <w:p>
            <w:pPr>
              <w:pStyle w:val="TableParagraph"/>
              <w:spacing w:line="268" w:lineRule="exact" w:before="0"/>
              <w:ind w:right="300"/>
              <w:jc w:val="right"/>
              <w:rPr>
                <w:sz w:val="16"/>
              </w:rPr>
            </w:pPr>
            <w:r>
              <w:rPr>
                <w:sz w:val="24"/>
              </w:rPr>
              <w:t>0.846 ± 0.015</w:t>
            </w:r>
            <w:r>
              <w:rPr>
                <w:position w:val="9"/>
                <w:sz w:val="16"/>
              </w:rPr>
              <w:t>e</w:t>
            </w:r>
          </w:p>
        </w:tc>
        <w:tc>
          <w:tcPr>
            <w:tcW w:w="942" w:type="dxa"/>
            <w:tcBorders>
              <w:top w:val="single" w:sz="4" w:space="0" w:color="000000"/>
              <w:left w:val="nil"/>
              <w:bottom w:val="nil"/>
              <w:right w:val="nil"/>
            </w:tcBorders>
          </w:tcPr>
          <w:p>
            <w:pPr>
              <w:pStyle w:val="TableParagraph"/>
              <w:spacing w:line="268" w:lineRule="exact" w:before="0"/>
              <w:ind w:left="175" w:right="186"/>
              <w:rPr>
                <w:sz w:val="24"/>
              </w:rPr>
            </w:pPr>
            <w:r>
              <w:rPr>
                <w:sz w:val="24"/>
              </w:rPr>
              <w:t>0.988</w:t>
            </w:r>
          </w:p>
        </w:tc>
      </w:tr>
      <w:tr>
        <w:trPr>
          <w:trHeight w:val="413" w:hRule="exact"/>
        </w:trPr>
        <w:tc>
          <w:tcPr>
            <w:tcW w:w="2041" w:type="dxa"/>
            <w:tcBorders>
              <w:top w:val="nil"/>
              <w:left w:val="nil"/>
              <w:bottom w:val="nil"/>
              <w:right w:val="nil"/>
            </w:tcBorders>
          </w:tcPr>
          <w:p>
            <w:pPr/>
          </w:p>
        </w:tc>
        <w:tc>
          <w:tcPr>
            <w:tcW w:w="874" w:type="dxa"/>
            <w:tcBorders>
              <w:top w:val="nil"/>
              <w:left w:val="nil"/>
              <w:bottom w:val="nil"/>
              <w:right w:val="nil"/>
            </w:tcBorders>
          </w:tcPr>
          <w:p>
            <w:pPr>
              <w:pStyle w:val="TableParagraph"/>
              <w:spacing w:before="68"/>
              <w:ind w:left="148" w:right="145"/>
              <w:rPr>
                <w:sz w:val="24"/>
              </w:rPr>
            </w:pPr>
            <w:r>
              <w:rPr>
                <w:sz w:val="24"/>
              </w:rPr>
              <w:t>0.313</w:t>
            </w:r>
          </w:p>
        </w:tc>
        <w:tc>
          <w:tcPr>
            <w:tcW w:w="2095" w:type="dxa"/>
            <w:tcBorders>
              <w:top w:val="nil"/>
              <w:left w:val="nil"/>
              <w:bottom w:val="nil"/>
              <w:right w:val="nil"/>
            </w:tcBorders>
          </w:tcPr>
          <w:p>
            <w:pPr>
              <w:pStyle w:val="TableParagraph"/>
              <w:spacing w:before="53"/>
              <w:ind w:left="283"/>
              <w:jc w:val="left"/>
              <w:rPr>
                <w:sz w:val="16"/>
              </w:rPr>
            </w:pPr>
            <w:r>
              <w:rPr>
                <w:sz w:val="24"/>
              </w:rPr>
              <w:t>2.274 ± 0.057</w:t>
            </w:r>
            <w:r>
              <w:rPr>
                <w:position w:val="9"/>
                <w:sz w:val="16"/>
              </w:rPr>
              <w:t>d</w:t>
            </w:r>
          </w:p>
        </w:tc>
        <w:tc>
          <w:tcPr>
            <w:tcW w:w="759" w:type="dxa"/>
            <w:tcBorders>
              <w:top w:val="nil"/>
              <w:left w:val="nil"/>
              <w:bottom w:val="nil"/>
              <w:right w:val="nil"/>
            </w:tcBorders>
          </w:tcPr>
          <w:p>
            <w:pPr>
              <w:pStyle w:val="TableParagraph"/>
              <w:spacing w:before="68"/>
              <w:ind w:left="33" w:right="145"/>
              <w:rPr>
                <w:sz w:val="24"/>
              </w:rPr>
            </w:pPr>
            <w:r>
              <w:rPr>
                <w:sz w:val="24"/>
              </w:rPr>
              <w:t>0.994</w:t>
            </w:r>
          </w:p>
        </w:tc>
        <w:tc>
          <w:tcPr>
            <w:tcW w:w="1994" w:type="dxa"/>
            <w:tcBorders>
              <w:top w:val="nil"/>
              <w:left w:val="nil"/>
              <w:bottom w:val="nil"/>
              <w:right w:val="nil"/>
            </w:tcBorders>
          </w:tcPr>
          <w:p>
            <w:pPr>
              <w:pStyle w:val="TableParagraph"/>
              <w:spacing w:before="53"/>
              <w:ind w:right="296"/>
              <w:jc w:val="right"/>
              <w:rPr>
                <w:sz w:val="16"/>
              </w:rPr>
            </w:pPr>
            <w:r>
              <w:rPr>
                <w:sz w:val="24"/>
              </w:rPr>
              <w:t>0.725 ± 0.017</w:t>
            </w:r>
            <w:r>
              <w:rPr>
                <w:position w:val="9"/>
                <w:sz w:val="16"/>
              </w:rPr>
              <w:t>d</w:t>
            </w:r>
          </w:p>
        </w:tc>
        <w:tc>
          <w:tcPr>
            <w:tcW w:w="942" w:type="dxa"/>
            <w:tcBorders>
              <w:top w:val="nil"/>
              <w:left w:val="nil"/>
              <w:bottom w:val="nil"/>
              <w:right w:val="nil"/>
            </w:tcBorders>
          </w:tcPr>
          <w:p>
            <w:pPr>
              <w:pStyle w:val="TableParagraph"/>
              <w:spacing w:before="68"/>
              <w:ind w:left="175" w:right="186"/>
              <w:rPr>
                <w:sz w:val="24"/>
              </w:rPr>
            </w:pPr>
            <w:r>
              <w:rPr>
                <w:sz w:val="24"/>
              </w:rPr>
              <w:t>0.992</w:t>
            </w:r>
          </w:p>
        </w:tc>
      </w:tr>
      <w:tr>
        <w:trPr>
          <w:trHeight w:val="428" w:hRule="exact"/>
        </w:trPr>
        <w:tc>
          <w:tcPr>
            <w:tcW w:w="2041" w:type="dxa"/>
            <w:tcBorders>
              <w:top w:val="nil"/>
              <w:left w:val="nil"/>
              <w:bottom w:val="nil"/>
              <w:right w:val="nil"/>
            </w:tcBorders>
          </w:tcPr>
          <w:p>
            <w:pPr>
              <w:pStyle w:val="TableParagraph"/>
              <w:spacing w:before="68"/>
              <w:ind w:left="151" w:right="147"/>
              <w:rPr>
                <w:sz w:val="24"/>
              </w:rPr>
            </w:pPr>
            <w:r>
              <w:rPr>
                <w:sz w:val="24"/>
              </w:rPr>
              <w:t>40</w:t>
            </w:r>
          </w:p>
        </w:tc>
        <w:tc>
          <w:tcPr>
            <w:tcW w:w="874" w:type="dxa"/>
            <w:tcBorders>
              <w:top w:val="nil"/>
              <w:left w:val="nil"/>
              <w:bottom w:val="nil"/>
              <w:right w:val="nil"/>
            </w:tcBorders>
          </w:tcPr>
          <w:p>
            <w:pPr>
              <w:pStyle w:val="TableParagraph"/>
              <w:spacing w:before="68"/>
              <w:ind w:left="148" w:right="145"/>
              <w:rPr>
                <w:sz w:val="24"/>
              </w:rPr>
            </w:pPr>
            <w:r>
              <w:rPr>
                <w:sz w:val="24"/>
              </w:rPr>
              <w:t>0.506</w:t>
            </w:r>
          </w:p>
        </w:tc>
        <w:tc>
          <w:tcPr>
            <w:tcW w:w="2095" w:type="dxa"/>
            <w:tcBorders>
              <w:top w:val="nil"/>
              <w:left w:val="nil"/>
              <w:bottom w:val="nil"/>
              <w:right w:val="nil"/>
            </w:tcBorders>
          </w:tcPr>
          <w:p>
            <w:pPr>
              <w:pStyle w:val="TableParagraph"/>
              <w:spacing w:before="53"/>
              <w:ind w:left="288"/>
              <w:jc w:val="left"/>
              <w:rPr>
                <w:sz w:val="16"/>
              </w:rPr>
            </w:pPr>
            <w:r>
              <w:rPr>
                <w:sz w:val="24"/>
              </w:rPr>
              <w:t>1.946 ± 0.039</w:t>
            </w:r>
            <w:r>
              <w:rPr>
                <w:position w:val="9"/>
                <w:sz w:val="16"/>
              </w:rPr>
              <w:t>c</w:t>
            </w:r>
          </w:p>
        </w:tc>
        <w:tc>
          <w:tcPr>
            <w:tcW w:w="759" w:type="dxa"/>
            <w:tcBorders>
              <w:top w:val="nil"/>
              <w:left w:val="nil"/>
              <w:bottom w:val="nil"/>
              <w:right w:val="nil"/>
            </w:tcBorders>
          </w:tcPr>
          <w:p>
            <w:pPr>
              <w:pStyle w:val="TableParagraph"/>
              <w:spacing w:before="68"/>
              <w:ind w:left="33" w:right="145"/>
              <w:rPr>
                <w:sz w:val="24"/>
              </w:rPr>
            </w:pPr>
            <w:r>
              <w:rPr>
                <w:sz w:val="24"/>
              </w:rPr>
              <w:t>0.993</w:t>
            </w:r>
          </w:p>
        </w:tc>
        <w:tc>
          <w:tcPr>
            <w:tcW w:w="1994" w:type="dxa"/>
            <w:tcBorders>
              <w:top w:val="nil"/>
              <w:left w:val="nil"/>
              <w:bottom w:val="nil"/>
              <w:right w:val="nil"/>
            </w:tcBorders>
          </w:tcPr>
          <w:p>
            <w:pPr>
              <w:pStyle w:val="TableParagraph"/>
              <w:spacing w:before="53"/>
              <w:ind w:right="300"/>
              <w:jc w:val="right"/>
              <w:rPr>
                <w:sz w:val="16"/>
              </w:rPr>
            </w:pPr>
            <w:r>
              <w:rPr>
                <w:sz w:val="24"/>
              </w:rPr>
              <w:t>0.558 ± 0.012</w:t>
            </w:r>
            <w:r>
              <w:rPr>
                <w:position w:val="9"/>
                <w:sz w:val="16"/>
              </w:rPr>
              <w:t>c</w:t>
            </w:r>
          </w:p>
        </w:tc>
        <w:tc>
          <w:tcPr>
            <w:tcW w:w="942" w:type="dxa"/>
            <w:tcBorders>
              <w:top w:val="nil"/>
              <w:left w:val="nil"/>
              <w:bottom w:val="nil"/>
              <w:right w:val="nil"/>
            </w:tcBorders>
          </w:tcPr>
          <w:p>
            <w:pPr>
              <w:pStyle w:val="TableParagraph"/>
              <w:spacing w:before="68"/>
              <w:ind w:left="175" w:right="186"/>
              <w:rPr>
                <w:sz w:val="24"/>
              </w:rPr>
            </w:pPr>
            <w:r>
              <w:rPr>
                <w:sz w:val="24"/>
              </w:rPr>
              <w:t>0.965</w:t>
            </w:r>
          </w:p>
        </w:tc>
      </w:tr>
      <w:tr>
        <w:trPr>
          <w:trHeight w:val="402" w:hRule="exact"/>
        </w:trPr>
        <w:tc>
          <w:tcPr>
            <w:tcW w:w="2041" w:type="dxa"/>
            <w:tcBorders>
              <w:top w:val="nil"/>
              <w:left w:val="nil"/>
              <w:bottom w:val="nil"/>
              <w:right w:val="nil"/>
            </w:tcBorders>
          </w:tcPr>
          <w:p>
            <w:pPr/>
          </w:p>
        </w:tc>
        <w:tc>
          <w:tcPr>
            <w:tcW w:w="874" w:type="dxa"/>
            <w:tcBorders>
              <w:top w:val="nil"/>
              <w:left w:val="nil"/>
              <w:bottom w:val="nil"/>
              <w:right w:val="nil"/>
            </w:tcBorders>
          </w:tcPr>
          <w:p>
            <w:pPr>
              <w:pStyle w:val="TableParagraph"/>
              <w:spacing w:before="58"/>
              <w:ind w:left="148" w:right="145"/>
              <w:rPr>
                <w:sz w:val="24"/>
              </w:rPr>
            </w:pPr>
            <w:r>
              <w:rPr>
                <w:sz w:val="24"/>
              </w:rPr>
              <w:t>0.614</w:t>
            </w:r>
          </w:p>
        </w:tc>
        <w:tc>
          <w:tcPr>
            <w:tcW w:w="2095" w:type="dxa"/>
            <w:tcBorders>
              <w:top w:val="nil"/>
              <w:left w:val="nil"/>
              <w:bottom w:val="nil"/>
              <w:right w:val="nil"/>
            </w:tcBorders>
          </w:tcPr>
          <w:p>
            <w:pPr>
              <w:pStyle w:val="TableParagraph"/>
              <w:spacing w:before="58"/>
              <w:ind w:left="292"/>
              <w:jc w:val="left"/>
              <w:rPr>
                <w:sz w:val="24"/>
              </w:rPr>
            </w:pPr>
            <w:r>
              <w:rPr>
                <w:sz w:val="24"/>
              </w:rPr>
              <w:t>1.528 ± 0.034ª</w:t>
            </w:r>
          </w:p>
        </w:tc>
        <w:tc>
          <w:tcPr>
            <w:tcW w:w="759" w:type="dxa"/>
            <w:tcBorders>
              <w:top w:val="nil"/>
              <w:left w:val="nil"/>
              <w:bottom w:val="nil"/>
              <w:right w:val="nil"/>
            </w:tcBorders>
          </w:tcPr>
          <w:p>
            <w:pPr>
              <w:pStyle w:val="TableParagraph"/>
              <w:spacing w:before="58"/>
              <w:ind w:left="33" w:right="145"/>
              <w:rPr>
                <w:sz w:val="24"/>
              </w:rPr>
            </w:pPr>
            <w:r>
              <w:rPr>
                <w:sz w:val="24"/>
              </w:rPr>
              <w:t>0.998</w:t>
            </w:r>
          </w:p>
        </w:tc>
        <w:tc>
          <w:tcPr>
            <w:tcW w:w="1994" w:type="dxa"/>
            <w:tcBorders>
              <w:top w:val="nil"/>
              <w:left w:val="nil"/>
              <w:bottom w:val="nil"/>
              <w:right w:val="nil"/>
            </w:tcBorders>
          </w:tcPr>
          <w:p>
            <w:pPr>
              <w:pStyle w:val="TableParagraph"/>
              <w:spacing w:before="58"/>
              <w:ind w:right="301"/>
              <w:jc w:val="right"/>
              <w:rPr>
                <w:sz w:val="24"/>
              </w:rPr>
            </w:pPr>
            <w:r>
              <w:rPr>
                <w:sz w:val="24"/>
              </w:rPr>
              <w:t>0.405 ± 0.013ª</w:t>
            </w:r>
          </w:p>
        </w:tc>
        <w:tc>
          <w:tcPr>
            <w:tcW w:w="942" w:type="dxa"/>
            <w:tcBorders>
              <w:top w:val="nil"/>
              <w:left w:val="nil"/>
              <w:bottom w:val="nil"/>
              <w:right w:val="nil"/>
            </w:tcBorders>
          </w:tcPr>
          <w:p>
            <w:pPr>
              <w:pStyle w:val="TableParagraph"/>
              <w:spacing w:before="58"/>
              <w:ind w:left="175" w:right="186"/>
              <w:rPr>
                <w:sz w:val="24"/>
              </w:rPr>
            </w:pPr>
            <w:r>
              <w:rPr>
                <w:sz w:val="24"/>
              </w:rPr>
              <w:t>0.971</w:t>
            </w:r>
          </w:p>
        </w:tc>
      </w:tr>
      <w:tr>
        <w:trPr>
          <w:trHeight w:val="499" w:hRule="exact"/>
        </w:trPr>
        <w:tc>
          <w:tcPr>
            <w:tcW w:w="2041" w:type="dxa"/>
            <w:tcBorders>
              <w:top w:val="nil"/>
              <w:left w:val="nil"/>
              <w:right w:val="nil"/>
            </w:tcBorders>
          </w:tcPr>
          <w:p>
            <w:pPr/>
          </w:p>
        </w:tc>
        <w:tc>
          <w:tcPr>
            <w:tcW w:w="874" w:type="dxa"/>
            <w:tcBorders>
              <w:top w:val="nil"/>
              <w:left w:val="nil"/>
              <w:right w:val="nil"/>
            </w:tcBorders>
          </w:tcPr>
          <w:p>
            <w:pPr>
              <w:pStyle w:val="TableParagraph"/>
              <w:spacing w:before="68"/>
              <w:ind w:left="148" w:right="145"/>
              <w:rPr>
                <w:sz w:val="24"/>
              </w:rPr>
            </w:pPr>
            <w:r>
              <w:rPr>
                <w:sz w:val="24"/>
              </w:rPr>
              <w:t>0.734</w:t>
            </w:r>
          </w:p>
        </w:tc>
        <w:tc>
          <w:tcPr>
            <w:tcW w:w="2095" w:type="dxa"/>
            <w:tcBorders>
              <w:top w:val="nil"/>
              <w:left w:val="nil"/>
              <w:right w:val="nil"/>
            </w:tcBorders>
          </w:tcPr>
          <w:p>
            <w:pPr>
              <w:pStyle w:val="TableParagraph"/>
              <w:spacing w:before="53"/>
              <w:ind w:left="283"/>
              <w:jc w:val="left"/>
              <w:rPr>
                <w:sz w:val="16"/>
              </w:rPr>
            </w:pPr>
            <w:r>
              <w:rPr>
                <w:sz w:val="24"/>
              </w:rPr>
              <w:t>1.710 ± 0.026</w:t>
            </w:r>
            <w:r>
              <w:rPr>
                <w:position w:val="9"/>
                <w:sz w:val="16"/>
              </w:rPr>
              <w:t>b</w:t>
            </w:r>
          </w:p>
        </w:tc>
        <w:tc>
          <w:tcPr>
            <w:tcW w:w="759" w:type="dxa"/>
            <w:tcBorders>
              <w:top w:val="nil"/>
              <w:left w:val="nil"/>
              <w:right w:val="nil"/>
            </w:tcBorders>
          </w:tcPr>
          <w:p>
            <w:pPr>
              <w:pStyle w:val="TableParagraph"/>
              <w:spacing w:before="68"/>
              <w:ind w:left="33" w:right="145"/>
              <w:rPr>
                <w:sz w:val="24"/>
              </w:rPr>
            </w:pPr>
            <w:r>
              <w:rPr>
                <w:sz w:val="24"/>
              </w:rPr>
              <w:t>0.985</w:t>
            </w:r>
          </w:p>
        </w:tc>
        <w:tc>
          <w:tcPr>
            <w:tcW w:w="1994" w:type="dxa"/>
            <w:tcBorders>
              <w:top w:val="nil"/>
              <w:left w:val="nil"/>
              <w:right w:val="nil"/>
            </w:tcBorders>
          </w:tcPr>
          <w:p>
            <w:pPr>
              <w:pStyle w:val="TableParagraph"/>
              <w:spacing w:before="53"/>
              <w:ind w:right="296"/>
              <w:jc w:val="right"/>
              <w:rPr>
                <w:sz w:val="16"/>
              </w:rPr>
            </w:pPr>
            <w:r>
              <w:rPr>
                <w:sz w:val="24"/>
              </w:rPr>
              <w:t>0.480 ± 0.010</w:t>
            </w:r>
            <w:r>
              <w:rPr>
                <w:position w:val="9"/>
                <w:sz w:val="16"/>
              </w:rPr>
              <w:t>b</w:t>
            </w:r>
          </w:p>
        </w:tc>
        <w:tc>
          <w:tcPr>
            <w:tcW w:w="942" w:type="dxa"/>
            <w:tcBorders>
              <w:top w:val="nil"/>
              <w:left w:val="nil"/>
              <w:right w:val="nil"/>
            </w:tcBorders>
          </w:tcPr>
          <w:p>
            <w:pPr>
              <w:pStyle w:val="TableParagraph"/>
              <w:spacing w:before="68"/>
              <w:ind w:left="175" w:right="186"/>
              <w:rPr>
                <w:sz w:val="24"/>
              </w:rPr>
            </w:pPr>
            <w:r>
              <w:rPr>
                <w:sz w:val="24"/>
              </w:rPr>
              <w:t>0.958</w:t>
            </w:r>
          </w:p>
        </w:tc>
      </w:tr>
    </w:tbl>
    <w:p>
      <w:pPr>
        <w:spacing w:line="360" w:lineRule="auto" w:before="0"/>
        <w:ind w:left="2784" w:right="352" w:hanging="2493"/>
        <w:jc w:val="left"/>
        <w:rPr>
          <w:sz w:val="20"/>
        </w:rPr>
      </w:pPr>
      <w:r>
        <w:rPr>
          <w:sz w:val="20"/>
        </w:rPr>
        <w:t>Values are means ± standard error, of three replicates. Superscripts with different letters in same column indicate significant differences (P ≤ 0.05).</w:t>
      </w:r>
    </w:p>
    <w:p>
      <w:pPr>
        <w:spacing w:after="0" w:line="360" w:lineRule="auto"/>
        <w:jc w:val="left"/>
        <w:rPr>
          <w:sz w:val="20"/>
        </w:rPr>
        <w:sectPr>
          <w:pgSz w:w="11900" w:h="16840"/>
          <w:pgMar w:header="0" w:footer="1370" w:top="1580" w:bottom="1560" w:left="1480" w:right="1400"/>
        </w:sectPr>
      </w:pPr>
    </w:p>
    <w:p>
      <w:pPr>
        <w:pStyle w:val="BodyText"/>
        <w:spacing w:before="54"/>
        <w:ind w:left="2170" w:right="652"/>
      </w:pPr>
      <w:r>
        <w:rPr>
          <w:b/>
        </w:rPr>
        <w:t>Table 5. </w:t>
      </w:r>
      <w:r>
        <w:rPr/>
        <w:t>Estimated activation energies (kJ/mol K).</w:t>
      </w:r>
    </w:p>
    <w:p>
      <w:pPr>
        <w:pStyle w:val="BodyText"/>
        <w:spacing w:before="6" w:after="1"/>
        <w:rPr>
          <w:sz w:val="12"/>
        </w:rPr>
      </w:pPr>
    </w:p>
    <w:tbl>
      <w:tblPr>
        <w:tblW w:w="0" w:type="auto"/>
        <w:jc w:val="left"/>
        <w:tblInd w:w="14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853"/>
        <w:gridCol w:w="1632"/>
        <w:gridCol w:w="2940"/>
      </w:tblGrid>
      <w:tr>
        <w:trPr>
          <w:trHeight w:val="437" w:hRule="exact"/>
        </w:trPr>
        <w:tc>
          <w:tcPr>
            <w:tcW w:w="1853" w:type="dxa"/>
            <w:tcBorders>
              <w:left w:val="nil"/>
              <w:right w:val="nil"/>
            </w:tcBorders>
          </w:tcPr>
          <w:p>
            <w:pPr>
              <w:pStyle w:val="TableParagraph"/>
              <w:spacing w:line="270" w:lineRule="exact" w:before="0"/>
              <w:ind w:left="142" w:right="143"/>
              <w:rPr>
                <w:i/>
                <w:sz w:val="16"/>
              </w:rPr>
            </w:pPr>
            <w:r>
              <w:rPr>
                <w:i/>
                <w:position w:val="2"/>
                <w:sz w:val="24"/>
              </w:rPr>
              <w:t>a</w:t>
            </w:r>
            <w:r>
              <w:rPr>
                <w:i/>
                <w:sz w:val="16"/>
              </w:rPr>
              <w:t>w</w:t>
            </w:r>
          </w:p>
        </w:tc>
        <w:tc>
          <w:tcPr>
            <w:tcW w:w="1632" w:type="dxa"/>
            <w:tcBorders>
              <w:left w:val="nil"/>
              <w:right w:val="nil"/>
            </w:tcBorders>
          </w:tcPr>
          <w:p>
            <w:pPr>
              <w:pStyle w:val="TableParagraph"/>
              <w:spacing w:line="268" w:lineRule="exact" w:before="0"/>
              <w:ind w:left="150" w:right="150"/>
              <w:rPr>
                <w:sz w:val="24"/>
              </w:rPr>
            </w:pPr>
            <w:r>
              <w:rPr>
                <w:sz w:val="24"/>
              </w:rPr>
              <w:t>Bulk chia oil</w:t>
            </w:r>
          </w:p>
        </w:tc>
        <w:tc>
          <w:tcPr>
            <w:tcW w:w="2940" w:type="dxa"/>
            <w:tcBorders>
              <w:left w:val="nil"/>
              <w:right w:val="nil"/>
            </w:tcBorders>
          </w:tcPr>
          <w:p>
            <w:pPr>
              <w:pStyle w:val="TableParagraph"/>
              <w:spacing w:line="268" w:lineRule="exact" w:before="0"/>
              <w:ind w:left="148" w:right="153"/>
              <w:rPr>
                <w:sz w:val="24"/>
              </w:rPr>
            </w:pPr>
            <w:r>
              <w:rPr>
                <w:sz w:val="24"/>
              </w:rPr>
              <w:t>Microencapsulated chia oil</w:t>
            </w:r>
          </w:p>
        </w:tc>
      </w:tr>
      <w:tr>
        <w:trPr>
          <w:trHeight w:val="346" w:hRule="exact"/>
        </w:trPr>
        <w:tc>
          <w:tcPr>
            <w:tcW w:w="1853" w:type="dxa"/>
            <w:tcBorders>
              <w:left w:val="nil"/>
              <w:bottom w:val="nil"/>
              <w:right w:val="nil"/>
            </w:tcBorders>
          </w:tcPr>
          <w:p>
            <w:pPr>
              <w:pStyle w:val="TableParagraph"/>
              <w:spacing w:line="268" w:lineRule="exact" w:before="0"/>
              <w:ind w:left="142" w:right="138"/>
              <w:rPr>
                <w:sz w:val="16"/>
              </w:rPr>
            </w:pPr>
            <w:r>
              <w:rPr>
                <w:sz w:val="24"/>
              </w:rPr>
              <w:t>0.110 ± 0.050</w:t>
            </w:r>
            <w:r>
              <w:rPr>
                <w:position w:val="9"/>
                <w:sz w:val="16"/>
              </w:rPr>
              <w:t>a</w:t>
            </w:r>
          </w:p>
        </w:tc>
        <w:tc>
          <w:tcPr>
            <w:tcW w:w="1632" w:type="dxa"/>
            <w:tcBorders>
              <w:left w:val="nil"/>
              <w:bottom w:val="nil"/>
              <w:right w:val="nil"/>
            </w:tcBorders>
          </w:tcPr>
          <w:p>
            <w:pPr>
              <w:pStyle w:val="TableParagraph"/>
              <w:spacing w:line="268" w:lineRule="exact" w:before="0"/>
              <w:ind w:left="150" w:right="150"/>
              <w:rPr>
                <w:sz w:val="16"/>
              </w:rPr>
            </w:pPr>
            <w:r>
              <w:rPr>
                <w:sz w:val="24"/>
              </w:rPr>
              <w:t>58.02 ± 1.28</w:t>
            </w:r>
            <w:r>
              <w:rPr>
                <w:position w:val="9"/>
                <w:sz w:val="16"/>
              </w:rPr>
              <w:t>c</w:t>
            </w:r>
          </w:p>
        </w:tc>
        <w:tc>
          <w:tcPr>
            <w:tcW w:w="2940" w:type="dxa"/>
            <w:tcBorders>
              <w:left w:val="nil"/>
              <w:bottom w:val="nil"/>
              <w:right w:val="nil"/>
            </w:tcBorders>
          </w:tcPr>
          <w:p>
            <w:pPr>
              <w:pStyle w:val="TableParagraph"/>
              <w:spacing w:line="268" w:lineRule="exact" w:before="0"/>
              <w:ind w:left="148" w:right="149"/>
              <w:rPr>
                <w:sz w:val="16"/>
              </w:rPr>
            </w:pPr>
            <w:r>
              <w:rPr>
                <w:sz w:val="24"/>
              </w:rPr>
              <w:t>46.12 ± 1.05</w:t>
            </w:r>
            <w:r>
              <w:rPr>
                <w:position w:val="9"/>
                <w:sz w:val="16"/>
              </w:rPr>
              <w:t>d</w:t>
            </w:r>
          </w:p>
        </w:tc>
      </w:tr>
      <w:tr>
        <w:trPr>
          <w:trHeight w:val="413" w:hRule="exact"/>
        </w:trPr>
        <w:tc>
          <w:tcPr>
            <w:tcW w:w="1853" w:type="dxa"/>
            <w:tcBorders>
              <w:top w:val="nil"/>
              <w:left w:val="nil"/>
              <w:bottom w:val="nil"/>
              <w:right w:val="nil"/>
            </w:tcBorders>
          </w:tcPr>
          <w:p>
            <w:pPr>
              <w:pStyle w:val="TableParagraph"/>
              <w:spacing w:before="53"/>
              <w:ind w:left="142" w:right="138"/>
              <w:rPr>
                <w:sz w:val="16"/>
              </w:rPr>
            </w:pPr>
            <w:r>
              <w:rPr>
                <w:sz w:val="24"/>
              </w:rPr>
              <w:t>0.321 ± 0.080</w:t>
            </w:r>
            <w:r>
              <w:rPr>
                <w:position w:val="9"/>
                <w:sz w:val="16"/>
              </w:rPr>
              <w:t>b</w:t>
            </w:r>
          </w:p>
        </w:tc>
        <w:tc>
          <w:tcPr>
            <w:tcW w:w="1632" w:type="dxa"/>
            <w:tcBorders>
              <w:top w:val="nil"/>
              <w:left w:val="nil"/>
              <w:bottom w:val="nil"/>
              <w:right w:val="nil"/>
            </w:tcBorders>
          </w:tcPr>
          <w:p>
            <w:pPr>
              <w:pStyle w:val="TableParagraph"/>
              <w:spacing w:before="53"/>
              <w:ind w:left="150" w:right="150"/>
              <w:rPr>
                <w:sz w:val="16"/>
              </w:rPr>
            </w:pPr>
            <w:r>
              <w:rPr>
                <w:sz w:val="24"/>
              </w:rPr>
              <w:t>56.28 ± 1.41</w:t>
            </w:r>
            <w:r>
              <w:rPr>
                <w:position w:val="9"/>
                <w:sz w:val="16"/>
              </w:rPr>
              <w:t>c</w:t>
            </w:r>
          </w:p>
        </w:tc>
        <w:tc>
          <w:tcPr>
            <w:tcW w:w="2940" w:type="dxa"/>
            <w:tcBorders>
              <w:top w:val="nil"/>
              <w:left w:val="nil"/>
              <w:bottom w:val="nil"/>
              <w:right w:val="nil"/>
            </w:tcBorders>
          </w:tcPr>
          <w:p>
            <w:pPr>
              <w:pStyle w:val="TableParagraph"/>
              <w:spacing w:before="53"/>
              <w:ind w:left="148" w:right="148"/>
              <w:rPr>
                <w:sz w:val="16"/>
              </w:rPr>
            </w:pPr>
            <w:r>
              <w:rPr>
                <w:sz w:val="24"/>
              </w:rPr>
              <w:t>38.91 ± 0.86</w:t>
            </w:r>
            <w:r>
              <w:rPr>
                <w:position w:val="9"/>
                <w:sz w:val="16"/>
              </w:rPr>
              <w:t>c</w:t>
            </w:r>
          </w:p>
        </w:tc>
      </w:tr>
      <w:tr>
        <w:trPr>
          <w:trHeight w:val="415" w:hRule="exact"/>
        </w:trPr>
        <w:tc>
          <w:tcPr>
            <w:tcW w:w="1853" w:type="dxa"/>
            <w:tcBorders>
              <w:top w:val="nil"/>
              <w:left w:val="nil"/>
              <w:bottom w:val="nil"/>
              <w:right w:val="nil"/>
            </w:tcBorders>
          </w:tcPr>
          <w:p>
            <w:pPr>
              <w:pStyle w:val="TableParagraph"/>
              <w:spacing w:before="53"/>
              <w:ind w:left="142" w:right="138"/>
              <w:rPr>
                <w:sz w:val="16"/>
              </w:rPr>
            </w:pPr>
            <w:r>
              <w:rPr>
                <w:sz w:val="24"/>
              </w:rPr>
              <w:t>0.521 ± 0.015</w:t>
            </w:r>
            <w:r>
              <w:rPr>
                <w:position w:val="9"/>
                <w:sz w:val="16"/>
              </w:rPr>
              <w:t>c</w:t>
            </w:r>
          </w:p>
        </w:tc>
        <w:tc>
          <w:tcPr>
            <w:tcW w:w="1632" w:type="dxa"/>
            <w:tcBorders>
              <w:top w:val="nil"/>
              <w:left w:val="nil"/>
              <w:bottom w:val="nil"/>
              <w:right w:val="nil"/>
            </w:tcBorders>
          </w:tcPr>
          <w:p>
            <w:pPr>
              <w:pStyle w:val="TableParagraph"/>
              <w:spacing w:before="53"/>
              <w:ind w:left="150" w:right="150"/>
              <w:rPr>
                <w:sz w:val="16"/>
              </w:rPr>
            </w:pPr>
            <w:r>
              <w:rPr>
                <w:sz w:val="24"/>
              </w:rPr>
              <w:t>50.87 ± 1.02</w:t>
            </w:r>
            <w:r>
              <w:rPr>
                <w:position w:val="9"/>
                <w:sz w:val="16"/>
              </w:rPr>
              <w:t>b</w:t>
            </w:r>
          </w:p>
        </w:tc>
        <w:tc>
          <w:tcPr>
            <w:tcW w:w="2940" w:type="dxa"/>
            <w:tcBorders>
              <w:top w:val="nil"/>
              <w:left w:val="nil"/>
              <w:bottom w:val="nil"/>
              <w:right w:val="nil"/>
            </w:tcBorders>
          </w:tcPr>
          <w:p>
            <w:pPr>
              <w:pStyle w:val="TableParagraph"/>
              <w:spacing w:before="53"/>
              <w:ind w:left="148" w:right="149"/>
              <w:rPr>
                <w:sz w:val="16"/>
              </w:rPr>
            </w:pPr>
            <w:r>
              <w:rPr>
                <w:sz w:val="24"/>
              </w:rPr>
              <w:t>26.09 ± 0.62</w:t>
            </w:r>
            <w:r>
              <w:rPr>
                <w:position w:val="9"/>
                <w:sz w:val="16"/>
              </w:rPr>
              <w:t>b</w:t>
            </w:r>
          </w:p>
        </w:tc>
      </w:tr>
      <w:tr>
        <w:trPr>
          <w:trHeight w:val="415" w:hRule="exact"/>
        </w:trPr>
        <w:tc>
          <w:tcPr>
            <w:tcW w:w="1853" w:type="dxa"/>
            <w:tcBorders>
              <w:top w:val="nil"/>
              <w:left w:val="nil"/>
              <w:bottom w:val="nil"/>
              <w:right w:val="nil"/>
            </w:tcBorders>
          </w:tcPr>
          <w:p>
            <w:pPr>
              <w:pStyle w:val="TableParagraph"/>
              <w:spacing w:before="55"/>
              <w:ind w:left="142" w:right="146"/>
              <w:rPr>
                <w:sz w:val="16"/>
              </w:rPr>
            </w:pPr>
            <w:r>
              <w:rPr>
                <w:sz w:val="24"/>
              </w:rPr>
              <w:t>0.634 ± 0.020</w:t>
            </w:r>
            <w:r>
              <w:rPr>
                <w:position w:val="9"/>
                <w:sz w:val="16"/>
              </w:rPr>
              <w:t>c,d</w:t>
            </w:r>
          </w:p>
        </w:tc>
        <w:tc>
          <w:tcPr>
            <w:tcW w:w="1632" w:type="dxa"/>
            <w:tcBorders>
              <w:top w:val="nil"/>
              <w:left w:val="nil"/>
              <w:bottom w:val="nil"/>
              <w:right w:val="nil"/>
            </w:tcBorders>
          </w:tcPr>
          <w:p>
            <w:pPr>
              <w:pStyle w:val="TableParagraph"/>
              <w:spacing w:before="70"/>
              <w:ind w:left="150" w:right="145"/>
              <w:rPr>
                <w:sz w:val="24"/>
              </w:rPr>
            </w:pPr>
            <w:r>
              <w:rPr>
                <w:sz w:val="24"/>
              </w:rPr>
              <w:t>46.46 ± 1.30ª</w:t>
            </w:r>
          </w:p>
        </w:tc>
        <w:tc>
          <w:tcPr>
            <w:tcW w:w="2940" w:type="dxa"/>
            <w:tcBorders>
              <w:top w:val="nil"/>
              <w:left w:val="nil"/>
              <w:bottom w:val="nil"/>
              <w:right w:val="nil"/>
            </w:tcBorders>
          </w:tcPr>
          <w:p>
            <w:pPr>
              <w:pStyle w:val="TableParagraph"/>
              <w:spacing w:before="70"/>
              <w:ind w:left="148" w:right="145"/>
              <w:rPr>
                <w:sz w:val="24"/>
              </w:rPr>
            </w:pPr>
            <w:r>
              <w:rPr>
                <w:sz w:val="24"/>
              </w:rPr>
              <w:t>18.26 ± 0.51ª</w:t>
            </w:r>
          </w:p>
        </w:tc>
      </w:tr>
      <w:tr>
        <w:trPr>
          <w:trHeight w:val="499" w:hRule="exact"/>
        </w:trPr>
        <w:tc>
          <w:tcPr>
            <w:tcW w:w="1853" w:type="dxa"/>
            <w:tcBorders>
              <w:top w:val="nil"/>
              <w:left w:val="nil"/>
              <w:right w:val="nil"/>
            </w:tcBorders>
          </w:tcPr>
          <w:p>
            <w:pPr>
              <w:pStyle w:val="TableParagraph"/>
              <w:spacing w:before="53"/>
              <w:ind w:left="142" w:right="138"/>
              <w:rPr>
                <w:sz w:val="16"/>
              </w:rPr>
            </w:pPr>
            <w:r>
              <w:rPr>
                <w:sz w:val="24"/>
              </w:rPr>
              <w:t>0.750 ± 0.016</w:t>
            </w:r>
            <w:r>
              <w:rPr>
                <w:position w:val="9"/>
                <w:sz w:val="16"/>
              </w:rPr>
              <w:t>d</w:t>
            </w:r>
          </w:p>
        </w:tc>
        <w:tc>
          <w:tcPr>
            <w:tcW w:w="1632" w:type="dxa"/>
            <w:tcBorders>
              <w:top w:val="nil"/>
              <w:left w:val="nil"/>
              <w:right w:val="nil"/>
            </w:tcBorders>
          </w:tcPr>
          <w:p>
            <w:pPr>
              <w:pStyle w:val="TableParagraph"/>
              <w:spacing w:before="53"/>
              <w:ind w:left="150" w:right="150"/>
              <w:rPr>
                <w:sz w:val="16"/>
              </w:rPr>
            </w:pPr>
            <w:r>
              <w:rPr>
                <w:sz w:val="24"/>
              </w:rPr>
              <w:t>50.11 ± 1.15</w:t>
            </w:r>
            <w:r>
              <w:rPr>
                <w:position w:val="9"/>
                <w:sz w:val="16"/>
              </w:rPr>
              <w:t>b</w:t>
            </w:r>
          </w:p>
        </w:tc>
        <w:tc>
          <w:tcPr>
            <w:tcW w:w="2940" w:type="dxa"/>
            <w:tcBorders>
              <w:top w:val="nil"/>
              <w:left w:val="nil"/>
              <w:right w:val="nil"/>
            </w:tcBorders>
          </w:tcPr>
          <w:p>
            <w:pPr>
              <w:pStyle w:val="TableParagraph"/>
              <w:spacing w:before="53"/>
              <w:ind w:left="148" w:right="149"/>
              <w:rPr>
                <w:sz w:val="16"/>
              </w:rPr>
            </w:pPr>
            <w:r>
              <w:rPr>
                <w:sz w:val="24"/>
              </w:rPr>
              <w:t>25.73 ± 0.72</w:t>
            </w:r>
            <w:r>
              <w:rPr>
                <w:position w:val="9"/>
                <w:sz w:val="16"/>
              </w:rPr>
              <w:t>b</w:t>
            </w:r>
          </w:p>
        </w:tc>
      </w:tr>
    </w:tbl>
    <w:p>
      <w:pPr>
        <w:spacing w:line="360" w:lineRule="auto" w:before="0"/>
        <w:ind w:left="2602" w:right="421" w:hanging="1820"/>
        <w:jc w:val="left"/>
        <w:rPr>
          <w:sz w:val="20"/>
        </w:rPr>
      </w:pPr>
      <w:r>
        <w:rPr>
          <w:sz w:val="20"/>
        </w:rPr>
        <w:t>Values are means ± standard error of three replicates. Superscripts with different letters in same column indicate significant differences (P ≤ 0.05).</w:t>
      </w:r>
    </w:p>
    <w:p>
      <w:pPr>
        <w:spacing w:after="0" w:line="360" w:lineRule="auto"/>
        <w:jc w:val="left"/>
        <w:rPr>
          <w:sz w:val="20"/>
        </w:rPr>
        <w:sectPr>
          <w:pgSz w:w="11900" w:h="16840"/>
          <w:pgMar w:header="0" w:footer="1026" w:top="1360" w:bottom="1220" w:left="1340" w:right="1680"/>
        </w:sectPr>
      </w:pPr>
    </w:p>
    <w:p>
      <w:pPr>
        <w:spacing w:before="58"/>
        <w:ind w:left="100" w:right="0" w:firstLine="0"/>
        <w:jc w:val="both"/>
        <w:rPr>
          <w:b/>
          <w:sz w:val="24"/>
        </w:rPr>
      </w:pPr>
      <w:r>
        <w:rPr>
          <w:b/>
          <w:sz w:val="24"/>
        </w:rPr>
        <w:t>FIGURE CAPTIONS</w:t>
      </w:r>
    </w:p>
    <w:p>
      <w:pPr>
        <w:pStyle w:val="BodyText"/>
        <w:rPr>
          <w:b/>
        </w:rPr>
      </w:pPr>
    </w:p>
    <w:p>
      <w:pPr>
        <w:pStyle w:val="BodyText"/>
        <w:spacing w:before="4"/>
        <w:rPr>
          <w:b/>
          <w:sz w:val="23"/>
        </w:rPr>
      </w:pPr>
    </w:p>
    <w:p>
      <w:pPr>
        <w:pStyle w:val="BodyText"/>
        <w:ind w:left="100"/>
        <w:jc w:val="both"/>
      </w:pPr>
      <w:r>
        <w:rPr/>
        <w:t>Figure 1. Integral entropy of microencapsulated chia oil</w:t>
      </w:r>
    </w:p>
    <w:p>
      <w:pPr>
        <w:pStyle w:val="BodyText"/>
      </w:pPr>
    </w:p>
    <w:p>
      <w:pPr>
        <w:pStyle w:val="BodyText"/>
        <w:spacing w:before="3"/>
      </w:pPr>
    </w:p>
    <w:p>
      <w:pPr>
        <w:pStyle w:val="BodyText"/>
        <w:spacing w:line="360" w:lineRule="auto"/>
        <w:ind w:left="100" w:right="107"/>
        <w:jc w:val="both"/>
      </w:pPr>
      <w:r>
        <w:rPr/>
        <w:t>Figure 2. Variation of </w:t>
      </w:r>
      <w:r>
        <w:rPr>
          <w:i/>
        </w:rPr>
        <w:t>Tg </w:t>
      </w:r>
      <w:r>
        <w:rPr/>
        <w:t>(solid symbols) and equilibrium moisture content (open symbols) with water activity for microencapsulated chia oil. Solid lines and dashed lines correspond to GAB and Gordon-Taylor models fits, respectively.</w:t>
      </w:r>
    </w:p>
    <w:p>
      <w:pPr>
        <w:pStyle w:val="BodyText"/>
      </w:pPr>
    </w:p>
    <w:p>
      <w:pPr>
        <w:pStyle w:val="BodyText"/>
        <w:spacing w:line="357" w:lineRule="auto" w:before="146"/>
        <w:ind w:left="100" w:right="151"/>
      </w:pPr>
      <w:r>
        <w:rPr/>
        <w:t>Figure 3. Scanning electron microscopies </w:t>
      </w:r>
      <w:r>
        <w:rPr>
          <w:spacing w:val="4"/>
        </w:rPr>
        <w:t>of </w:t>
      </w:r>
      <w:r>
        <w:rPr/>
        <w:t>CO </w:t>
      </w:r>
      <w:r>
        <w:rPr>
          <w:spacing w:val="-3"/>
        </w:rPr>
        <w:t>in </w:t>
      </w:r>
      <w:r>
        <w:rPr/>
        <w:t>microcapsules at 35 ºC and different  </w:t>
      </w:r>
      <w:r>
        <w:rPr>
          <w:position w:val="2"/>
        </w:rPr>
        <w:t>water activities: a) </w:t>
      </w:r>
      <w:r>
        <w:rPr>
          <w:i/>
          <w:position w:val="2"/>
        </w:rPr>
        <w:t>a</w:t>
      </w:r>
      <w:r>
        <w:rPr>
          <w:i/>
          <w:sz w:val="16"/>
        </w:rPr>
        <w:t>w </w:t>
      </w:r>
      <w:r>
        <w:rPr>
          <w:position w:val="2"/>
        </w:rPr>
        <w:t>= 0.108; </w:t>
      </w:r>
      <w:r>
        <w:rPr>
          <w:spacing w:val="-3"/>
          <w:position w:val="2"/>
        </w:rPr>
        <w:t>b) </w:t>
      </w:r>
      <w:r>
        <w:rPr>
          <w:i/>
          <w:position w:val="2"/>
        </w:rPr>
        <w:t>a</w:t>
      </w:r>
      <w:r>
        <w:rPr>
          <w:i/>
          <w:sz w:val="16"/>
        </w:rPr>
        <w:t>w </w:t>
      </w:r>
      <w:r>
        <w:rPr>
          <w:position w:val="2"/>
        </w:rPr>
        <w:t>= 0.318; c) </w:t>
      </w:r>
      <w:r>
        <w:rPr>
          <w:i/>
          <w:position w:val="2"/>
        </w:rPr>
        <w:t>a</w:t>
      </w:r>
      <w:r>
        <w:rPr>
          <w:i/>
          <w:sz w:val="16"/>
        </w:rPr>
        <w:t>w  </w:t>
      </w:r>
      <w:r>
        <w:rPr>
          <w:position w:val="2"/>
        </w:rPr>
        <w:t>= 0.628; and d) </w:t>
      </w:r>
      <w:r>
        <w:rPr>
          <w:i/>
          <w:position w:val="2"/>
        </w:rPr>
        <w:t>a</w:t>
      </w:r>
      <w:r>
        <w:rPr>
          <w:i/>
          <w:sz w:val="16"/>
        </w:rPr>
        <w:t>w </w:t>
      </w:r>
      <w:r>
        <w:rPr>
          <w:position w:val="2"/>
        </w:rPr>
        <w:t>=</w:t>
      </w:r>
      <w:r>
        <w:rPr>
          <w:spacing w:val="36"/>
          <w:position w:val="2"/>
        </w:rPr>
        <w:t> </w:t>
      </w:r>
      <w:r>
        <w:rPr>
          <w:position w:val="2"/>
        </w:rPr>
        <w:t>0.743.</w:t>
      </w:r>
    </w:p>
    <w:p>
      <w:pPr>
        <w:pStyle w:val="BodyText"/>
      </w:pPr>
    </w:p>
    <w:p>
      <w:pPr>
        <w:pStyle w:val="BodyText"/>
        <w:spacing w:before="145"/>
        <w:ind w:left="100"/>
        <w:jc w:val="both"/>
      </w:pPr>
      <w:r>
        <w:rPr/>
        <w:t>Figure 4. Lipid oxidation of CO in bulk at: a) 25 ºC; b) 35 ºC; and c) 40 ºC.</w:t>
      </w:r>
    </w:p>
    <w:p>
      <w:pPr>
        <w:pStyle w:val="BodyText"/>
      </w:pPr>
    </w:p>
    <w:p>
      <w:pPr>
        <w:pStyle w:val="BodyText"/>
        <w:spacing w:before="9"/>
        <w:rPr>
          <w:sz w:val="23"/>
        </w:rPr>
      </w:pPr>
    </w:p>
    <w:p>
      <w:pPr>
        <w:pStyle w:val="BodyText"/>
        <w:ind w:left="100"/>
        <w:jc w:val="both"/>
      </w:pPr>
      <w:r>
        <w:rPr/>
        <w:t>Figure 5. Lipid oxidation of CO in microcapsules at: a) 25 ºC; b) 35 ºC; and c) 40 ºC.</w:t>
      </w:r>
    </w:p>
    <w:p>
      <w:pPr>
        <w:spacing w:after="0"/>
        <w:jc w:val="both"/>
        <w:sectPr>
          <w:pgSz w:w="11900" w:h="16840"/>
          <w:pgMar w:header="0" w:footer="1370" w:top="1360" w:bottom="1560" w:left="1340" w:right="1340"/>
        </w:sectPr>
      </w:pPr>
    </w:p>
    <w:p>
      <w:pPr>
        <w:spacing w:before="58"/>
        <w:ind w:left="100" w:right="0" w:firstLine="0"/>
        <w:jc w:val="left"/>
        <w:rPr>
          <w:b/>
          <w:sz w:val="24"/>
        </w:rPr>
      </w:pPr>
      <w:r>
        <w:rPr>
          <w:b/>
          <w:sz w:val="24"/>
        </w:rPr>
        <w:t>FIGURES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7"/>
        </w:rPr>
      </w:pPr>
    </w:p>
    <w:p>
      <w:pPr>
        <w:spacing w:before="76"/>
        <w:ind w:left="1259" w:right="0" w:firstLine="0"/>
        <w:jc w:val="left"/>
        <w:rPr>
          <w:rFonts w:ascii="Arial"/>
          <w:sz w:val="19"/>
        </w:rPr>
      </w:pPr>
      <w:r>
        <w:rPr/>
        <w:pict>
          <v:group style="position:absolute;margin-left:151.038864pt;margin-top:9.579775pt;width:326.45pt;height:242.15pt;mso-position-horizontal-relative:page;mso-position-vertical-relative:paragraph;z-index:2032" coordorigin="3021,192" coordsize="6529,4843">
            <v:shape style="position:absolute;left:11499;top:-28127;width:47117;height:34882" coordorigin="11499,-28127" coordsize="47117,34882" path="m3125,5024l3125,4930m3354,4977l3354,4930m3583,5024l3583,4930m3812,4977l3812,4930m4042,5024l4042,4930m4271,4977l4271,4930m4500,5024l4500,4930m4730,4977l4730,4930m4956,5024l4956,4930m5185,4977l5185,4930m5415,5024l5415,4930m5644,4977l5644,4930m5873,5024l5873,4930m6103,4977l6103,4930m6332,5024l6332,4930m6561,4977l6561,4930m6790,5024l6790,4930m7020,4977l7020,4930m7249,5024l7249,4930m7478,4977l7478,4930m7707,5024l7707,4930m7937,4977l7937,4930m8163,5024l8163,4930m8393,4977l8393,4930m8622,5024l8622,4930m8851,4977l8851,4930m9080,5024l9080,4930m9310,4977l9310,4930m9539,5024l9539,4930m3125,4930l9539,4930m3031,4930l3125,4930m3078,4457l3125,4457m3031,3986l3125,3986m3078,3512l3125,3512m3031,3038l3125,3038m3078,2567l3125,2567m3031,2094l3125,2094m3078,1620l3125,1620m3031,1146l3125,1146m3078,675l3125,675m3031,202l3125,202m3125,4930l3125,202m3125,202l3125,296m3354,202l3354,249m3583,202l3583,296m3812,202l3812,249m4042,202l4042,296m4271,202l4271,249m4500,202l4500,296m4730,202l4730,249m4956,202l4956,296m5185,202l5185,249m5415,202l5415,296m5644,202l5644,249m5873,202l5873,296m6103,202l6103,249m6332,202l6332,296m6561,202l6561,249m6790,202l6790,296m7020,202l7020,249m7249,202l7249,296m7478,202l7478,249m7707,202l7707,296m7937,202l7937,249m8163,202l8163,296m8393,202l8393,249m8622,202l8622,296m8851,202l8851,249m9080,202l9080,296m9310,202l9310,249m9539,202l9539,296m3125,202l9539,202m9539,4930l9445,4930m9539,4457l9492,4457m9539,3986l9445,3986m9539,3512l9492,3512m9539,3038l9445,3038m9539,2567l9492,2567m9539,2094l9445,2094m9539,1620l9492,1620m9539,1146l9445,1146m9539,675l9492,675m9539,202l9445,202m9539,4930l9539,202e" filled="false" stroked="true" strokeweight=".967017pt" strokecolor="#000000">
              <v:path arrowok="t"/>
            </v:shape>
            <v:shape style="position:absolute;left:3579;top:350;width:127;height:111" type="#_x0000_t75" stroked="false">
              <v:imagedata r:id="rId32" o:title=""/>
            </v:shape>
            <v:shape style="position:absolute;left:3742;top:2173;width:127;height:111" type="#_x0000_t75" stroked="false">
              <v:imagedata r:id="rId33" o:title=""/>
            </v:shape>
            <v:shape style="position:absolute;left:3880;top:2929;width:127;height:111" type="#_x0000_t75" stroked="false">
              <v:imagedata r:id="rId33" o:title=""/>
            </v:shape>
            <v:shape style="position:absolute;left:4000;top:3337;width:119;height:103" coordorigin="4000,3337" coordsize="119,103" path="m4061,3337l4000,3440,4119,3440,4061,3337xe" filled="true" fillcolor="#000000" stroked="false">
              <v:path arrowok="t"/>
              <v:fill type="solid"/>
            </v:shape>
            <v:shape style="position:absolute;left:4000;top:3337;width:119;height:103" coordorigin="4000,3337" coordsize="119,103" path="m4061,3337l4119,3440,4000,3440,4061,3337xe" filled="false" stroked="true" strokeweight=".414462pt" strokecolor="#000000">
              <v:path arrowok="t"/>
            </v:shape>
            <v:shape style="position:absolute;left:4105;top:3584;width:119;height:103" coordorigin="4105,3584" coordsize="119,103" path="m4166,3584l4105,3686,4224,3686,4166,3584xe" filled="true" fillcolor="#000000" stroked="false">
              <v:path arrowok="t"/>
              <v:fill type="solid"/>
            </v:shape>
            <v:shape style="position:absolute;left:4105;top:3584;width:119;height:103" coordorigin="4105,3584" coordsize="119,103" path="m4166,3584l4224,3686,4105,3686,4166,3584xe" filled="false" stroked="true" strokeweight=".414461pt" strokecolor="#000000">
              <v:path arrowok="t"/>
            </v:shape>
            <v:shape style="position:absolute;left:4202;top:3745;width:119;height:103" coordorigin="4202,3745" coordsize="119,103" path="m4263,3745l4202,3847,4321,3847,4263,3745xe" filled="true" fillcolor="#000000" stroked="false">
              <v:path arrowok="t"/>
              <v:fill type="solid"/>
            </v:shape>
            <v:shape style="position:absolute;left:4202;top:3745;width:119;height:103" coordorigin="4202,3745" coordsize="119,103" path="m4263,3745l4321,3847,4202,3847,4263,3745xe" filled="false" stroked="true" strokeweight=".414461pt" strokecolor="#000000">
              <v:path arrowok="t"/>
            </v:shape>
            <v:shape style="position:absolute;left:4290;top:3858;width:119;height:103" coordorigin="4290,3858" coordsize="119,103" path="m4351,3858l4290,3961,4409,3961,4351,3858xe" filled="true" fillcolor="#000000" stroked="false">
              <v:path arrowok="t"/>
              <v:fill type="solid"/>
            </v:shape>
            <v:shape style="position:absolute;left:4290;top:3858;width:119;height:103" coordorigin="4290,3858" coordsize="119,103" path="m4351,3858l4409,3961,4290,3961,4351,3858xe" filled="false" stroked="true" strokeweight=".414462pt" strokecolor="#000000">
              <v:path arrowok="t"/>
            </v:shape>
            <v:shape style="position:absolute;left:4376;top:3941;width:119;height:103" coordorigin="4376,3941" coordsize="119,103" path="m4437,3941l4376,4044,4495,4044,4437,3941xe" filled="true" fillcolor="#000000" stroked="false">
              <v:path arrowok="t"/>
              <v:fill type="solid"/>
            </v:shape>
            <v:shape style="position:absolute;left:4376;top:3941;width:119;height:103" coordorigin="4376,3941" coordsize="119,103" path="m4437,3941l4495,4044,4376,4044,4437,3941xe" filled="false" stroked="true" strokeweight=".414461pt" strokecolor="#000000">
              <v:path arrowok="t"/>
            </v:shape>
            <v:shape style="position:absolute;left:4462;top:4008;width:119;height:103" coordorigin="4462,4008" coordsize="119,103" path="m4522,4008l4462,4110,4580,4110,4522,4008xe" filled="true" fillcolor="#000000" stroked="false">
              <v:path arrowok="t"/>
              <v:fill type="solid"/>
            </v:shape>
            <v:shape style="position:absolute;left:4462;top:4008;width:119;height:103" coordorigin="4462,4008" coordsize="119,103" path="m4522,4008l4580,4110,4462,4110,4522,4008xe" filled="false" stroked="true" strokeweight=".414462pt" strokecolor="#000000">
              <v:path arrowok="t"/>
            </v:shape>
            <v:shape style="position:absolute;left:4545;top:4060;width:119;height:103" coordorigin="4545,4060" coordsize="119,103" path="m4605,4060l4545,4163,4663,4163,4605,4060xe" filled="true" fillcolor="#000000" stroked="false">
              <v:path arrowok="t"/>
              <v:fill type="solid"/>
            </v:shape>
            <v:shape style="position:absolute;left:4545;top:4060;width:119;height:103" coordorigin="4545,4060" coordsize="119,103" path="m4605,4060l4663,4163,4545,4163,4605,4060xe" filled="false" stroked="true" strokeweight=".414461pt" strokecolor="#000000">
              <v:path arrowok="t"/>
            </v:shape>
            <v:shape style="position:absolute;left:4633;top:4107;width:119;height:103" coordorigin="4633,4107" coordsize="119,103" path="m4694,4107l4633,4210,4752,4210,4694,4107xe" filled="true" fillcolor="#000000" stroked="false">
              <v:path arrowok="t"/>
              <v:fill type="solid"/>
            </v:shape>
            <v:shape style="position:absolute;left:4633;top:4107;width:119;height:103" coordorigin="4633,4107" coordsize="119,103" path="m4694,4107l4752,4210,4633,4210,4694,4107xe" filled="false" stroked="true" strokeweight=".414461pt" strokecolor="#000000">
              <v:path arrowok="t"/>
            </v:shape>
            <v:shape style="position:absolute;left:4724;top:4149;width:119;height:103" coordorigin="4724,4149" coordsize="119,103" path="m4785,4149l4724,4251,4843,4251,4785,4149xe" filled="true" fillcolor="#000000" stroked="false">
              <v:path arrowok="t"/>
              <v:fill type="solid"/>
            </v:shape>
            <v:shape style="position:absolute;left:4724;top:4149;width:119;height:103" coordorigin="4724,4149" coordsize="119,103" path="m4785,4149l4843,4251,4724,4251,4785,4149xe" filled="false" stroked="true" strokeweight=".414462pt" strokecolor="#000000">
              <v:path arrowok="t"/>
            </v:shape>
            <v:shape style="position:absolute;left:4821;top:4191;width:119;height:103" coordorigin="4821,4191" coordsize="119,103" path="m4882,4191l4821,4293,4940,4293,4882,4191xe" filled="true" fillcolor="#000000" stroked="false">
              <v:path arrowok="t"/>
              <v:fill type="solid"/>
            </v:shape>
            <v:shape style="position:absolute;left:4821;top:4191;width:119;height:103" coordorigin="4821,4191" coordsize="119,103" path="m4882,4191l4940,4293,4821,4293,4882,4191xe" filled="false" stroked="true" strokeweight=".414461pt" strokecolor="#000000">
              <v:path arrowok="t"/>
            </v:shape>
            <v:shape style="position:absolute;left:4929;top:4235;width:119;height:103" coordorigin="4929,4235" coordsize="119,103" path="m4989,4235l4929,4337,5047,4337,4989,4235xe" filled="true" fillcolor="#000000" stroked="false">
              <v:path arrowok="t"/>
              <v:fill type="solid"/>
            </v:shape>
            <v:shape style="position:absolute;left:4929;top:4235;width:119;height:103" coordorigin="4929,4235" coordsize="119,103" path="m4989,4235l5047,4337,4929,4337,4989,4235xe" filled="false" stroked="true" strokeweight=".414461pt" strokecolor="#000000">
              <v:path arrowok="t"/>
            </v:shape>
            <v:shape style="position:absolute;left:5047;top:4282;width:119;height:103" coordorigin="5047,4282" coordsize="119,103" path="m5108,4282l5047,4384,5166,4384,5108,4282xe" filled="true" fillcolor="#000000" stroked="false">
              <v:path arrowok="t"/>
              <v:fill type="solid"/>
            </v:shape>
            <v:shape style="position:absolute;left:5047;top:4282;width:119;height:103" coordorigin="5047,4282" coordsize="119,103" path="m5108,4282l5166,4384,5047,4384,5108,4282xe" filled="false" stroked="true" strokeweight=".414461pt" strokecolor="#000000">
              <v:path arrowok="t"/>
            </v:shape>
            <v:shape style="position:absolute;left:5183;top:4335;width:119;height:103" coordorigin="5183,4335" coordsize="119,103" path="m5243,4335l5183,4437,5301,4437,5243,4335xe" filled="true" fillcolor="#000000" stroked="false">
              <v:path arrowok="t"/>
              <v:fill type="solid"/>
            </v:shape>
            <v:shape style="position:absolute;left:5183;top:4335;width:119;height:103" coordorigin="5183,4335" coordsize="119,103" path="m5243,4335l5301,4437,5183,4437,5243,4335xe" filled="false" stroked="true" strokeweight=".414462pt" strokecolor="#000000">
              <v:path arrowok="t"/>
            </v:shape>
            <v:shape style="position:absolute;left:5335;top:4390;width:119;height:103" coordorigin="5335,4390" coordsize="119,103" path="m5395,4390l5335,4492,5453,4492,5395,4390xe" filled="true" fillcolor="#000000" stroked="false">
              <v:path arrowok="t"/>
              <v:fill type="solid"/>
            </v:shape>
            <v:shape style="position:absolute;left:5335;top:4390;width:119;height:103" coordorigin="5335,4390" coordsize="119,103" path="m5395,4390l5453,4492,5335,4492,5395,4390xe" filled="false" stroked="true" strokeweight=".414461pt" strokecolor="#000000">
              <v:path arrowok="t"/>
            </v:shape>
            <v:shape style="position:absolute;left:5514;top:4443;width:119;height:103" coordorigin="5514,4443" coordsize="119,103" path="m5575,4443l5514,4545,5633,4545,5575,4443xe" filled="true" fillcolor="#000000" stroked="false">
              <v:path arrowok="t"/>
              <v:fill type="solid"/>
            </v:shape>
            <v:shape style="position:absolute;left:5514;top:4443;width:119;height:103" coordorigin="5514,4443" coordsize="119,103" path="m5575,4443l5633,4545,5514,4545,5575,4443xe" filled="false" stroked="true" strokeweight=".414461pt" strokecolor="#000000">
              <v:path arrowok="t"/>
            </v:shape>
            <v:shape style="position:absolute;left:5719;top:4484;width:119;height:103" coordorigin="5719,4484" coordsize="119,103" path="m5779,4484l5719,4587,5837,4587,5779,4484xe" filled="true" fillcolor="#000000" stroked="false">
              <v:path arrowok="t"/>
              <v:fill type="solid"/>
            </v:shape>
            <v:shape style="position:absolute;left:5719;top:4484;width:119;height:103" coordorigin="5719,4484" coordsize="119,103" path="m5779,4484l5837,4587,5719,4587,5779,4484xe" filled="false" stroked="true" strokeweight=".414462pt" strokecolor="#000000">
              <v:path arrowok="t"/>
            </v:shape>
            <v:shape style="position:absolute;left:5951;top:4506;width:119;height:103" coordorigin="5951,4506" coordsize="119,103" path="m6011,4506l5951,4609,6069,4609,6011,4506xe" filled="true" fillcolor="#000000" stroked="false">
              <v:path arrowok="t"/>
              <v:fill type="solid"/>
            </v:shape>
            <v:shape style="position:absolute;left:5951;top:4506;width:119;height:103" coordorigin="5951,4506" coordsize="119,103" path="m6011,4506l6069,4609,5951,4609,6011,4506xe" filled="false" stroked="true" strokeweight=".414462pt" strokecolor="#000000">
              <v:path arrowok="t"/>
            </v:shape>
            <v:shape style="position:absolute;left:6213;top:4512;width:119;height:103" coordorigin="6213,4512" coordsize="119,103" path="m6274,4512l6213,4614,6332,4614,6274,4512xe" filled="true" fillcolor="#000000" stroked="false">
              <v:path arrowok="t"/>
              <v:fill type="solid"/>
            </v:shape>
            <v:shape style="position:absolute;left:6213;top:4512;width:119;height:103" coordorigin="6213,4512" coordsize="119,103" path="m6274,4512l6332,4614,6213,4614,6274,4512xe" filled="false" stroked="true" strokeweight=".414461pt" strokecolor="#000000">
              <v:path arrowok="t"/>
            </v:shape>
            <v:shape style="position:absolute;left:6506;top:4498;width:119;height:103" coordorigin="6506,4498" coordsize="119,103" path="m6567,4498l6506,4600,6625,4600,6567,4498xe" filled="true" fillcolor="#000000" stroked="false">
              <v:path arrowok="t"/>
              <v:fill type="solid"/>
            </v:shape>
            <v:shape style="position:absolute;left:6506;top:4498;width:119;height:103" coordorigin="6506,4498" coordsize="119,103" path="m6567,4498l6625,4600,6506,4600,6567,4498xe" filled="false" stroked="true" strokeweight=".414461pt" strokecolor="#000000">
              <v:path arrowok="t"/>
            </v:shape>
            <v:shape style="position:absolute;left:6829;top:4473;width:119;height:103" coordorigin="6829,4473" coordsize="119,103" path="m6890,4473l6829,4576,6948,4576,6890,4473xe" filled="true" fillcolor="#000000" stroked="false">
              <v:path arrowok="t"/>
              <v:fill type="solid"/>
            </v:shape>
            <v:shape style="position:absolute;left:6829;top:4473;width:119;height:103" coordorigin="6829,4473" coordsize="119,103" path="m6890,4473l6948,4576,6829,4576,6890,4473xe" filled="false" stroked="true" strokeweight=".414462pt" strokecolor="#000000">
              <v:path arrowok="t"/>
            </v:shape>
            <v:shape style="position:absolute;left:7178;top:4441;width:127;height:111" type="#_x0000_t75" stroked="false">
              <v:imagedata r:id="rId34" o:title=""/>
            </v:shape>
            <v:shape style="position:absolute;left:7562;top:4411;width:127;height:111" type="#_x0000_t75" stroked="false">
              <v:imagedata r:id="rId35" o:title=""/>
            </v:shape>
            <v:shape style="position:absolute;left:7992;top:4384;width:119;height:103" coordorigin="7992,4384" coordsize="119,103" path="m8053,4384l7992,4487,8111,4487,8053,4384xe" filled="true" fillcolor="#000000" stroked="false">
              <v:path arrowok="t"/>
              <v:fill type="solid"/>
            </v:shape>
            <v:shape style="position:absolute;left:7992;top:4384;width:119;height:103" coordorigin="7992,4384" coordsize="119,103" path="m8053,4384l8111,4487,7992,4487,8053,4384xe" filled="false" stroked="true" strokeweight=".414461pt" strokecolor="#000000">
              <v:path arrowok="t"/>
            </v:shape>
            <v:shape style="position:absolute;left:8462;top:4354;width:119;height:103" coordorigin="8462,4354" coordsize="119,103" path="m8522,4354l8462,4457,8580,4457,8522,4354xe" filled="true" fillcolor="#000000" stroked="false">
              <v:path arrowok="t"/>
              <v:fill type="solid"/>
            </v:shape>
            <v:shape style="position:absolute;left:8462;top:4354;width:119;height:103" coordorigin="8462,4354" coordsize="119,103" path="m8522,4354l8580,4457,8462,4457,8522,4354xe" filled="false" stroked="true" strokeweight=".414461pt" strokecolor="#000000">
              <v:path arrowok="t"/>
            </v:shape>
            <v:shape style="position:absolute;left:8978;top:4326;width:119;height:103" coordorigin="8978,4326" coordsize="119,103" path="m9039,4326l8978,4429,9097,4429,9039,4326xe" filled="true" fillcolor="#000000" stroked="false">
              <v:path arrowok="t"/>
              <v:fill type="solid"/>
            </v:shape>
            <v:shape style="position:absolute;left:14539;top:-24480;width:40878;height:26927" coordorigin="14539,-24480" coordsize="40878,26927" path="m9039,4326l9097,4429,8978,4429,9039,4326xm3451,753l3452,763,3454,772,3459,781,3465,788,3472,794,3480,799,3488,802,3498,803,3508,802,3517,799,3525,794,3533,788,3539,781,3543,772,3546,763,3547,753,3546,744,3543,735,3539,727,3533,720,3525,714,3517,710,3508,707,3498,706,3487,707,3477,711,3469,716,3461,724,3456,733,3452,742,3451,753xm3636,2451l3637,2461,3640,2470,3644,2479,3650,2486,3657,2492,3665,2497,3674,2500,3683,2501,3693,2500,3702,2497,3711,2492,3718,2486,3724,2479,3729,2470,3731,2461,3732,2451,3731,2442,3729,2433,3724,2425,3718,2418,3711,2412,3702,2408,3693,2405,3683,2404,3672,2405,3663,2409,3654,2414,3646,2422,3641,2431,3637,2440,3636,2451xm3779,3152l3780,3162,3783,3171,3788,3180,3794,3187,3801,3193,3808,3198,3817,3201,3826,3202,3836,3201,3846,3198,3854,3193,3862,3187,3868,3180,3872,3171,3875,3162,3876,3152,3875,3143,3872,3134,3868,3126,3862,3119,3854,3113,3846,3108,3836,3106,3826,3105,3816,3106,3806,3110,3797,3115,3790,3123,3784,3132,3781,3141,3779,3152xm3898,3520l3899,3530,3902,3540,3906,3548,3912,3555,3919,3562,3927,3566,3936,3569,3945,3570,3955,3569,3965,3566,3973,3562,3980,3555,3986,3548,3991,3540,3994,3530,3995,3520,3994,3511,3991,3502,3986,3494,3980,3487,3973,3481,3965,3477,3955,3474,3945,3473,3935,3474,3925,3478,3916,3484,3909,3491,3903,3500,3899,3510,3898,3520xe" filled="false" stroked="true" strokeweight=".414432pt" strokecolor="#000000">
              <v:path arrowok="t"/>
            </v:shape>
            <v:shape style="position:absolute;left:3993;top:3693;width:1583;height:906" type="#_x0000_t75" stroked="false">
              <v:imagedata r:id="rId36" o:title=""/>
            </v:shape>
            <v:shape style="position:absolute;left:5707;top:4517;width:97;height:97" coordorigin="5707,4517" coordsize="97,97" path="m5754,4517l5707,4564,5708,4575,5754,4614,5765,4613,5804,4564,5803,4555,5754,4517xe" filled="true" fillcolor="#ffffff" stroked="false">
              <v:path arrowok="t"/>
              <v:fill type="solid"/>
            </v:shape>
            <v:shape style="position:absolute;left:5707;top:4517;width:97;height:97" coordorigin="5707,4517" coordsize="97,97" path="m5707,4564l5745,4613,5754,4614,5765,4613,5804,4564,5803,4555,5754,4517,5744,4519,5707,4564xe" filled="false" stroked="true" strokeweight=".414431pt" strokecolor="#000000">
              <v:path arrowok="t"/>
            </v:shape>
            <v:shape style="position:absolute;left:5970;top:4517;width:97;height:97" coordorigin="5970,4517" coordsize="97,97" path="m6017,4517l5970,4564,5971,4575,6017,4614,6027,4613,6067,4564,6066,4555,6017,4517xe" filled="true" fillcolor="#ffffff" stroked="false">
              <v:path arrowok="t"/>
              <v:fill type="solid"/>
            </v:shape>
            <v:shape style="position:absolute;left:5970;top:4517;width:97;height:97" coordorigin="5970,4517" coordsize="97,97" path="m5970,4564l6008,4613,6017,4614,6027,4613,6067,4564,6066,4555,6017,4517,6006,4519,5970,4564xe" filled="false" stroked="true" strokeweight=".414431pt" strokecolor="#000000">
              <v:path arrowok="t"/>
            </v:shape>
            <v:shape style="position:absolute;left:6266;top:4504;width:97;height:97" coordorigin="6266,4504" coordsize="97,97" path="m6312,4504l6266,4551,6267,4561,6312,4600,6323,4599,6362,4551,6361,4541,6312,4504xe" filled="true" fillcolor="#ffffff" stroked="false">
              <v:path arrowok="t"/>
              <v:fill type="solid"/>
            </v:shape>
            <v:shape style="position:absolute;left:6266;top:4504;width:97;height:97" coordorigin="6266,4504" coordsize="97,97" path="m6266,4551l6303,4599,6312,4600,6323,4599,6362,4551,6361,4541,6312,4504,6302,4505,6266,4551xe" filled="false" stroked="true" strokeweight=".414431pt" strokecolor="#000000">
              <v:path arrowok="t"/>
            </v:shape>
            <v:shape style="position:absolute;left:6591;top:4479;width:97;height:97" coordorigin="6591,4479" coordsize="97,97" path="m6638,4479l6591,4526,6592,4536,6638,4576,6648,4575,6688,4526,6687,4517,6638,4479xe" filled="true" fillcolor="#ffffff" stroked="false">
              <v:path arrowok="t"/>
              <v:fill type="solid"/>
            </v:shape>
            <v:shape style="position:absolute;left:37278;top:2166;width:9400;height:1343" coordorigin="37278,2166" coordsize="9400,1343" path="m6591,4526l6592,4536,6595,4545,6600,4554,6606,4561,6613,4567,6621,4572,6629,4575,6638,4576,6648,4575,6658,4572,6666,4567,6674,4561,6680,4554,6684,4545,6687,4536,6688,4526,6687,4517,6684,4508,6680,4500,6674,4493,6666,4487,6658,4483,6648,4480,6638,4479,6628,4480,6618,4484,6609,4489,6602,4497,6596,4505,6593,4515,6591,4526xm6953,4498l6954,4508,6957,4518,6962,4526,6967,4533,6975,4539,6982,4544,6991,4547,7000,4548,7010,4547,7020,4544,7028,4539,7035,4533,7042,4526,7046,4518,7049,4508,7050,4498,7049,4489,7046,4480,7042,4472,7035,4465,7028,4459,7020,4455,7010,4452,7000,4451,6990,4452,6980,4456,6971,4462,6964,4469,6958,4478,6955,4488,6953,4498xm7351,4468l7352,4478,7355,4487,7359,4496,7365,4503,7372,4509,7380,4514,7389,4516,7398,4517,7408,4516,7418,4514,7426,4509,7433,4503,7439,4496,7444,4487,7447,4478,7448,4468,7447,4458,7444,4450,7439,4442,7433,4435,7426,4429,7418,4424,7408,4421,7398,4420,7388,4422,7378,4425,7369,4431,7362,4439,7356,4447,7352,4457,7351,4468xm7793,4437l7794,4447,7797,4457,7801,4465,7807,4472,7814,4478,7822,4483,7831,4486,7840,4487,7850,4486,7859,4483,7868,4478,7875,4472,7881,4465,7886,4457,7889,4447,7890,4437,7889,4428,7886,4419,7881,4411,7875,4404,7868,4398,7859,4394,7850,4391,7840,4390,7830,4391,7820,4395,7811,4401,7804,4408,7798,4417,7794,4427,7793,4437xe" filled="false" stroked="true" strokeweight=".414432pt" strokecolor="#000000">
              <v:path arrowok="t"/>
            </v:shape>
            <v:shape style="position:absolute;left:8281;top:4355;width:105;height:105" type="#_x0000_t75" stroked="false">
              <v:imagedata r:id="rId37" o:title=""/>
            </v:shape>
            <v:shape style="position:absolute;left:8830;top:4330;width:105;height:105" type="#_x0000_t75" stroked="false">
              <v:imagedata r:id="rId38" o:title=""/>
            </v:shape>
            <v:shape style="position:absolute;left:14159;top:-23559;width:37098;height:27148" coordorigin="14159,-23559" coordsize="37098,27148" path="m3451,833l3451,938m3398,886l3503,886m3644,2465l3644,2570m3592,2517l3697,2517m3790,3138l3790,3243m3738,3191l3843,3191m3906,3495l3906,3600m3854,3548l3959,3548m4006,3709l4006,3814m3953,3761l4058,3761m4091,3850l4091,3955m4039,3902l4144,3902m4169,3947l4169,4052m4116,3999l4221,3999m4315,4071l4315,4177m4263,4124l4368,4124m4948,4337l4948,4443m4895,4390l5000,4390m5097,4384l5097,4490m5045,4437l5150,4437m5277,4426l5277,4531m5224,4479l5329,4479m5486,4462l5486,4567m5434,4515l5539,4515m5730,4479l5730,4584m5677,4531l5782,4531m6009,4481l6009,4587m5956,4534l6061,4534m6318,4468l6318,4573m6266,4520l6370,4520m6663,4443l6663,4548m6611,4495l6716,4495m7044,4415l7044,4520m6992,4468l7097,4468m7464,4384l7464,4490m7412,4437l7517,4437m7937,4357l7937,4462m7884,4409l7989,4409m8470,4329l8470,4434m8417,4382l8522,4382e" filled="false" stroked="true" strokeweight=".414432pt" strokecolor="#000000">
              <v:path arrowok="t"/>
            </v:shape>
            <v:shape style="position:absolute;left:8460;top:483;width:127;height:111" type="#_x0000_t75" stroked="false">
              <v:imagedata r:id="rId32" o:title=""/>
            </v:shape>
            <v:shape style="position:absolute;left:8471;top:793;width:105;height:105" type="#_x0000_t75" stroked="false">
              <v:imagedata r:id="rId39" o:title=""/>
            </v:shape>
            <v:shape style="position:absolute;left:50877;top:-21756;width:801;height:802" coordorigin="50877,-21756" coordsize="801,802" path="m8525,1082l8525,1193m8470,1138l8580,1138e" filled="false" stroked="true" strokeweight=".414432pt" strokecolor="#000000">
              <v:path arrowok="t"/>
            </v:shape>
            <v:shape style="position:absolute;left:5713;top:4620;width:555;height:307" type="#_x0000_t75" stroked="false">
              <v:imagedata r:id="rId40" o:title=""/>
            </v:shape>
            <v:shape style="position:absolute;left:30918;top:3830;width:4001;height:2204" coordorigin="30918,3830" coordsize="4001,2204" path="m5713,4620l6266,4620,6266,4925,5713,4925m5713,4620l5713,4925e" filled="false" stroked="true" strokeweight=".690724pt" strokecolor="#000000">
              <v:path arrowok="t"/>
            </v:shape>
            <v:line style="position:absolute" from="6583,4243" to="6100,4684" stroked="true" strokeweight=".96706pt" strokecolor="#000000"/>
            <v:shape style="position:absolute;left:6090;top:4574;width:127;height:119" type="#_x0000_t75" stroked="false">
              <v:imagedata r:id="rId41" o:title=""/>
            </v:shape>
            <v:shape style="position:absolute;left:4191;top:3884;width:721;height:306" type="#_x0000_t202" filled="false" stroked="false">
              <v:textbox inset="0,0,0,0">
                <w:txbxContent>
                  <w:p>
                    <w:pPr>
                      <w:spacing w:line="170" w:lineRule="exact" w:before="0"/>
                      <w:ind w:left="0" w:right="0" w:firstLine="0"/>
                      <w:jc w:val="left"/>
                      <w:rPr>
                        <w:rFonts w:ascii="Arial"/>
                        <w:sz w:val="19"/>
                      </w:rPr>
                    </w:pPr>
                    <w:r>
                      <w:rPr>
                        <w:rFonts w:ascii="Arial"/>
                        <w:w w:val="100"/>
                        <w:sz w:val="19"/>
                        <w:u w:val="single"/>
                      </w:rPr>
                      <w:t> </w:t>
                    </w:r>
                    <w:r>
                      <w:rPr>
                        <w:rFonts w:ascii="Arial"/>
                        <w:spacing w:val="-2"/>
                        <w:sz w:val="19"/>
                        <w:u w:val="single"/>
                      </w:rPr>
                      <w:t> </w:t>
                    </w:r>
                  </w:p>
                  <w:p>
                    <w:pPr>
                      <w:spacing w:line="135" w:lineRule="exact" w:before="0"/>
                      <w:ind w:left="143" w:right="0" w:firstLine="0"/>
                      <w:jc w:val="left"/>
                      <w:rPr>
                        <w:sz w:val="14"/>
                      </w:rPr>
                    </w:pPr>
                    <w:r>
                      <w:rPr>
                        <w:w w:val="104"/>
                        <w:sz w:val="14"/>
                        <w:u w:val="single"/>
                      </w:rPr>
                      <w:t> </w:t>
                    </w:r>
                    <w:r>
                      <w:rPr>
                        <w:sz w:val="14"/>
                        <w:u w:val="single"/>
                      </w:rPr>
                      <w:t> </w:t>
                    </w:r>
                    <w:r>
                      <w:rPr>
                        <w:w w:val="104"/>
                        <w:sz w:val="14"/>
                        <w:u w:val="single"/>
                      </w:rPr>
                      <w:t> </w:t>
                    </w:r>
                    <w:r>
                      <w:rPr>
                        <w:spacing w:val="5"/>
                        <w:sz w:val="14"/>
                        <w:u w:val="single"/>
                      </w:rPr>
                      <w:t> </w:t>
                    </w:r>
                    <w:r>
                      <w:rPr>
                        <w:w w:val="104"/>
                        <w:sz w:val="14"/>
                        <w:u w:val="single"/>
                      </w:rPr>
                      <w:t> </w:t>
                    </w:r>
                    <w:r>
                      <w:rPr>
                        <w:spacing w:val="14"/>
                        <w:sz w:val="14"/>
                        <w:u w:val="single"/>
                      </w:rPr>
                      <w:t> </w:t>
                    </w:r>
                    <w:r>
                      <w:rPr>
                        <w:w w:val="104"/>
                        <w:sz w:val="14"/>
                        <w:u w:val="single"/>
                      </w:rPr>
                      <w:t> </w:t>
                    </w:r>
                    <w:r>
                      <w:rPr>
                        <w:sz w:val="14"/>
                        <w:u w:val="single"/>
                      </w:rPr>
                      <w:t> </w:t>
                    </w:r>
                    <w:r>
                      <w:rPr>
                        <w:spacing w:val="-13"/>
                        <w:sz w:val="14"/>
                        <w:u w:val="single"/>
                      </w:rPr>
                      <w:t> </w:t>
                    </w:r>
                    <w:r>
                      <w:rPr>
                        <w:w w:val="104"/>
                        <w:sz w:val="14"/>
                        <w:u w:val="single"/>
                      </w:rPr>
                      <w:t> </w:t>
                    </w:r>
                    <w:r>
                      <w:rPr>
                        <w:sz w:val="14"/>
                        <w:u w:val="single"/>
                      </w:rPr>
                      <w:t> </w:t>
                    </w:r>
                    <w:r>
                      <w:rPr>
                        <w:spacing w:val="1"/>
                        <w:sz w:val="14"/>
                        <w:u w:val="single"/>
                      </w:rPr>
                      <w:t> </w:t>
                    </w:r>
                    <w:r>
                      <w:rPr>
                        <w:w w:val="104"/>
                        <w:sz w:val="14"/>
                        <w:u w:val="single"/>
                      </w:rPr>
                      <w:t> </w:t>
                    </w:r>
                    <w:r>
                      <w:rPr>
                        <w:spacing w:val="-1"/>
                        <w:sz w:val="14"/>
                        <w:u w:val="single"/>
                      </w:rPr>
                      <w:t> </w:t>
                    </w:r>
                  </w:p>
                </w:txbxContent>
              </v:textbox>
              <w10:wrap type="none"/>
            </v:shape>
            <v:shape style="position:absolute;left:6456;top:4042;width:1384;height:147" type="#_x0000_t202" filled="false" stroked="false">
              <v:textbox inset="0,0,0,0">
                <w:txbxContent>
                  <w:p>
                    <w:pPr>
                      <w:spacing w:line="147" w:lineRule="exact" w:before="0"/>
                      <w:ind w:left="0" w:right="-14" w:firstLine="0"/>
                      <w:jc w:val="left"/>
                      <w:rPr>
                        <w:sz w:val="14"/>
                      </w:rPr>
                    </w:pPr>
                    <w:r>
                      <w:rPr>
                        <w:w w:val="105"/>
                        <w:sz w:val="14"/>
                      </w:rPr>
                      <w:t>Minimum entropy</w:t>
                    </w:r>
                    <w:r>
                      <w:rPr>
                        <w:spacing w:val="-11"/>
                        <w:w w:val="105"/>
                        <w:sz w:val="14"/>
                      </w:rPr>
                      <w:t> </w:t>
                    </w:r>
                    <w:r>
                      <w:rPr>
                        <w:w w:val="105"/>
                        <w:sz w:val="14"/>
                      </w:rPr>
                      <w:t>zone</w:t>
                    </w:r>
                  </w:p>
                </w:txbxContent>
              </v:textbox>
              <w10:wrap type="none"/>
            </v:shape>
            <v:shape style="position:absolute;left:9022;top:4042;width:141;height:147" type="#_x0000_t202" filled="false" stroked="false">
              <v:textbox inset="0,0,0,0">
                <w:txbxContent>
                  <w:p>
                    <w:pPr>
                      <w:spacing w:line="147" w:lineRule="exact" w:before="0"/>
                      <w:ind w:left="0" w:right="0" w:firstLine="0"/>
                      <w:jc w:val="left"/>
                      <w:rPr>
                        <w:sz w:val="14"/>
                      </w:rPr>
                    </w:pPr>
                    <w:r>
                      <w:rPr>
                        <w:w w:val="104"/>
                        <w:sz w:val="14"/>
                        <w:u w:val="single"/>
                      </w:rPr>
                      <w:t> </w:t>
                    </w:r>
                    <w:r>
                      <w:rPr>
                        <w:spacing w:val="-1"/>
                        <w:sz w:val="14"/>
                        <w:u w:val="single"/>
                      </w:rPr>
                      <w:t> </w:t>
                    </w:r>
                  </w:p>
                </w:txbxContent>
              </v:textbox>
              <w10:wrap type="none"/>
            </v:shape>
            <v:shape style="position:absolute;left:8230;top:401;width:1105;height:870" type="#_x0000_t202" filled="false" stroked="true" strokeweight=".41448pt" strokecolor="#000000">
              <v:textbox inset="0,0,0,0">
                <w:txbxContent>
                  <w:p>
                    <w:pPr>
                      <w:spacing w:before="17"/>
                      <w:ind w:left="603" w:right="-9" w:firstLine="0"/>
                      <w:jc w:val="left"/>
                      <w:rPr>
                        <w:sz w:val="20"/>
                      </w:rPr>
                    </w:pPr>
                    <w:r>
                      <w:rPr>
                        <w:w w:val="105"/>
                        <w:sz w:val="20"/>
                      </w:rPr>
                      <w:t>25 </w:t>
                    </w:r>
                    <w:r>
                      <w:rPr>
                        <w:rFonts w:ascii="Symbol" w:hAnsi="Symbol"/>
                        <w:w w:val="105"/>
                        <w:sz w:val="21"/>
                      </w:rPr>
                      <w:t></w:t>
                    </w:r>
                    <w:r>
                      <w:rPr>
                        <w:w w:val="105"/>
                        <w:sz w:val="20"/>
                      </w:rPr>
                      <w:t>C</w:t>
                    </w:r>
                  </w:p>
                  <w:p>
                    <w:pPr>
                      <w:spacing w:before="33"/>
                      <w:ind w:left="603" w:right="-9" w:firstLine="0"/>
                      <w:jc w:val="left"/>
                      <w:rPr>
                        <w:sz w:val="20"/>
                      </w:rPr>
                    </w:pPr>
                    <w:r>
                      <w:rPr>
                        <w:w w:val="105"/>
                        <w:sz w:val="20"/>
                      </w:rPr>
                      <w:t>35 </w:t>
                    </w:r>
                    <w:r>
                      <w:rPr>
                        <w:rFonts w:ascii="Symbol" w:hAnsi="Symbol"/>
                        <w:w w:val="105"/>
                        <w:sz w:val="21"/>
                      </w:rPr>
                      <w:t></w:t>
                    </w:r>
                    <w:r>
                      <w:rPr>
                        <w:w w:val="105"/>
                        <w:sz w:val="20"/>
                      </w:rPr>
                      <w:t>C</w:t>
                    </w:r>
                  </w:p>
                  <w:p>
                    <w:pPr>
                      <w:spacing w:before="33"/>
                      <w:ind w:left="603" w:right="-9" w:firstLine="0"/>
                      <w:jc w:val="left"/>
                      <w:rPr>
                        <w:sz w:val="20"/>
                      </w:rPr>
                    </w:pPr>
                    <w:r>
                      <w:rPr>
                        <w:w w:val="105"/>
                        <w:sz w:val="20"/>
                      </w:rPr>
                      <w:t>40 </w:t>
                    </w:r>
                    <w:r>
                      <w:rPr>
                        <w:rFonts w:ascii="Symbol" w:hAnsi="Symbol"/>
                        <w:w w:val="105"/>
                        <w:sz w:val="21"/>
                      </w:rPr>
                      <w:t></w:t>
                    </w:r>
                    <w:r>
                      <w:rPr>
                        <w:w w:val="105"/>
                        <w:sz w:val="20"/>
                      </w:rPr>
                      <w:t>C</w:t>
                    </w:r>
                  </w:p>
                </w:txbxContent>
              </v:textbox>
              <w10:wrap type="none"/>
            </v:shape>
            <w10:wrap type="none"/>
          </v:group>
        </w:pict>
      </w:r>
      <w:r>
        <w:rPr>
          <w:rFonts w:ascii="Arial"/>
          <w:sz w:val="19"/>
        </w:rPr>
        <w:t>0.08</w:t>
      </w:r>
    </w:p>
    <w:p>
      <w:pPr>
        <w:pStyle w:val="BodyText"/>
        <w:rPr>
          <w:rFonts w:ascii="Arial"/>
          <w:sz w:val="20"/>
        </w:rPr>
      </w:pPr>
    </w:p>
    <w:p>
      <w:pPr>
        <w:pStyle w:val="BodyText"/>
        <w:rPr>
          <w:rFonts w:ascii="Arial"/>
          <w:sz w:val="20"/>
        </w:rPr>
      </w:pPr>
    </w:p>
    <w:p>
      <w:pPr>
        <w:pStyle w:val="BodyText"/>
        <w:spacing w:before="5"/>
        <w:rPr>
          <w:rFonts w:ascii="Arial"/>
          <w:sz w:val="16"/>
        </w:rPr>
      </w:pPr>
    </w:p>
    <w:p>
      <w:pPr>
        <w:spacing w:before="77"/>
        <w:ind w:left="1259" w:right="0" w:firstLine="0"/>
        <w:jc w:val="left"/>
        <w:rPr>
          <w:rFonts w:ascii="Arial"/>
          <w:sz w:val="19"/>
        </w:rPr>
      </w:pPr>
      <w:r>
        <w:rPr>
          <w:rFonts w:ascii="Arial"/>
          <w:sz w:val="19"/>
        </w:rPr>
        <w:t>0.06</w:t>
      </w:r>
    </w:p>
    <w:p>
      <w:pPr>
        <w:pStyle w:val="BodyText"/>
        <w:rPr>
          <w:rFonts w:ascii="Arial"/>
          <w:sz w:val="20"/>
        </w:rPr>
      </w:pPr>
    </w:p>
    <w:p>
      <w:pPr>
        <w:pStyle w:val="BodyText"/>
        <w:rPr>
          <w:rFonts w:ascii="Arial"/>
          <w:sz w:val="20"/>
        </w:rPr>
      </w:pPr>
    </w:p>
    <w:p>
      <w:pPr>
        <w:pStyle w:val="BodyText"/>
        <w:spacing w:before="8"/>
        <w:rPr>
          <w:rFonts w:ascii="Arial"/>
          <w:sz w:val="16"/>
        </w:rPr>
      </w:pPr>
    </w:p>
    <w:p>
      <w:pPr>
        <w:spacing w:before="77"/>
        <w:ind w:left="1259" w:right="0" w:firstLine="0"/>
        <w:jc w:val="left"/>
        <w:rPr>
          <w:rFonts w:ascii="Arial"/>
          <w:sz w:val="19"/>
        </w:rPr>
      </w:pPr>
      <w:r>
        <w:rPr/>
        <w:pict>
          <v:shape style="position:absolute;margin-left:106.009155pt;margin-top:4.372475pt;width:13.75pt;height:76.3pt;mso-position-horizontal-relative:page;mso-position-vertical-relative:paragraph;z-index:2056" type="#_x0000_t202" filled="false" stroked="false">
            <v:textbox inset="0,0,0,0" style="layout-flow:vertical;mso-layout-flow-alt:bottom-to-top">
              <w:txbxContent>
                <w:p>
                  <w:pPr>
                    <w:tabs>
                      <w:tab w:pos="485" w:val="left" w:leader="none"/>
                    </w:tabs>
                    <w:spacing w:line="259" w:lineRule="exact" w:before="0"/>
                    <w:ind w:left="20" w:right="0" w:firstLine="0"/>
                    <w:jc w:val="left"/>
                    <w:rPr>
                      <w:sz w:val="23"/>
                    </w:rPr>
                  </w:pPr>
                  <w:r>
                    <w:rPr>
                      <w:rFonts w:ascii="Symbol" w:hAnsi="Symbol"/>
                      <w:spacing w:val="-1"/>
                      <w:w w:val="101"/>
                      <w:sz w:val="21"/>
                    </w:rPr>
                    <w:t></w:t>
                  </w:r>
                  <w:r>
                    <w:rPr>
                      <w:w w:val="102"/>
                      <w:sz w:val="23"/>
                    </w:rPr>
                    <w:t>S</w:t>
                  </w:r>
                  <w:r>
                    <w:rPr>
                      <w:sz w:val="23"/>
                    </w:rPr>
                    <w:tab/>
                  </w:r>
                  <w:r>
                    <w:rPr>
                      <w:spacing w:val="-1"/>
                      <w:w w:val="102"/>
                      <w:sz w:val="23"/>
                    </w:rPr>
                    <w:t>(</w:t>
                  </w:r>
                  <w:r>
                    <w:rPr>
                      <w:spacing w:val="-2"/>
                      <w:w w:val="102"/>
                      <w:sz w:val="23"/>
                    </w:rPr>
                    <w:t>k</w:t>
                  </w:r>
                  <w:r>
                    <w:rPr>
                      <w:w w:val="102"/>
                      <w:sz w:val="23"/>
                    </w:rPr>
                    <w:t>J/</w:t>
                  </w:r>
                  <w:r>
                    <w:rPr>
                      <w:w w:val="102"/>
                      <w:sz w:val="23"/>
                    </w:rPr>
                    <w:t>m</w:t>
                  </w:r>
                  <w:r>
                    <w:rPr>
                      <w:spacing w:val="-2"/>
                      <w:w w:val="102"/>
                      <w:sz w:val="23"/>
                    </w:rPr>
                    <w:t>o</w:t>
                  </w:r>
                  <w:r>
                    <w:rPr>
                      <w:w w:val="102"/>
                      <w:sz w:val="23"/>
                    </w:rPr>
                    <w:t>l</w:t>
                  </w:r>
                  <w:r>
                    <w:rPr>
                      <w:spacing w:val="1"/>
                      <w:sz w:val="23"/>
                    </w:rPr>
                    <w:t> </w:t>
                  </w:r>
                  <w:r>
                    <w:rPr>
                      <w:spacing w:val="-1"/>
                      <w:w w:val="102"/>
                      <w:sz w:val="23"/>
                    </w:rPr>
                    <w:t>K</w:t>
                  </w:r>
                  <w:r>
                    <w:rPr>
                      <w:w w:val="102"/>
                      <w:sz w:val="23"/>
                    </w:rPr>
                    <w:t>)</w:t>
                  </w:r>
                </w:p>
              </w:txbxContent>
            </v:textbox>
            <w10:wrap type="none"/>
          </v:shape>
        </w:pict>
      </w:r>
      <w:r>
        <w:rPr>
          <w:rFonts w:ascii="Arial"/>
          <w:sz w:val="19"/>
        </w:rPr>
        <w:t>0.04</w:t>
      </w:r>
    </w:p>
    <w:p>
      <w:pPr>
        <w:pStyle w:val="BodyText"/>
        <w:rPr>
          <w:rFonts w:ascii="Arial"/>
          <w:sz w:val="20"/>
        </w:rPr>
      </w:pPr>
    </w:p>
    <w:p>
      <w:pPr>
        <w:pStyle w:val="BodyText"/>
        <w:rPr>
          <w:rFonts w:ascii="Arial"/>
          <w:sz w:val="20"/>
        </w:rPr>
      </w:pPr>
    </w:p>
    <w:p>
      <w:pPr>
        <w:pStyle w:val="BodyText"/>
        <w:spacing w:before="5"/>
        <w:rPr>
          <w:rFonts w:ascii="Arial"/>
          <w:sz w:val="16"/>
        </w:rPr>
      </w:pPr>
    </w:p>
    <w:p>
      <w:pPr>
        <w:spacing w:before="77"/>
        <w:ind w:left="1259" w:right="0" w:firstLine="0"/>
        <w:jc w:val="left"/>
        <w:rPr>
          <w:rFonts w:ascii="Arial"/>
          <w:sz w:val="19"/>
        </w:rPr>
      </w:pPr>
      <w:r>
        <w:rPr/>
        <w:pict>
          <v:shape style="position:absolute;margin-left:114.343521pt;margin-top:11.062554pt;width:9.050pt;height:9.35pt;mso-position-horizontal-relative:page;mso-position-vertical-relative:paragraph;z-index:2080" type="#_x0000_t202" filled="false" stroked="false">
            <v:textbox inset="0,0,0,0" style="layout-flow:vertical;mso-layout-flow-alt:bottom-to-top">
              <w:txbxContent>
                <w:p>
                  <w:pPr>
                    <w:spacing w:before="2"/>
                    <w:ind w:left="20" w:right="-5" w:firstLine="0"/>
                    <w:jc w:val="left"/>
                    <w:rPr>
                      <w:sz w:val="14"/>
                    </w:rPr>
                  </w:pPr>
                  <w:r>
                    <w:rPr>
                      <w:spacing w:val="-1"/>
                      <w:w w:val="100"/>
                      <w:sz w:val="14"/>
                    </w:rPr>
                    <w:t>i</w:t>
                  </w:r>
                  <w:r>
                    <w:rPr>
                      <w:spacing w:val="-2"/>
                      <w:w w:val="100"/>
                      <w:sz w:val="14"/>
                    </w:rPr>
                    <w:t>n</w:t>
                  </w:r>
                  <w:r>
                    <w:rPr>
                      <w:w w:val="100"/>
                      <w:sz w:val="14"/>
                    </w:rPr>
                    <w:t>t</w:t>
                  </w:r>
                </w:p>
              </w:txbxContent>
            </v:textbox>
            <w10:wrap type="none"/>
          </v:shape>
        </w:pict>
      </w:r>
      <w:r>
        <w:rPr>
          <w:rFonts w:ascii="Arial"/>
          <w:sz w:val="19"/>
        </w:rPr>
        <w:t>0.02</w:t>
      </w:r>
    </w:p>
    <w:p>
      <w:pPr>
        <w:pStyle w:val="BodyText"/>
        <w:rPr>
          <w:rFonts w:ascii="Arial"/>
          <w:sz w:val="20"/>
        </w:rPr>
      </w:pPr>
    </w:p>
    <w:p>
      <w:pPr>
        <w:pStyle w:val="BodyText"/>
        <w:rPr>
          <w:rFonts w:ascii="Arial"/>
          <w:sz w:val="20"/>
        </w:rPr>
      </w:pPr>
    </w:p>
    <w:p>
      <w:pPr>
        <w:pStyle w:val="BodyText"/>
        <w:spacing w:before="8"/>
        <w:rPr>
          <w:rFonts w:ascii="Arial"/>
          <w:sz w:val="16"/>
        </w:rPr>
      </w:pPr>
    </w:p>
    <w:p>
      <w:pPr>
        <w:spacing w:before="77"/>
        <w:ind w:left="1259" w:right="0" w:firstLine="0"/>
        <w:jc w:val="left"/>
        <w:rPr>
          <w:rFonts w:ascii="Arial"/>
          <w:sz w:val="19"/>
        </w:rPr>
      </w:pPr>
      <w:r>
        <w:rPr>
          <w:rFonts w:ascii="Arial"/>
          <w:sz w:val="19"/>
        </w:rPr>
        <w:t>0.00</w:t>
      </w:r>
    </w:p>
    <w:p>
      <w:pPr>
        <w:pStyle w:val="BodyText"/>
        <w:rPr>
          <w:rFonts w:ascii="Arial"/>
          <w:sz w:val="20"/>
        </w:rPr>
      </w:pPr>
    </w:p>
    <w:p>
      <w:pPr>
        <w:pStyle w:val="BodyText"/>
        <w:rPr>
          <w:rFonts w:ascii="Arial"/>
          <w:sz w:val="20"/>
        </w:rPr>
      </w:pPr>
    </w:p>
    <w:p>
      <w:pPr>
        <w:pStyle w:val="BodyText"/>
        <w:spacing w:before="5"/>
        <w:rPr>
          <w:rFonts w:ascii="Arial"/>
          <w:sz w:val="16"/>
        </w:rPr>
      </w:pPr>
    </w:p>
    <w:p>
      <w:pPr>
        <w:spacing w:after="0"/>
        <w:rPr>
          <w:rFonts w:ascii="Arial"/>
          <w:sz w:val="16"/>
        </w:rPr>
        <w:sectPr>
          <w:pgSz w:w="11900" w:h="16840"/>
          <w:pgMar w:header="0" w:footer="1026" w:top="1360" w:bottom="1220" w:left="1340" w:right="0"/>
        </w:sectPr>
      </w:pPr>
    </w:p>
    <w:p>
      <w:pPr>
        <w:spacing w:before="77"/>
        <w:ind w:left="0" w:right="0" w:firstLine="0"/>
        <w:jc w:val="right"/>
        <w:rPr>
          <w:rFonts w:ascii="Arial"/>
          <w:sz w:val="19"/>
        </w:rPr>
      </w:pPr>
      <w:r>
        <w:rPr>
          <w:rFonts w:ascii="Arial"/>
          <w:sz w:val="19"/>
        </w:rPr>
        <w:t>-0.02</w:t>
      </w:r>
    </w:p>
    <w:p>
      <w:pPr>
        <w:pStyle w:val="BodyText"/>
        <w:rPr>
          <w:rFonts w:ascii="Arial"/>
          <w:sz w:val="18"/>
        </w:rPr>
      </w:pPr>
      <w:r>
        <w:rPr/>
        <w:br w:type="column"/>
      </w:r>
      <w:r>
        <w:rPr>
          <w:rFonts w:ascii="Arial"/>
          <w:sz w:val="18"/>
        </w:rPr>
      </w:r>
    </w:p>
    <w:p>
      <w:pPr>
        <w:tabs>
          <w:tab w:pos="458" w:val="left" w:leader="none"/>
          <w:tab w:pos="917" w:val="left" w:leader="none"/>
          <w:tab w:pos="1375" w:val="left" w:leader="none"/>
          <w:tab w:pos="1831" w:val="left" w:leader="none"/>
          <w:tab w:pos="2237" w:val="left" w:leader="none"/>
          <w:tab w:pos="2696" w:val="left" w:leader="none"/>
          <w:tab w:pos="3154" w:val="left" w:leader="none"/>
          <w:tab w:pos="3613" w:val="left" w:leader="none"/>
          <w:tab w:pos="4071" w:val="left" w:leader="none"/>
          <w:tab w:pos="4530" w:val="left" w:leader="none"/>
          <w:tab w:pos="4985" w:val="left" w:leader="none"/>
          <w:tab w:pos="5444" w:val="left" w:leader="none"/>
          <w:tab w:pos="5903" w:val="left" w:leader="none"/>
          <w:tab w:pos="6361" w:val="left" w:leader="none"/>
        </w:tabs>
        <w:spacing w:before="125"/>
        <w:ind w:left="0" w:right="2189" w:firstLine="0"/>
        <w:jc w:val="center"/>
        <w:rPr>
          <w:rFonts w:ascii="Arial"/>
          <w:sz w:val="19"/>
        </w:rPr>
      </w:pPr>
      <w:r>
        <w:rPr>
          <w:rFonts w:ascii="Arial"/>
          <w:sz w:val="19"/>
        </w:rPr>
        <w:t>0</w:t>
        <w:tab/>
        <w:t>2</w:t>
        <w:tab/>
        <w:t>4</w:t>
        <w:tab/>
        <w:t>6</w:t>
        <w:tab/>
        <w:t>8</w:t>
        <w:tab/>
        <w:t>10</w:t>
        <w:tab/>
        <w:t>12</w:t>
        <w:tab/>
        <w:t>14</w:t>
        <w:tab/>
        <w:t>16</w:t>
        <w:tab/>
        <w:t>18</w:t>
        <w:tab/>
        <w:t>20</w:t>
        <w:tab/>
        <w:t>22</w:t>
        <w:tab/>
        <w:t>24</w:t>
        <w:tab/>
        <w:t>26</w:t>
        <w:tab/>
        <w:t>28</w:t>
      </w:r>
    </w:p>
    <w:p>
      <w:pPr>
        <w:spacing w:line="214" w:lineRule="exact" w:before="123"/>
        <w:ind w:left="0" w:right="2238" w:firstLine="0"/>
        <w:jc w:val="center"/>
        <w:rPr>
          <w:sz w:val="22"/>
        </w:rPr>
      </w:pPr>
      <w:r>
        <w:rPr>
          <w:w w:val="105"/>
          <w:sz w:val="22"/>
        </w:rPr>
        <w:t>M (kg H O/100 kg d.s.)</w:t>
      </w:r>
    </w:p>
    <w:p>
      <w:pPr>
        <w:spacing w:line="111" w:lineRule="exact" w:before="0"/>
        <w:ind w:left="0" w:right="2759" w:firstLine="0"/>
        <w:jc w:val="center"/>
        <w:rPr>
          <w:sz w:val="13"/>
        </w:rPr>
      </w:pPr>
      <w:r>
        <w:rPr>
          <w:w w:val="104"/>
          <w:sz w:val="13"/>
        </w:rPr>
        <w:t>2</w:t>
      </w:r>
    </w:p>
    <w:p>
      <w:pPr>
        <w:spacing w:after="0" w:line="111" w:lineRule="exact"/>
        <w:jc w:val="center"/>
        <w:rPr>
          <w:sz w:val="13"/>
        </w:rPr>
        <w:sectPr>
          <w:type w:val="continuous"/>
          <w:pgSz w:w="11900" w:h="16840"/>
          <w:pgMar w:top="1580" w:bottom="280" w:left="1340" w:right="0"/>
          <w:cols w:num="2" w:equalWidth="0">
            <w:col w:w="1629" w:space="40"/>
            <w:col w:w="8891"/>
          </w:cols>
        </w:sectPr>
      </w:pPr>
    </w:p>
    <w:p>
      <w:pPr>
        <w:pStyle w:val="BodyText"/>
        <w:rPr>
          <w:sz w:val="20"/>
        </w:rPr>
      </w:pPr>
    </w:p>
    <w:p>
      <w:pPr>
        <w:pStyle w:val="BodyText"/>
        <w:spacing w:before="8"/>
        <w:rPr>
          <w:sz w:val="23"/>
        </w:rPr>
      </w:pPr>
    </w:p>
    <w:p>
      <w:pPr>
        <w:pStyle w:val="BodyText"/>
        <w:spacing w:before="69"/>
        <w:ind w:left="4158" w:right="5494"/>
        <w:jc w:val="center"/>
      </w:pPr>
      <w:r>
        <w:rPr/>
        <w:t>Figure 1.</w:t>
      </w:r>
    </w:p>
    <w:p>
      <w:pPr>
        <w:spacing w:after="0"/>
        <w:jc w:val="center"/>
        <w:sectPr>
          <w:type w:val="continuous"/>
          <w:pgSz w:w="11900" w:h="16840"/>
          <w:pgMar w:top="1580" w:bottom="280" w:left="1340" w:right="0"/>
        </w:sectPr>
      </w:pPr>
    </w:p>
    <w:p>
      <w:pPr>
        <w:pStyle w:val="BodyText"/>
        <w:rPr>
          <w:sz w:val="20"/>
        </w:rPr>
      </w:pPr>
    </w:p>
    <w:p>
      <w:pPr>
        <w:pStyle w:val="BodyText"/>
        <w:rPr>
          <w:sz w:val="20"/>
        </w:rPr>
      </w:pPr>
    </w:p>
    <w:p>
      <w:pPr>
        <w:pStyle w:val="BodyText"/>
        <w:spacing w:before="5"/>
        <w:rPr>
          <w:sz w:val="21"/>
        </w:rPr>
      </w:pPr>
    </w:p>
    <w:p>
      <w:pPr>
        <w:spacing w:before="0"/>
        <w:ind w:left="1078" w:right="0" w:firstLine="0"/>
        <w:jc w:val="left"/>
        <w:rPr>
          <w:rFonts w:ascii="Arial"/>
          <w:sz w:val="17"/>
        </w:rPr>
      </w:pPr>
      <w:r>
        <w:rPr/>
        <w:pict>
          <v:group style="position:absolute;margin-left:154.791946pt;margin-top:5.121750pt;width:298.8pt;height:221.25pt;mso-position-horizontal-relative:page;mso-position-vertical-relative:paragraph;z-index:-75352" coordorigin="3096,102" coordsize="5976,4425">
            <v:line style="position:absolute" from="3825,1495" to="3904,1495" stroked="true" strokeweight="3.916673pt" strokecolor="#000000"/>
            <v:shape style="position:absolute;left:3772;top:1370;width:104;height:104" coordorigin="3772,1370" coordsize="104,104" path="m3823,1370l3773,1412,3772,1421,3773,1431,3823,1474,3833,1473,3875,1431,3876,1421,3875,1412,3823,1370xe" filled="true" fillcolor="#000000" stroked="false">
              <v:path arrowok="t"/>
              <v:fill type="solid"/>
            </v:shape>
            <v:shape style="position:absolute;left:3772;top:1370;width:104;height:104" coordorigin="3772,1370" coordsize="104,104" path="m3772,1421l3814,1473,3823,1474,3833,1473,3875,1431,3876,1421,3875,1412,3823,1370,3814,1371,3772,1421xe" filled="false" stroked="true" strokeweight=".378778pt" strokecolor="#000000">
              <v:path arrowok="t"/>
            </v:shape>
            <v:shape style="position:absolute;left:3742;top:1320;width:132;height:132" coordorigin="3742,1320" coordsize="132,132" path="m3808,1320l3742,1386,3808,1451,3873,1386,3808,1320xe" filled="true" fillcolor="#000000" stroked="false">
              <v:path arrowok="t"/>
              <v:fill type="solid"/>
            </v:shape>
            <v:shape style="position:absolute;left:3742;top:1320;width:132;height:132" coordorigin="3742,1320" coordsize="132,132" path="m3742,1386l3808,1320,3873,1386,3808,1451,3742,1386xe" filled="false" stroked="true" strokeweight=".378778pt" strokecolor="#000000">
              <v:path arrowok="t"/>
            </v:shape>
            <v:line style="position:absolute" from="4541,1531" to="4619,1531" stroked="true" strokeweight="3.916673pt" strokecolor="#000000"/>
            <v:shape style="position:absolute;left:4399;top:1398;width:104;height:104" coordorigin="4399,1398" coordsize="104,104" path="m4450,1398l4400,1440,4399,1449,4400,1459,4450,1502,4460,1501,4502,1459,4503,1449,4502,1440,4450,1398xe" filled="true" fillcolor="#000000" stroked="false">
              <v:path arrowok="t"/>
              <v:fill type="solid"/>
            </v:shape>
            <v:shape style="position:absolute;left:4399;top:1398;width:104;height:104" coordorigin="4399,1398" coordsize="104,104" path="m4399,1449l4441,1501,4450,1502,4460,1501,4502,1459,4503,1449,4502,1440,4450,1398,4441,1399,4399,1449xe" filled="false" stroked="true" strokeweight=".378778pt" strokecolor="#000000">
              <v:path arrowok="t"/>
            </v:shape>
            <v:shape style="position:absolute;left:4334;top:1370;width:132;height:132" coordorigin="4334,1370" coordsize="132,132" path="m4399,1370l4334,1436,4399,1502,4465,1436,4399,1370xe" filled="true" fillcolor="#000000" stroked="false">
              <v:path arrowok="t"/>
              <v:fill type="solid"/>
            </v:shape>
            <v:shape style="position:absolute;left:4334;top:1370;width:132;height:132" coordorigin="4334,1370" coordsize="132,132" path="m4334,1436l4399,1370,4465,1436,4399,1502,4334,1436xe" filled="false" stroked="true" strokeweight=".378778pt" strokecolor="#000000">
              <v:path arrowok="t"/>
            </v:shape>
            <v:line style="position:absolute" from="5082,1581" to="5161,1581" stroked="true" strokeweight="3.919828pt" strokecolor="#000000"/>
            <v:shape style="position:absolute;left:5004;top:1428;width:104;height:104" coordorigin="5004,1428" coordsize="104,104" path="m5054,1428l5005,1470,5004,1479,5005,1489,5054,1532,5064,1531,5107,1489,5107,1479,5107,1470,5054,1428xe" filled="true" fillcolor="#000000" stroked="false">
              <v:path arrowok="t"/>
              <v:fill type="solid"/>
            </v:shape>
            <v:shape style="position:absolute;left:5004;top:1428;width:104;height:104" coordorigin="5004,1428" coordsize="104,104" path="m5004,1479l5045,1531,5054,1532,5064,1531,5107,1489,5107,1479,5107,1470,5054,1428,5045,1429,5004,1479xe" filled="false" stroked="true" strokeweight=".378778pt" strokecolor="#000000">
              <v:path arrowok="t"/>
            </v:shape>
            <v:shape style="position:absolute;left:4963;top:1398;width:132;height:132" coordorigin="4963,1398" coordsize="132,132" path="m5029,1398l4963,1464,5029,1530,5095,1464,5029,1398xe" filled="true" fillcolor="#000000" stroked="false">
              <v:path arrowok="t"/>
              <v:fill type="solid"/>
            </v:shape>
            <v:shape style="position:absolute;left:4963;top:1398;width:132;height:132" coordorigin="4963,1398" coordsize="132,132" path="m4963,1464l5029,1398,5095,1464,5029,1530,4963,1464xe" filled="false" stroked="true" strokeweight=".378778pt" strokecolor="#000000">
              <v:path arrowok="t"/>
            </v:shape>
            <v:line style="position:absolute" from="5752,1614" to="5831,1614" stroked="true" strokeweight="3.919828pt" strokecolor="#000000"/>
            <v:shape style="position:absolute;left:5697;top:1487;width:104;height:104" coordorigin="5697,1487" coordsize="104,104" path="m5747,1487l5697,1528,5697,1537,5697,1547,5747,1590,5757,1590,5799,1547,5800,1537,5799,1528,5747,1487xe" filled="true" fillcolor="#000000" stroked="false">
              <v:path arrowok="t"/>
              <v:fill type="solid"/>
            </v:shape>
            <v:shape style="position:absolute;left:5697;top:1487;width:104;height:104" coordorigin="5697,1487" coordsize="104,104" path="m5697,1537l5738,1590,5747,1590,5757,1590,5799,1547,5800,1537,5799,1528,5747,1487,5738,1487,5697,1537xe" filled="false" stroked="true" strokeweight=".378777pt" strokecolor="#000000">
              <v:path arrowok="t"/>
            </v:shape>
            <v:shape style="position:absolute;left:5666;top:1454;width:132;height:132" coordorigin="5666,1454" coordsize="132,132" path="m5732,1454l5666,1519,5732,1585,5798,1519,5732,1454xe" filled="true" fillcolor="#000000" stroked="false">
              <v:path arrowok="t"/>
              <v:fill type="solid"/>
            </v:shape>
            <v:shape style="position:absolute;left:5666;top:1454;width:132;height:132" coordorigin="5666,1454" coordsize="132,132" path="m5666,1519l5732,1454,5798,1519,5732,1585,5666,1519xe" filled="false" stroked="true" strokeweight=".378777pt" strokecolor="#000000">
              <v:path arrowok="t"/>
            </v:shape>
            <v:line style="position:absolute" from="6298,1672" to="6377,1672" stroked="true" strokeweight="3.916673pt" strokecolor="#000000"/>
            <v:shape style="position:absolute;left:6162;top:1535;width:104;height:104" coordorigin="6162,1535" coordsize="104,104" path="m6212,1535l6163,1576,6162,1585,6163,1595,6212,1638,6222,1638,6265,1595,6265,1585,6265,1576,6212,1535xe" filled="true" fillcolor="#000000" stroked="false">
              <v:path arrowok="t"/>
              <v:fill type="solid"/>
            </v:shape>
            <v:shape style="position:absolute;left:6162;top:1535;width:104;height:104" coordorigin="6162,1535" coordsize="104,104" path="m6162,1585l6203,1638,6212,1638,6222,1638,6265,1595,6265,1585,6265,1576,6212,1535,6203,1535,6162,1585xe" filled="false" stroked="true" strokeweight=".378777pt" strokecolor="#000000">
              <v:path arrowok="t"/>
            </v:shape>
            <v:shape style="position:absolute;left:6096;top:1492;width:132;height:132" coordorigin="6096,1492" coordsize="132,132" path="m6162,1492l6096,1557,6162,1623,6228,1557,6162,1492xe" filled="true" fillcolor="#000000" stroked="false">
              <v:path arrowok="t"/>
              <v:fill type="solid"/>
            </v:shape>
            <v:shape style="position:absolute;left:6096;top:1492;width:132;height:132" coordorigin="6096,1492" coordsize="132,132" path="m6096,1557l6162,1492,6228,1557,6162,1623,6096,1557xe" filled="false" stroked="true" strokeweight=".378777pt" strokecolor="#000000">
              <v:path arrowok="t"/>
            </v:shape>
            <v:line style="position:absolute" from="6991,1743" to="7070,1743" stroked="true" strokeweight="3.919828pt" strokecolor="#000000"/>
            <v:shape style="position:absolute;left:6824;top:1593;width:104;height:104" coordorigin="6824,1593" coordsize="104,104" path="m6875,1593l6825,1634,6824,1643,6825,1653,6875,1696,6885,1696,6927,1653,6928,1643,6927,1634,6875,1593xe" filled="true" fillcolor="#000000" stroked="false">
              <v:path arrowok="t"/>
              <v:fill type="solid"/>
            </v:shape>
            <v:shape style="position:absolute;left:6824;top:1593;width:104;height:104" coordorigin="6824,1593" coordsize="104,104" path="m6824,1643l6866,1696,6875,1696,6885,1696,6927,1653,6928,1643,6927,1634,6875,1593,6866,1594,6824,1643xe" filled="false" stroked="true" strokeweight=".378777pt" strokecolor="#000000">
              <v:path arrowok="t"/>
            </v:shape>
            <v:shape style="position:absolute;left:6731;top:1532;width:132;height:132" coordorigin="6731,1532" coordsize="132,132" path="m6796,1532l6731,1598,6796,1664,6862,1598,6796,1532xe" filled="true" fillcolor="#000000" stroked="false">
              <v:path arrowok="t"/>
              <v:fill type="solid"/>
            </v:shape>
            <v:shape style="position:absolute;left:6731;top:1532;width:132;height:132" coordorigin="6731,1532" coordsize="132,132" path="m6731,1598l6796,1532,6862,1598,6796,1664,6731,1598xe" filled="false" stroked="true" strokeweight=".378777pt" strokecolor="#000000">
              <v:path arrowok="t"/>
            </v:shape>
            <v:line style="position:absolute" from="7641,1860" to="7719,1860" stroked="true" strokeweight="3.919828pt" strokecolor="#000000"/>
            <v:shape style="position:absolute;left:7499;top:1752;width:104;height:104" coordorigin="7499,1752" coordsize="104,104" path="m7550,1752l7500,1794,7499,1803,7500,1812,7550,1856,7560,1855,7602,1812,7603,1803,7602,1794,7550,1752xe" filled="true" fillcolor="#000000" stroked="false">
              <v:path arrowok="t"/>
              <v:fill type="solid"/>
            </v:shape>
            <v:shape style="position:absolute;left:7499;top:1752;width:104;height:104" coordorigin="7499,1752" coordsize="104,104" path="m7499,1803l7541,1855,7550,1856,7560,1855,7602,1812,7603,1803,7602,1794,7550,1752,7541,1753,7499,1803xe" filled="false" stroked="true" strokeweight=".378777pt" strokecolor="#000000">
              <v:path arrowok="t"/>
            </v:shape>
            <v:shape style="position:absolute;left:7434;top:1699;width:132;height:132" coordorigin="7434,1699" coordsize="132,132" path="m7499,1699l7434,1765,7499,1830,7565,1765,7499,1699xe" filled="true" fillcolor="#000000" stroked="false">
              <v:path arrowok="t"/>
              <v:fill type="solid"/>
            </v:shape>
            <v:shape style="position:absolute;left:7434;top:1699;width:132;height:132" coordorigin="7434,1699" coordsize="132,132" path="m7434,1765l7499,1699,7565,1765,7499,1830,7434,1765xe" filled="false" stroked="true" strokeweight=".378777pt" strokecolor="#000000">
              <v:path arrowok="t"/>
            </v:shape>
            <v:line style="position:absolute" from="8116,1935" to="8195,1935" stroked="true" strokeweight="3.916799pt" strokecolor="#000000"/>
            <v:shape style="position:absolute;left:7957;top:1833;width:104;height:104" coordorigin="7957,1833" coordsize="104,104" path="m8008,1833l7958,1874,7957,1884,7958,1893,8008,1937,8017,1936,8060,1893,8061,1884,8060,1874,8008,1833xe" filled="true" fillcolor="#000000" stroked="false">
              <v:path arrowok="t"/>
              <v:fill type="solid"/>
            </v:shape>
            <v:shape style="position:absolute;left:7957;top:1833;width:104;height:104" coordorigin="7957,1833" coordsize="104,104" path="m7957,1884l7999,1936,8008,1937,8017,1936,8060,1893,8061,1884,8060,1874,8008,1833,7999,1834,7957,1884xe" filled="false" stroked="true" strokeweight=".378778pt" strokecolor="#000000">
              <v:path arrowok="t"/>
            </v:shape>
            <v:shape style="position:absolute;left:7858;top:1787;width:132;height:132" coordorigin="7858,1787" coordsize="132,132" path="m7924,1787l7858,1853,7924,1919,7990,1853,7924,1787xe" filled="true" fillcolor="#000000" stroked="false">
              <v:path arrowok="t"/>
              <v:fill type="solid"/>
            </v:shape>
            <v:shape style="position:absolute;left:17539;top:-16702;width:33939;height:3627" coordorigin="17539,-16702" coordsize="33939,3627" path="m7858,1853l7924,1787,7990,1853,7924,1919,7858,1853xm3866,1484l4581,1542,5123,1580,5793,1628,6339,1674,7032,1750,7681,1846,8157,1942e" filled="false" stroked="true" strokeweight=".378778pt" strokecolor="#000000">
              <v:path arrowok="t"/>
            </v:shape>
            <v:shape style="position:absolute;left:3182;top:550;width:5022;height:3976" type="#_x0000_t75" stroked="false">
              <v:imagedata r:id="rId42" o:title=""/>
            </v:shape>
            <v:shape style="position:absolute;left:17079;top:-17623;width:1660;height:161" coordorigin="17079,-17623" coordsize="1660,161" path="m3808,1368l3815,1368m3848,1373l3856,1373m3889,1375l3896,1375m3929,1380l3937,1380m3970,1383l3977,1383m4010,1388l4018,1388e" filled="false" stroked="true" strokeweight=".378778pt" strokecolor="#000000">
              <v:path arrowok="t"/>
            </v:shape>
            <v:shape style="position:absolute;left:11519;top:-27581;width:47117;height:34922" coordorigin="11519,-27581" coordsize="47117,34922" path="m8475,4475l8475,4432m9062,4518l9062,4432m3191,4432l9062,4432m3105,4432l3191,4432m3148,4217l3191,4217m3105,3999l3191,3999m3148,3785l3191,3785m3105,3567l3191,3567m3148,3352l3191,3352m3105,3135l3191,3135m3148,2920l3191,2920m3105,2703l3191,2703m3148,2488l3191,2488m3105,2273l3191,2273m3148,2055l3191,2055m3105,1841l3191,1841m3148,1623l3191,1623m3105,1408l3191,1408m3148,1191l3191,1191m3105,976l3191,976m3148,759l3191,759m3105,544l3191,544m3148,326l3191,326m3105,111l3191,111m3191,4432l3191,111m3191,111l3191,197m3777,111l3777,154m4364,111l4364,197m4953,111l4953,154m5540,111l5540,197m6126,111l6126,154m6713,111l6713,197m7300,111l7300,154m7889,111l7889,197m8475,111l8475,154m9062,111l9062,197m3191,111l9062,111e" filled="false" stroked="true" strokeweight=".883823pt" strokecolor="#000000">
              <v:path arrowok="t"/>
            </v:shape>
            <v:line style="position:absolute" from="8220,3192" to="8298,3192" stroked="true" strokeweight="3.916673pt" strokecolor="#000000"/>
            <v:shape style="position:absolute;left:8204;top:3333;width:111;height:111" type="#_x0000_t75" stroked="false">
              <v:imagedata r:id="rId43" o:title=""/>
            </v:shape>
            <v:shape style="position:absolute;left:8191;top:3518;width:139;height:139" type="#_x0000_t75" stroked="false">
              <v:imagedata r:id="rId44" o:title=""/>
            </v:shape>
            <v:rect style="position:absolute;left:8212;top:3737;width:94;height:93" filled="false" stroked="true" strokeweight=".378777pt" strokecolor="#000000"/>
            <v:shape style="position:absolute;left:8204;top:3925;width:111;height:111" type="#_x0000_t75" stroked="false">
              <v:imagedata r:id="rId45" o:title=""/>
            </v:shape>
            <v:shape style="position:absolute;left:8195;top:4113;width:132;height:132" coordorigin="8195,4113" coordsize="132,132" path="m8195,4179l8260,4113,8326,4179,8260,4245,8195,4179xe" filled="false" stroked="true" strokeweight=".378778pt" strokecolor="#000000">
              <v:path arrowok="t"/>
            </v:shape>
            <v:shape style="position:absolute;left:57956;top:-27581;width:681;height:34240" coordorigin="57956,-27581" coordsize="681,34240" path="m9062,4432l8976,4432m9062,4144l9019,4144m9062,3855l8976,3855m9062,3567l9019,3567m9062,3279l8976,3279m9062,2991l9019,2991m9062,2703l8976,2703m9062,2414l9019,2414m9062,2129l8976,2129m9062,1841l9019,1841m9062,1552l8976,1552m9062,1264l9019,1264m9062,976l8976,976m9062,688l9019,688m9062,400l8976,400m9062,111l9019,111m9062,4432l9062,111e" filled="false" stroked="true" strokeweight=".883823pt" strokecolor="#000000">
              <v:path arrowok="t"/>
            </v:shape>
            <v:shape style="position:absolute;left:8473;top:3122;width:358;height:1140" type="#_x0000_t202" filled="false" stroked="false">
              <v:textbox inset="0,0,0,0">
                <w:txbxContent>
                  <w:p>
                    <w:pPr>
                      <w:spacing w:line="156" w:lineRule="exact" w:before="0"/>
                      <w:ind w:left="0" w:right="-18" w:firstLine="0"/>
                      <w:jc w:val="left"/>
                      <w:rPr>
                        <w:sz w:val="15"/>
                      </w:rPr>
                    </w:pPr>
                    <w:r>
                      <w:rPr>
                        <w:w w:val="105"/>
                        <w:sz w:val="15"/>
                      </w:rPr>
                      <w:t>25</w:t>
                    </w:r>
                    <w:r>
                      <w:rPr>
                        <w:spacing w:val="-9"/>
                        <w:w w:val="105"/>
                        <w:sz w:val="15"/>
                      </w:rPr>
                      <w:t> </w:t>
                    </w:r>
                    <w:r>
                      <w:rPr>
                        <w:w w:val="105"/>
                        <w:sz w:val="15"/>
                      </w:rPr>
                      <w:t>°C</w:t>
                    </w:r>
                  </w:p>
                  <w:p>
                    <w:pPr>
                      <w:spacing w:before="24"/>
                      <w:ind w:left="0" w:right="-18" w:firstLine="0"/>
                      <w:jc w:val="left"/>
                      <w:rPr>
                        <w:sz w:val="15"/>
                      </w:rPr>
                    </w:pPr>
                    <w:r>
                      <w:rPr>
                        <w:w w:val="105"/>
                        <w:sz w:val="15"/>
                      </w:rPr>
                      <w:t>35</w:t>
                    </w:r>
                    <w:r>
                      <w:rPr>
                        <w:spacing w:val="-9"/>
                        <w:w w:val="105"/>
                        <w:sz w:val="15"/>
                      </w:rPr>
                      <w:t> </w:t>
                    </w:r>
                    <w:r>
                      <w:rPr>
                        <w:w w:val="105"/>
                        <w:sz w:val="15"/>
                      </w:rPr>
                      <w:t>°C</w:t>
                    </w:r>
                  </w:p>
                  <w:p>
                    <w:pPr>
                      <w:spacing w:before="24"/>
                      <w:ind w:left="0" w:right="-18" w:firstLine="0"/>
                      <w:jc w:val="left"/>
                      <w:rPr>
                        <w:sz w:val="15"/>
                      </w:rPr>
                    </w:pPr>
                    <w:r>
                      <w:rPr>
                        <w:w w:val="105"/>
                        <w:sz w:val="15"/>
                      </w:rPr>
                      <w:t>40</w:t>
                    </w:r>
                    <w:r>
                      <w:rPr>
                        <w:spacing w:val="-9"/>
                        <w:w w:val="105"/>
                        <w:sz w:val="15"/>
                      </w:rPr>
                      <w:t> </w:t>
                    </w:r>
                    <w:r>
                      <w:rPr>
                        <w:w w:val="105"/>
                        <w:sz w:val="15"/>
                      </w:rPr>
                      <w:t>°C</w:t>
                    </w:r>
                  </w:p>
                  <w:p>
                    <w:pPr>
                      <w:spacing w:before="24"/>
                      <w:ind w:left="0" w:right="-18" w:firstLine="0"/>
                      <w:jc w:val="left"/>
                      <w:rPr>
                        <w:sz w:val="15"/>
                      </w:rPr>
                    </w:pPr>
                    <w:r>
                      <w:rPr>
                        <w:w w:val="105"/>
                        <w:sz w:val="15"/>
                      </w:rPr>
                      <w:t>25</w:t>
                    </w:r>
                    <w:r>
                      <w:rPr>
                        <w:spacing w:val="-9"/>
                        <w:w w:val="105"/>
                        <w:sz w:val="15"/>
                      </w:rPr>
                      <w:t> </w:t>
                    </w:r>
                    <w:r>
                      <w:rPr>
                        <w:w w:val="105"/>
                        <w:sz w:val="15"/>
                      </w:rPr>
                      <w:t>°C</w:t>
                    </w:r>
                  </w:p>
                  <w:p>
                    <w:pPr>
                      <w:spacing w:before="24"/>
                      <w:ind w:left="0" w:right="-18" w:firstLine="0"/>
                      <w:jc w:val="left"/>
                      <w:rPr>
                        <w:sz w:val="15"/>
                      </w:rPr>
                    </w:pPr>
                    <w:r>
                      <w:rPr>
                        <w:w w:val="105"/>
                        <w:sz w:val="15"/>
                      </w:rPr>
                      <w:t>35</w:t>
                    </w:r>
                    <w:r>
                      <w:rPr>
                        <w:spacing w:val="-9"/>
                        <w:w w:val="105"/>
                        <w:sz w:val="15"/>
                      </w:rPr>
                      <w:t> </w:t>
                    </w:r>
                    <w:r>
                      <w:rPr>
                        <w:w w:val="105"/>
                        <w:sz w:val="15"/>
                      </w:rPr>
                      <w:t>°C</w:t>
                    </w:r>
                  </w:p>
                  <w:p>
                    <w:pPr>
                      <w:spacing w:line="170" w:lineRule="exact" w:before="24"/>
                      <w:ind w:left="0" w:right="-18" w:firstLine="0"/>
                      <w:jc w:val="left"/>
                      <w:rPr>
                        <w:sz w:val="15"/>
                      </w:rPr>
                    </w:pPr>
                    <w:r>
                      <w:rPr>
                        <w:w w:val="105"/>
                        <w:sz w:val="15"/>
                      </w:rPr>
                      <w:t>40</w:t>
                    </w:r>
                    <w:r>
                      <w:rPr>
                        <w:spacing w:val="-9"/>
                        <w:w w:val="105"/>
                        <w:sz w:val="15"/>
                      </w:rPr>
                      <w:t> </w:t>
                    </w:r>
                    <w:r>
                      <w:rPr>
                        <w:w w:val="105"/>
                        <w:sz w:val="15"/>
                      </w:rPr>
                      <w:t>°C</w:t>
                    </w:r>
                  </w:p>
                </w:txbxContent>
              </v:textbox>
              <w10:wrap type="none"/>
            </v:shape>
            <w10:wrap type="none"/>
          </v:group>
        </w:pict>
      </w:r>
      <w:r>
        <w:rPr>
          <w:rFonts w:ascii="Arial"/>
          <w:w w:val="105"/>
          <w:sz w:val="17"/>
        </w:rPr>
        <w:t>150</w:t>
      </w:r>
    </w:p>
    <w:p>
      <w:pPr>
        <w:spacing w:line="170" w:lineRule="exact" w:before="92"/>
        <w:ind w:left="0" w:right="2549" w:firstLine="0"/>
        <w:jc w:val="right"/>
        <w:rPr>
          <w:rFonts w:ascii="Arial"/>
          <w:sz w:val="17"/>
        </w:rPr>
      </w:pPr>
      <w:r>
        <w:rPr>
          <w:rFonts w:ascii="Arial"/>
          <w:sz w:val="17"/>
        </w:rPr>
        <w:t>21</w:t>
      </w:r>
    </w:p>
    <w:p>
      <w:pPr>
        <w:spacing w:line="170" w:lineRule="exact" w:before="0"/>
        <w:ind w:left="1078" w:right="0" w:firstLine="0"/>
        <w:jc w:val="left"/>
        <w:rPr>
          <w:rFonts w:ascii="Arial"/>
          <w:sz w:val="17"/>
        </w:rPr>
      </w:pPr>
      <w:r>
        <w:rPr>
          <w:rFonts w:ascii="Arial"/>
          <w:w w:val="105"/>
          <w:sz w:val="17"/>
        </w:rPr>
        <w:t>120</w:t>
      </w:r>
    </w:p>
    <w:p>
      <w:pPr>
        <w:pStyle w:val="BodyText"/>
        <w:spacing w:before="5"/>
        <w:rPr>
          <w:rFonts w:ascii="Arial"/>
          <w:sz w:val="13"/>
        </w:rPr>
      </w:pPr>
    </w:p>
    <w:p>
      <w:pPr>
        <w:tabs>
          <w:tab w:pos="7475" w:val="left" w:leader="none"/>
        </w:tabs>
        <w:spacing w:before="82"/>
        <w:ind w:left="1174" w:right="0" w:firstLine="0"/>
        <w:jc w:val="left"/>
        <w:rPr>
          <w:rFonts w:ascii="Arial"/>
          <w:sz w:val="17"/>
        </w:rPr>
      </w:pPr>
      <w:r>
        <w:rPr>
          <w:rFonts w:ascii="Arial"/>
          <w:w w:val="105"/>
          <w:sz w:val="17"/>
        </w:rPr>
        <w:t>90</w:t>
        <w:tab/>
        <w:t>18</w:t>
      </w:r>
    </w:p>
    <w:p>
      <w:pPr>
        <w:pStyle w:val="BodyText"/>
        <w:spacing w:before="5"/>
        <w:rPr>
          <w:rFonts w:ascii="Arial"/>
          <w:sz w:val="13"/>
        </w:rPr>
      </w:pPr>
    </w:p>
    <w:p>
      <w:pPr>
        <w:spacing w:line="170" w:lineRule="exact" w:before="82"/>
        <w:ind w:left="1174" w:right="0" w:firstLine="0"/>
        <w:jc w:val="left"/>
        <w:rPr>
          <w:rFonts w:ascii="Arial"/>
          <w:sz w:val="17"/>
        </w:rPr>
      </w:pPr>
      <w:r>
        <w:rPr/>
        <w:pict>
          <v:shape style="position:absolute;margin-left:479.659027pt;margin-top:.355973pt;width:13pt;height:130.1pt;mso-position-horizontal-relative:page;mso-position-vertical-relative:paragraph;z-index:2176" type="#_x0000_t202" filled="false" stroked="false">
            <v:textbox inset="0,0,0,0" style="layout-flow:vertical;mso-layout-flow-alt:bottom-to-top">
              <w:txbxContent>
                <w:p>
                  <w:pPr>
                    <w:spacing w:line="245" w:lineRule="exact" w:before="0"/>
                    <w:ind w:left="20" w:right="-797" w:firstLine="0"/>
                    <w:jc w:val="left"/>
                    <w:rPr>
                      <w:sz w:val="22"/>
                    </w:rPr>
                  </w:pPr>
                  <w:r>
                    <w:rPr>
                      <w:w w:val="99"/>
                      <w:sz w:val="22"/>
                    </w:rPr>
                    <w:t>M</w:t>
                  </w:r>
                  <w:r>
                    <w:rPr>
                      <w:spacing w:val="-2"/>
                      <w:w w:val="99"/>
                      <w:sz w:val="22"/>
                    </w:rPr>
                    <w:t>o</w:t>
                  </w:r>
                  <w:r>
                    <w:rPr>
                      <w:w w:val="99"/>
                      <w:sz w:val="22"/>
                    </w:rPr>
                    <w:t>ist</w:t>
                  </w:r>
                  <w:r>
                    <w:rPr>
                      <w:spacing w:val="-2"/>
                      <w:w w:val="99"/>
                      <w:sz w:val="22"/>
                    </w:rPr>
                    <w:t>u</w:t>
                  </w:r>
                  <w:r>
                    <w:rPr>
                      <w:w w:val="99"/>
                      <w:sz w:val="22"/>
                    </w:rPr>
                    <w:t>re</w:t>
                  </w:r>
                  <w:r>
                    <w:rPr>
                      <w:sz w:val="22"/>
                    </w:rPr>
                    <w:t> </w:t>
                  </w:r>
                  <w:r>
                    <w:rPr>
                      <w:spacing w:val="1"/>
                      <w:w w:val="99"/>
                      <w:sz w:val="22"/>
                    </w:rPr>
                    <w:t>e</w:t>
                  </w:r>
                  <w:r>
                    <w:rPr>
                      <w:spacing w:val="-2"/>
                      <w:w w:val="99"/>
                      <w:sz w:val="22"/>
                    </w:rPr>
                    <w:t>qu</w:t>
                  </w:r>
                  <w:r>
                    <w:rPr>
                      <w:w w:val="99"/>
                      <w:sz w:val="22"/>
                    </w:rPr>
                    <w:t>i</w:t>
                  </w:r>
                  <w:r>
                    <w:rPr>
                      <w:spacing w:val="-1"/>
                      <w:w w:val="99"/>
                      <w:sz w:val="22"/>
                    </w:rPr>
                    <w:t>l</w:t>
                  </w:r>
                  <w:r>
                    <w:rPr>
                      <w:w w:val="99"/>
                      <w:sz w:val="22"/>
                    </w:rPr>
                    <w:t>i</w:t>
                  </w:r>
                  <w:r>
                    <w:rPr>
                      <w:spacing w:val="-2"/>
                      <w:w w:val="99"/>
                      <w:sz w:val="22"/>
                    </w:rPr>
                    <w:t>b</w:t>
                  </w:r>
                  <w:r>
                    <w:rPr>
                      <w:w w:val="99"/>
                      <w:sz w:val="22"/>
                    </w:rPr>
                    <w:t>ri</w:t>
                  </w:r>
                  <w:r>
                    <w:rPr>
                      <w:spacing w:val="-2"/>
                      <w:w w:val="99"/>
                      <w:sz w:val="22"/>
                    </w:rPr>
                    <w:t>u</w:t>
                  </w:r>
                  <w:r>
                    <w:rPr>
                      <w:w w:val="99"/>
                      <w:sz w:val="22"/>
                    </w:rPr>
                    <w:t>m</w:t>
                  </w:r>
                  <w:r>
                    <w:rPr>
                      <w:spacing w:val="-2"/>
                      <w:sz w:val="22"/>
                    </w:rPr>
                    <w:t> </w:t>
                  </w:r>
                  <w:r>
                    <w:rPr>
                      <w:spacing w:val="1"/>
                      <w:w w:val="99"/>
                      <w:sz w:val="22"/>
                    </w:rPr>
                    <w:t>c</w:t>
                  </w:r>
                  <w:r>
                    <w:rPr>
                      <w:spacing w:val="-2"/>
                      <w:w w:val="99"/>
                      <w:sz w:val="22"/>
                    </w:rPr>
                    <w:t>on</w:t>
                  </w:r>
                  <w:r>
                    <w:rPr>
                      <w:w w:val="99"/>
                      <w:sz w:val="22"/>
                    </w:rPr>
                    <w:t>te</w:t>
                  </w:r>
                  <w:r>
                    <w:rPr>
                      <w:spacing w:val="-1"/>
                      <w:w w:val="99"/>
                      <w:sz w:val="22"/>
                    </w:rPr>
                    <w:t>n</w:t>
                  </w:r>
                  <w:r>
                    <w:rPr>
                      <w:w w:val="99"/>
                      <w:sz w:val="22"/>
                    </w:rPr>
                    <w:t>t</w:t>
                  </w:r>
                </w:p>
              </w:txbxContent>
            </v:textbox>
            <w10:wrap type="none"/>
          </v:shape>
        </w:pict>
      </w:r>
      <w:r>
        <w:rPr>
          <w:rFonts w:ascii="Arial"/>
          <w:w w:val="105"/>
          <w:sz w:val="17"/>
        </w:rPr>
        <w:t>60</w:t>
      </w:r>
    </w:p>
    <w:p>
      <w:pPr>
        <w:spacing w:line="170" w:lineRule="exact" w:before="0"/>
        <w:ind w:left="0" w:right="2549" w:firstLine="0"/>
        <w:jc w:val="right"/>
        <w:rPr>
          <w:rFonts w:ascii="Arial"/>
          <w:sz w:val="17"/>
        </w:rPr>
      </w:pPr>
      <w:r>
        <w:rPr/>
        <w:pict>
          <v:shape style="position:absolute;margin-left:493.567993pt;margin-top:7.466194pt;width:13pt;height:93.3pt;mso-position-horizontal-relative:page;mso-position-vertical-relative:paragraph;z-index:2200" type="#_x0000_t202" filled="false" stroked="false">
            <v:textbox inset="0,0,0,0" style="layout-flow:vertical;mso-layout-flow-alt:bottom-to-top">
              <w:txbxContent>
                <w:p>
                  <w:pPr>
                    <w:spacing w:line="245" w:lineRule="exact" w:before="0"/>
                    <w:ind w:left="20" w:right="0" w:firstLine="0"/>
                    <w:jc w:val="left"/>
                    <w:rPr>
                      <w:sz w:val="22"/>
                    </w:rPr>
                  </w:pPr>
                  <w:r>
                    <w:rPr>
                      <w:w w:val="99"/>
                      <w:sz w:val="22"/>
                    </w:rPr>
                    <w:t>(</w:t>
                  </w:r>
                  <w:r>
                    <w:rPr>
                      <w:spacing w:val="-2"/>
                      <w:w w:val="99"/>
                      <w:sz w:val="22"/>
                    </w:rPr>
                    <w:t>k</w:t>
                  </w:r>
                  <w:r>
                    <w:rPr>
                      <w:w w:val="99"/>
                      <w:sz w:val="22"/>
                    </w:rPr>
                    <w:t>g</w:t>
                  </w:r>
                  <w:r>
                    <w:rPr>
                      <w:spacing w:val="-2"/>
                      <w:sz w:val="22"/>
                    </w:rPr>
                    <w:t> </w:t>
                  </w:r>
                  <w:r>
                    <w:rPr>
                      <w:w w:val="99"/>
                      <w:sz w:val="22"/>
                    </w:rPr>
                    <w:t>H</w:t>
                  </w:r>
                  <w:r>
                    <w:rPr>
                      <w:spacing w:val="12"/>
                      <w:sz w:val="22"/>
                    </w:rPr>
                    <w:t> </w:t>
                  </w:r>
                  <w:r>
                    <w:rPr>
                      <w:w w:val="99"/>
                      <w:sz w:val="22"/>
                    </w:rPr>
                    <w:t>O/</w:t>
                  </w:r>
                  <w:r>
                    <w:rPr>
                      <w:spacing w:val="-2"/>
                      <w:w w:val="99"/>
                      <w:sz w:val="22"/>
                    </w:rPr>
                    <w:t>1</w:t>
                  </w:r>
                  <w:r>
                    <w:rPr>
                      <w:spacing w:val="-2"/>
                      <w:w w:val="99"/>
                      <w:sz w:val="22"/>
                    </w:rPr>
                    <w:t>0</w:t>
                  </w:r>
                  <w:r>
                    <w:rPr>
                      <w:w w:val="99"/>
                      <w:sz w:val="22"/>
                    </w:rPr>
                    <w:t>0</w:t>
                  </w:r>
                  <w:r>
                    <w:rPr>
                      <w:spacing w:val="-2"/>
                      <w:sz w:val="22"/>
                    </w:rPr>
                    <w:t> </w:t>
                  </w:r>
                  <w:r>
                    <w:rPr>
                      <w:w w:val="99"/>
                      <w:sz w:val="22"/>
                    </w:rPr>
                    <w:t>kg</w:t>
                  </w:r>
                  <w:r>
                    <w:rPr>
                      <w:spacing w:val="-2"/>
                      <w:sz w:val="22"/>
                    </w:rPr>
                    <w:t> </w:t>
                  </w:r>
                  <w:r>
                    <w:rPr>
                      <w:w w:val="99"/>
                      <w:sz w:val="22"/>
                    </w:rPr>
                    <w:t>d.s</w:t>
                  </w:r>
                  <w:r>
                    <w:rPr>
                      <w:spacing w:val="3"/>
                      <w:w w:val="99"/>
                      <w:sz w:val="22"/>
                    </w:rPr>
                    <w:t>.</w:t>
                  </w:r>
                  <w:r>
                    <w:rPr>
                      <w:w w:val="99"/>
                      <w:sz w:val="22"/>
                    </w:rPr>
                    <w:t>)</w:t>
                  </w:r>
                </w:p>
              </w:txbxContent>
            </v:textbox>
            <w10:wrap type="none"/>
          </v:shape>
        </w:pict>
      </w:r>
      <w:r>
        <w:rPr>
          <w:rFonts w:ascii="Arial"/>
          <w:sz w:val="17"/>
        </w:rPr>
        <w:t>15</w:t>
      </w:r>
    </w:p>
    <w:p>
      <w:pPr>
        <w:spacing w:before="92"/>
        <w:ind w:left="1174" w:right="0" w:firstLine="0"/>
        <w:jc w:val="left"/>
        <w:rPr>
          <w:rFonts w:ascii="Arial"/>
          <w:sz w:val="17"/>
        </w:rPr>
      </w:pPr>
      <w:r>
        <w:rPr>
          <w:rFonts w:ascii="Arial"/>
          <w:w w:val="105"/>
          <w:sz w:val="17"/>
        </w:rPr>
        <w:t>30</w:t>
      </w:r>
    </w:p>
    <w:p>
      <w:pPr>
        <w:spacing w:line="170" w:lineRule="exact" w:before="92"/>
        <w:ind w:left="0" w:right="2549" w:firstLine="0"/>
        <w:jc w:val="right"/>
        <w:rPr>
          <w:rFonts w:ascii="Arial"/>
          <w:sz w:val="17"/>
        </w:rPr>
      </w:pPr>
      <w:r>
        <w:rPr/>
        <w:pict>
          <v:shape style="position:absolute;margin-left:115.125618pt;margin-top:7.036394pt;width:12.75pt;height:34.5pt;mso-position-horizontal-relative:page;mso-position-vertical-relative:paragraph;z-index:2152" type="#_x0000_t202" filled="false" stroked="false">
            <v:textbox inset="0,0,0,0" style="layout-flow:vertical;mso-layout-flow-alt:bottom-to-top">
              <w:txbxContent>
                <w:p>
                  <w:pPr>
                    <w:spacing w:line="238" w:lineRule="exact" w:before="0"/>
                    <w:ind w:left="20" w:right="-156" w:firstLine="0"/>
                    <w:jc w:val="left"/>
                    <w:rPr>
                      <w:sz w:val="21"/>
                    </w:rPr>
                  </w:pPr>
                  <w:r>
                    <w:rPr>
                      <w:i/>
                      <w:spacing w:val="-1"/>
                      <w:w w:val="102"/>
                      <w:sz w:val="21"/>
                    </w:rPr>
                    <w:t>T</w:t>
                  </w:r>
                  <w:r>
                    <w:rPr>
                      <w:i/>
                      <w:w w:val="102"/>
                      <w:sz w:val="21"/>
                    </w:rPr>
                    <w:t>g</w:t>
                  </w:r>
                  <w:r>
                    <w:rPr>
                      <w:i/>
                      <w:spacing w:val="-1"/>
                      <w:sz w:val="21"/>
                    </w:rPr>
                    <w:t> </w:t>
                  </w:r>
                  <w:r>
                    <w:rPr>
                      <w:spacing w:val="-1"/>
                      <w:w w:val="102"/>
                      <w:sz w:val="21"/>
                    </w:rPr>
                    <w:t>(</w:t>
                  </w:r>
                  <w:r>
                    <w:rPr>
                      <w:w w:val="102"/>
                      <w:sz w:val="21"/>
                    </w:rPr>
                    <w:t>°C)</w:t>
                  </w:r>
                </w:p>
              </w:txbxContent>
            </v:textbox>
            <w10:wrap type="none"/>
          </v:shape>
        </w:pict>
      </w:r>
      <w:r>
        <w:rPr>
          <w:rFonts w:ascii="Arial"/>
          <w:sz w:val="17"/>
        </w:rPr>
        <w:t>12</w:t>
      </w:r>
    </w:p>
    <w:p>
      <w:pPr>
        <w:spacing w:line="170" w:lineRule="exact" w:before="0"/>
        <w:ind w:left="1270" w:right="0" w:firstLine="0"/>
        <w:jc w:val="left"/>
        <w:rPr>
          <w:rFonts w:ascii="Arial"/>
          <w:sz w:val="17"/>
        </w:rPr>
      </w:pPr>
      <w:r>
        <w:rPr>
          <w:rFonts w:ascii="Arial"/>
          <w:w w:val="102"/>
          <w:sz w:val="17"/>
        </w:rPr>
        <w:t>0</w:t>
      </w:r>
    </w:p>
    <w:p>
      <w:pPr>
        <w:pStyle w:val="BodyText"/>
        <w:spacing w:before="3"/>
        <w:rPr>
          <w:rFonts w:ascii="Arial"/>
          <w:sz w:val="13"/>
        </w:rPr>
      </w:pPr>
    </w:p>
    <w:p>
      <w:pPr>
        <w:tabs>
          <w:tab w:pos="6359" w:val="left" w:leader="none"/>
        </w:tabs>
        <w:spacing w:before="81"/>
        <w:ind w:left="0" w:right="2644" w:firstLine="0"/>
        <w:jc w:val="right"/>
        <w:rPr>
          <w:rFonts w:ascii="Arial"/>
          <w:sz w:val="17"/>
        </w:rPr>
      </w:pPr>
      <w:r>
        <w:rPr/>
        <w:pict>
          <v:shape style="position:absolute;margin-left:501.425079pt;margin-top:17.982534pt;width:8.6pt;height:5.3pt;mso-position-horizontal-relative:page;mso-position-vertical-relative:paragraph;z-index:2224" type="#_x0000_t202" filled="false" stroked="false">
            <v:textbox inset="0,0,0,0" style="layout-flow:vertical;mso-layout-flow-alt:bottom-to-top">
              <w:txbxContent>
                <w:p>
                  <w:pPr>
                    <w:spacing w:before="4"/>
                    <w:ind w:left="20" w:right="0" w:firstLine="0"/>
                    <w:jc w:val="left"/>
                    <w:rPr>
                      <w:sz w:val="13"/>
                    </w:rPr>
                  </w:pPr>
                  <w:r>
                    <w:rPr>
                      <w:w w:val="100"/>
                      <w:sz w:val="13"/>
                    </w:rPr>
                    <w:t>2</w:t>
                  </w:r>
                </w:p>
              </w:txbxContent>
            </v:textbox>
            <w10:wrap type="none"/>
          </v:shape>
        </w:pict>
      </w:r>
      <w:r>
        <w:rPr>
          <w:rFonts w:ascii="Arial"/>
          <w:w w:val="105"/>
          <w:sz w:val="17"/>
        </w:rPr>
        <w:t>-30</w:t>
        <w:tab/>
      </w:r>
      <w:r>
        <w:rPr>
          <w:rFonts w:ascii="Arial"/>
          <w:sz w:val="17"/>
        </w:rPr>
        <w:t>9</w:t>
      </w:r>
    </w:p>
    <w:p>
      <w:pPr>
        <w:pStyle w:val="BodyText"/>
        <w:spacing w:before="6"/>
        <w:rPr>
          <w:rFonts w:ascii="Arial"/>
          <w:sz w:val="20"/>
        </w:rPr>
      </w:pPr>
    </w:p>
    <w:p>
      <w:pPr>
        <w:spacing w:line="170" w:lineRule="exact" w:before="1"/>
        <w:ind w:left="1116" w:right="0" w:firstLine="0"/>
        <w:jc w:val="left"/>
        <w:rPr>
          <w:rFonts w:ascii="Arial"/>
          <w:sz w:val="17"/>
        </w:rPr>
      </w:pPr>
      <w:r>
        <w:rPr>
          <w:rFonts w:ascii="Arial"/>
          <w:w w:val="105"/>
          <w:sz w:val="17"/>
        </w:rPr>
        <w:t>-60</w:t>
      </w:r>
    </w:p>
    <w:p>
      <w:pPr>
        <w:spacing w:line="170" w:lineRule="exact" w:before="0"/>
        <w:ind w:left="0" w:right="2644" w:firstLine="0"/>
        <w:jc w:val="right"/>
        <w:rPr>
          <w:rFonts w:ascii="Arial"/>
          <w:sz w:val="17"/>
        </w:rPr>
      </w:pPr>
      <w:r>
        <w:rPr>
          <w:rFonts w:ascii="Arial"/>
          <w:w w:val="102"/>
          <w:sz w:val="17"/>
        </w:rPr>
        <w:t>6</w:t>
      </w:r>
    </w:p>
    <w:p>
      <w:pPr>
        <w:spacing w:before="92"/>
        <w:ind w:left="1116" w:right="0" w:firstLine="0"/>
        <w:jc w:val="left"/>
        <w:rPr>
          <w:rFonts w:ascii="Arial"/>
          <w:sz w:val="17"/>
        </w:rPr>
      </w:pPr>
      <w:r>
        <w:rPr>
          <w:rFonts w:ascii="Arial"/>
          <w:w w:val="105"/>
          <w:sz w:val="17"/>
        </w:rPr>
        <w:t>-90</w:t>
      </w:r>
    </w:p>
    <w:p>
      <w:pPr>
        <w:spacing w:line="170" w:lineRule="exact" w:before="92"/>
        <w:ind w:left="0" w:right="2644" w:firstLine="0"/>
        <w:jc w:val="right"/>
        <w:rPr>
          <w:rFonts w:ascii="Arial"/>
          <w:sz w:val="17"/>
        </w:rPr>
      </w:pPr>
      <w:r>
        <w:rPr>
          <w:rFonts w:ascii="Arial"/>
          <w:w w:val="102"/>
          <w:sz w:val="17"/>
        </w:rPr>
        <w:t>3</w:t>
      </w:r>
    </w:p>
    <w:p>
      <w:pPr>
        <w:spacing w:line="170" w:lineRule="exact" w:before="0"/>
        <w:ind w:left="1020" w:right="0" w:firstLine="0"/>
        <w:jc w:val="left"/>
        <w:rPr>
          <w:rFonts w:ascii="Arial"/>
          <w:sz w:val="17"/>
        </w:rPr>
      </w:pPr>
      <w:r>
        <w:rPr>
          <w:rFonts w:ascii="Arial"/>
          <w:w w:val="105"/>
          <w:sz w:val="17"/>
        </w:rPr>
        <w:t>-120</w:t>
      </w:r>
    </w:p>
    <w:p>
      <w:pPr>
        <w:pStyle w:val="BodyText"/>
        <w:spacing w:before="5"/>
        <w:rPr>
          <w:rFonts w:ascii="Arial"/>
          <w:sz w:val="13"/>
        </w:rPr>
      </w:pPr>
    </w:p>
    <w:p>
      <w:pPr>
        <w:spacing w:after="0"/>
        <w:rPr>
          <w:rFonts w:ascii="Arial"/>
          <w:sz w:val="13"/>
        </w:rPr>
        <w:sectPr>
          <w:pgSz w:w="11900" w:h="16840"/>
          <w:pgMar w:header="0" w:footer="1370" w:top="1580" w:bottom="1560" w:left="1680" w:right="0"/>
        </w:sectPr>
      </w:pPr>
    </w:p>
    <w:p>
      <w:pPr>
        <w:spacing w:before="82"/>
        <w:ind w:left="0" w:right="0" w:firstLine="0"/>
        <w:jc w:val="right"/>
        <w:rPr>
          <w:rFonts w:ascii="Arial"/>
          <w:sz w:val="17"/>
        </w:rPr>
      </w:pPr>
      <w:r>
        <w:rPr>
          <w:rFonts w:ascii="Arial"/>
          <w:sz w:val="17"/>
        </w:rPr>
        <w:t>-150</w:t>
      </w:r>
    </w:p>
    <w:p>
      <w:pPr>
        <w:spacing w:before="82"/>
        <w:ind w:left="0" w:right="2644" w:firstLine="0"/>
        <w:jc w:val="right"/>
        <w:rPr>
          <w:rFonts w:ascii="Arial"/>
          <w:sz w:val="17"/>
        </w:rPr>
      </w:pPr>
      <w:r>
        <w:rPr/>
        <w:br w:type="column"/>
      </w:r>
      <w:r>
        <w:rPr>
          <w:rFonts w:ascii="Arial"/>
          <w:sz w:val="17"/>
        </w:rPr>
        <w:t>0</w:t>
      </w:r>
    </w:p>
    <w:p>
      <w:pPr>
        <w:tabs>
          <w:tab w:pos="1154" w:val="left" w:leader="none"/>
          <w:tab w:pos="2330" w:val="left" w:leader="none"/>
          <w:tab w:pos="3503" w:val="left" w:leader="none"/>
          <w:tab w:pos="4679" w:val="left" w:leader="none"/>
          <w:tab w:pos="5852" w:val="left" w:leader="none"/>
        </w:tabs>
        <w:spacing w:before="37"/>
        <w:ind w:left="-19" w:right="2714" w:firstLine="0"/>
        <w:jc w:val="center"/>
        <w:rPr>
          <w:rFonts w:ascii="Arial"/>
          <w:sz w:val="17"/>
        </w:rPr>
      </w:pPr>
      <w:r>
        <w:rPr>
          <w:rFonts w:ascii="Arial"/>
          <w:w w:val="105"/>
          <w:sz w:val="17"/>
        </w:rPr>
        <w:t>0.0</w:t>
        <w:tab/>
        <w:t>0.2</w:t>
        <w:tab/>
        <w:t>0.4</w:t>
        <w:tab/>
        <w:t>0.6</w:t>
        <w:tab/>
        <w:t>0.8</w:t>
        <w:tab/>
      </w:r>
      <w:r>
        <w:rPr>
          <w:rFonts w:ascii="Arial"/>
          <w:sz w:val="17"/>
        </w:rPr>
        <w:t>1.0</w:t>
      </w:r>
    </w:p>
    <w:p>
      <w:pPr>
        <w:spacing w:line="194" w:lineRule="exact" w:before="126"/>
        <w:ind w:left="0" w:right="2810" w:firstLine="0"/>
        <w:jc w:val="center"/>
        <w:rPr>
          <w:i/>
          <w:sz w:val="20"/>
        </w:rPr>
      </w:pPr>
      <w:r>
        <w:rPr>
          <w:i/>
          <w:w w:val="103"/>
          <w:sz w:val="20"/>
        </w:rPr>
        <w:t>a</w:t>
      </w:r>
    </w:p>
    <w:p>
      <w:pPr>
        <w:spacing w:line="102" w:lineRule="exact" w:before="0"/>
        <w:ind w:left="0" w:right="2624" w:firstLine="0"/>
        <w:jc w:val="center"/>
        <w:rPr>
          <w:i/>
          <w:sz w:val="12"/>
        </w:rPr>
      </w:pPr>
      <w:r>
        <w:rPr>
          <w:i/>
          <w:w w:val="103"/>
          <w:sz w:val="12"/>
        </w:rPr>
        <w:t>w</w:t>
      </w:r>
    </w:p>
    <w:p>
      <w:pPr>
        <w:spacing w:after="0" w:line="102" w:lineRule="exact"/>
        <w:jc w:val="center"/>
        <w:rPr>
          <w:sz w:val="12"/>
        </w:rPr>
        <w:sectPr>
          <w:type w:val="continuous"/>
          <w:pgSz w:w="11900" w:h="16840"/>
          <w:pgMar w:top="1580" w:bottom="280" w:left="1680" w:right="0"/>
          <w:cols w:num="2" w:equalWidth="0">
            <w:col w:w="1368" w:space="40"/>
            <w:col w:w="8812"/>
          </w:cols>
        </w:sectPr>
      </w:pPr>
    </w:p>
    <w:p>
      <w:pPr>
        <w:pStyle w:val="BodyText"/>
        <w:spacing w:before="9"/>
        <w:rPr>
          <w:i/>
          <w:sz w:val="15"/>
        </w:rPr>
      </w:pPr>
    </w:p>
    <w:p>
      <w:pPr>
        <w:pStyle w:val="BodyText"/>
        <w:spacing w:before="69"/>
        <w:ind w:left="3818" w:right="5494"/>
        <w:jc w:val="center"/>
      </w:pPr>
      <w:r>
        <w:rPr/>
        <w:t>Figure 2.</w:t>
      </w:r>
    </w:p>
    <w:p>
      <w:pPr>
        <w:spacing w:after="0"/>
        <w:jc w:val="center"/>
        <w:sectPr>
          <w:type w:val="continuous"/>
          <w:pgSz w:w="11900" w:h="16840"/>
          <w:pgMar w:top="1580" w:bottom="280" w:left="1680" w:right="0"/>
        </w:sectPr>
      </w:pPr>
    </w:p>
    <w:p>
      <w:pPr>
        <w:pStyle w:val="BodyText"/>
        <w:rPr>
          <w:sz w:val="10"/>
        </w:rPr>
      </w:pPr>
    </w:p>
    <w:p>
      <w:pPr>
        <w:pStyle w:val="BodyText"/>
        <w:ind w:left="853"/>
        <w:rPr>
          <w:sz w:val="20"/>
        </w:rPr>
      </w:pPr>
      <w:r>
        <w:rPr>
          <w:sz w:val="20"/>
        </w:rPr>
        <w:pict>
          <v:group style="width:375.6pt;height:300.5pt;mso-position-horizontal-relative:char;mso-position-vertical-relative:line" coordorigin="0,0" coordsize="7512,6010">
            <v:shape style="position:absolute;left:0;top:0;width:7512;height:3005" type="#_x0000_t75" stroked="false">
              <v:imagedata r:id="rId46" o:title=""/>
            </v:shape>
            <v:shape style="position:absolute;left:0;top:3005;width:7512;height:3005" type="#_x0000_t75" stroked="false">
              <v:imagedata r:id="rId47" o:title=""/>
            </v:shape>
            <v:shape style="position:absolute;left:116;top:110;width:120;height:240" type="#_x0000_t202" filled="false" stroked="false">
              <v:textbox inset="0,0,0,0">
                <w:txbxContent>
                  <w:p>
                    <w:pPr>
                      <w:spacing w:line="240" w:lineRule="exact" w:before="0"/>
                      <w:ind w:left="0" w:right="0" w:firstLine="0"/>
                      <w:jc w:val="left"/>
                      <w:rPr>
                        <w:b/>
                        <w:sz w:val="24"/>
                      </w:rPr>
                    </w:pPr>
                    <w:r>
                      <w:rPr>
                        <w:b/>
                        <w:color w:val="FFFFFF"/>
                        <w:sz w:val="24"/>
                      </w:rPr>
                      <w:t>a</w:t>
                    </w:r>
                  </w:p>
                </w:txbxContent>
              </v:textbox>
              <w10:wrap type="none"/>
            </v:shape>
            <v:shape style="position:absolute;left:3900;top:110;width:134;height:240" type="#_x0000_t202" filled="false" stroked="false">
              <v:textbox inset="0,0,0,0">
                <w:txbxContent>
                  <w:p>
                    <w:pPr>
                      <w:spacing w:line="240" w:lineRule="exact" w:before="0"/>
                      <w:ind w:left="0" w:right="0" w:firstLine="0"/>
                      <w:jc w:val="left"/>
                      <w:rPr>
                        <w:b/>
                        <w:sz w:val="24"/>
                      </w:rPr>
                    </w:pPr>
                    <w:r>
                      <w:rPr>
                        <w:b/>
                        <w:color w:val="FFFFFF"/>
                        <w:w w:val="99"/>
                        <w:sz w:val="24"/>
                      </w:rPr>
                      <w:t>b</w:t>
                    </w:r>
                  </w:p>
                </w:txbxContent>
              </v:textbox>
              <w10:wrap type="none"/>
            </v:shape>
            <v:shape style="position:absolute;left:116;top:3168;width:107;height:240" type="#_x0000_t202" filled="false" stroked="false">
              <v:textbox inset="0,0,0,0">
                <w:txbxContent>
                  <w:p>
                    <w:pPr>
                      <w:spacing w:line="240" w:lineRule="exact" w:before="0"/>
                      <w:ind w:left="0" w:right="0" w:firstLine="0"/>
                      <w:jc w:val="left"/>
                      <w:rPr>
                        <w:b/>
                        <w:sz w:val="24"/>
                      </w:rPr>
                    </w:pPr>
                    <w:r>
                      <w:rPr>
                        <w:b/>
                        <w:color w:val="FFFFFF"/>
                        <w:sz w:val="24"/>
                      </w:rPr>
                      <w:t>c</w:t>
                    </w:r>
                  </w:p>
                </w:txbxContent>
              </v:textbox>
              <w10:wrap type="none"/>
            </v:shape>
            <v:shape style="position:absolute;left:3900;top:3135;width:134;height:240" type="#_x0000_t202" filled="false" stroked="false">
              <v:textbox inset="0,0,0,0">
                <w:txbxContent>
                  <w:p>
                    <w:pPr>
                      <w:spacing w:line="240" w:lineRule="exact" w:before="0"/>
                      <w:ind w:left="0" w:right="0" w:firstLine="0"/>
                      <w:jc w:val="left"/>
                      <w:rPr>
                        <w:b/>
                        <w:sz w:val="24"/>
                      </w:rPr>
                    </w:pPr>
                    <w:r>
                      <w:rPr>
                        <w:b/>
                        <w:color w:val="FFFFFF"/>
                        <w:w w:val="99"/>
                        <w:sz w:val="24"/>
                      </w:rPr>
                      <w:t>d</w:t>
                    </w:r>
                  </w:p>
                </w:txbxContent>
              </v:textbox>
              <w10:wrap type="none"/>
            </v:shape>
          </v:group>
        </w:pict>
      </w:r>
      <w:r>
        <w:rPr>
          <w:sz w:val="20"/>
        </w:rPr>
      </w:r>
    </w:p>
    <w:p>
      <w:pPr>
        <w:pStyle w:val="BodyText"/>
        <w:rPr>
          <w:sz w:val="20"/>
        </w:rPr>
      </w:pPr>
    </w:p>
    <w:p>
      <w:pPr>
        <w:pStyle w:val="BodyText"/>
        <w:spacing w:before="6"/>
        <w:rPr>
          <w:sz w:val="20"/>
        </w:rPr>
      </w:pPr>
    </w:p>
    <w:p>
      <w:pPr>
        <w:pStyle w:val="BodyText"/>
        <w:spacing w:before="70"/>
        <w:ind w:left="4157" w:right="3816"/>
        <w:jc w:val="center"/>
      </w:pPr>
      <w:r>
        <w:rPr/>
        <w:t>Figure 3.</w:t>
      </w:r>
    </w:p>
    <w:p>
      <w:pPr>
        <w:spacing w:after="0"/>
        <w:jc w:val="center"/>
        <w:sectPr>
          <w:pgSz w:w="11900" w:h="16840"/>
          <w:pgMar w:header="0" w:footer="1026" w:top="1580" w:bottom="1220" w:left="1340" w:right="1680"/>
        </w:sectPr>
      </w:pPr>
    </w:p>
    <w:p>
      <w:pPr>
        <w:pStyle w:val="BodyText"/>
        <w:ind w:left="1022"/>
        <w:rPr>
          <w:sz w:val="20"/>
        </w:rPr>
      </w:pPr>
      <w:r>
        <w:rPr>
          <w:sz w:val="20"/>
        </w:rPr>
        <w:pict>
          <v:group style="width:324.75pt;height:680.2pt;mso-position-horizontal-relative:char;mso-position-vertical-relative:line" coordorigin="0,0" coordsize="6495,13604">
            <v:shape style="position:absolute;left:0;top:0;width:6494;height:13603" type="#_x0000_t75" stroked="false">
              <v:imagedata r:id="rId50" o:title=""/>
            </v:shape>
            <v:shape style="position:absolute;left:2325;top:647;width:120;height:240" type="#_x0000_t202" filled="false" stroked="false">
              <v:textbox inset="0,0,0,0">
                <w:txbxContent>
                  <w:p>
                    <w:pPr>
                      <w:spacing w:line="240" w:lineRule="exact" w:before="0"/>
                      <w:ind w:left="0" w:right="0" w:firstLine="0"/>
                      <w:jc w:val="left"/>
                      <w:rPr>
                        <w:b/>
                        <w:sz w:val="24"/>
                      </w:rPr>
                    </w:pPr>
                    <w:r>
                      <w:rPr>
                        <w:b/>
                        <w:sz w:val="24"/>
                      </w:rPr>
                      <w:t>a</w:t>
                    </w:r>
                  </w:p>
                </w:txbxContent>
              </v:textbox>
              <w10:wrap type="none"/>
            </v:shape>
            <v:shape style="position:absolute;left:1230;top:5146;width:134;height:240" type="#_x0000_t202" filled="false" stroked="false">
              <v:textbox inset="0,0,0,0">
                <w:txbxContent>
                  <w:p>
                    <w:pPr>
                      <w:spacing w:line="240" w:lineRule="exact" w:before="0"/>
                      <w:ind w:left="0" w:right="0" w:firstLine="0"/>
                      <w:jc w:val="left"/>
                      <w:rPr>
                        <w:b/>
                        <w:sz w:val="24"/>
                      </w:rPr>
                    </w:pPr>
                    <w:r>
                      <w:rPr>
                        <w:b/>
                        <w:w w:val="99"/>
                        <w:sz w:val="24"/>
                      </w:rPr>
                      <w:t>b</w:t>
                    </w:r>
                  </w:p>
                </w:txbxContent>
              </v:textbox>
              <w10:wrap type="none"/>
            </v:shape>
            <v:shape style="position:absolute;left:1230;top:9650;width:107;height:240" type="#_x0000_t202" filled="false" stroked="false">
              <v:textbox inset="0,0,0,0">
                <w:txbxContent>
                  <w:p>
                    <w:pPr>
                      <w:spacing w:line="240" w:lineRule="exact" w:before="0"/>
                      <w:ind w:left="0" w:right="0" w:firstLine="0"/>
                      <w:jc w:val="left"/>
                      <w:rPr>
                        <w:b/>
                        <w:sz w:val="24"/>
                      </w:rPr>
                    </w:pPr>
                    <w:r>
                      <w:rPr>
                        <w:b/>
                        <w:sz w:val="24"/>
                      </w:rPr>
                      <w:t>c</w:t>
                    </w:r>
                  </w:p>
                </w:txbxContent>
              </v:textbox>
              <w10:wrap type="none"/>
            </v:shape>
          </v:group>
        </w:pict>
      </w:r>
      <w:r>
        <w:rPr>
          <w:sz w:val="20"/>
        </w:rPr>
      </w:r>
    </w:p>
    <w:p>
      <w:pPr>
        <w:spacing w:after="0"/>
        <w:rPr>
          <w:sz w:val="20"/>
        </w:rPr>
        <w:sectPr>
          <w:footerReference w:type="even" r:id="rId48"/>
          <w:footerReference w:type="default" r:id="rId49"/>
          <w:pgSz w:w="11900" w:h="16840"/>
          <w:pgMar w:footer="1370" w:header="0" w:top="1420" w:bottom="1560" w:left="1680" w:right="1400"/>
        </w:sectPr>
      </w:pPr>
    </w:p>
    <w:p>
      <w:pPr>
        <w:pStyle w:val="BodyText"/>
        <w:spacing w:before="54" w:after="5"/>
        <w:ind w:left="4157" w:right="3816"/>
        <w:jc w:val="center"/>
      </w:pPr>
      <w:r>
        <w:rPr/>
        <w:t>Figure 4.</w:t>
      </w:r>
    </w:p>
    <w:p>
      <w:pPr>
        <w:pStyle w:val="BodyText"/>
        <w:ind w:left="1362"/>
        <w:rPr>
          <w:sz w:val="20"/>
        </w:rPr>
      </w:pPr>
      <w:r>
        <w:rPr>
          <w:sz w:val="20"/>
        </w:rPr>
        <w:pict>
          <v:group style="width:324.75pt;height:680.4pt;mso-position-horizontal-relative:char;mso-position-vertical-relative:line" coordorigin="0,0" coordsize="6495,13608">
            <v:shape style="position:absolute;left:0;top:0;width:6494;height:13608" type="#_x0000_t75" stroked="false">
              <v:imagedata r:id="rId51" o:title=""/>
            </v:shape>
            <v:shape style="position:absolute;left:2311;top:647;width:120;height:240" type="#_x0000_t202" filled="false" stroked="false">
              <v:textbox inset="0,0,0,0">
                <w:txbxContent>
                  <w:p>
                    <w:pPr>
                      <w:spacing w:line="240" w:lineRule="exact" w:before="0"/>
                      <w:ind w:left="0" w:right="0" w:firstLine="0"/>
                      <w:jc w:val="left"/>
                      <w:rPr>
                        <w:b/>
                        <w:sz w:val="24"/>
                      </w:rPr>
                    </w:pPr>
                    <w:r>
                      <w:rPr>
                        <w:b/>
                        <w:sz w:val="24"/>
                      </w:rPr>
                      <w:t>a</w:t>
                    </w:r>
                  </w:p>
                </w:txbxContent>
              </v:textbox>
              <w10:wrap type="none"/>
            </v:shape>
            <v:shape style="position:absolute;left:2311;top:5194;width:134;height:240" type="#_x0000_t202" filled="false" stroked="false">
              <v:textbox inset="0,0,0,0">
                <w:txbxContent>
                  <w:p>
                    <w:pPr>
                      <w:spacing w:line="240" w:lineRule="exact" w:before="0"/>
                      <w:ind w:left="0" w:right="0" w:firstLine="0"/>
                      <w:jc w:val="left"/>
                      <w:rPr>
                        <w:b/>
                        <w:sz w:val="24"/>
                      </w:rPr>
                    </w:pPr>
                    <w:r>
                      <w:rPr>
                        <w:b/>
                        <w:w w:val="99"/>
                        <w:sz w:val="24"/>
                      </w:rPr>
                      <w:t>b</w:t>
                    </w:r>
                  </w:p>
                </w:txbxContent>
              </v:textbox>
              <w10:wrap type="none"/>
            </v:shape>
            <v:shape style="position:absolute;left:1245;top:9698;width:107;height:240" type="#_x0000_t202" filled="false" stroked="false">
              <v:textbox inset="0,0,0,0">
                <w:txbxContent>
                  <w:p>
                    <w:pPr>
                      <w:spacing w:line="240" w:lineRule="exact" w:before="0"/>
                      <w:ind w:left="0" w:right="0" w:firstLine="0"/>
                      <w:jc w:val="left"/>
                      <w:rPr>
                        <w:b/>
                        <w:sz w:val="24"/>
                      </w:rPr>
                    </w:pPr>
                    <w:r>
                      <w:rPr>
                        <w:b/>
                        <w:sz w:val="24"/>
                      </w:rPr>
                      <w:t>c</w:t>
                    </w:r>
                  </w:p>
                </w:txbxContent>
              </v:textbox>
              <w10:wrap type="none"/>
            </v:shape>
          </v:group>
        </w:pict>
      </w:r>
      <w:r>
        <w:rPr>
          <w:sz w:val="20"/>
        </w:rPr>
      </w:r>
    </w:p>
    <w:p>
      <w:pPr>
        <w:spacing w:after="0"/>
        <w:rPr>
          <w:sz w:val="20"/>
        </w:rPr>
        <w:sectPr>
          <w:pgSz w:w="11900" w:h="16840"/>
          <w:pgMar w:header="0" w:footer="1026" w:top="1360" w:bottom="1220" w:left="1340" w:right="1680"/>
        </w:sectPr>
      </w:pPr>
    </w:p>
    <w:p>
      <w:pPr>
        <w:pStyle w:val="BodyText"/>
        <w:spacing w:before="54"/>
        <w:ind w:left="632" w:right="908"/>
        <w:jc w:val="center"/>
      </w:pPr>
      <w:r>
        <w:rPr/>
        <w:t>Figure 5.</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35"/>
        </w:rPr>
      </w:pPr>
    </w:p>
    <w:p>
      <w:pPr>
        <w:spacing w:line="360" w:lineRule="auto" w:before="0"/>
        <w:ind w:left="1748" w:right="2024" w:hanging="3"/>
        <w:jc w:val="center"/>
        <w:rPr>
          <w:b/>
          <w:sz w:val="56"/>
        </w:rPr>
      </w:pPr>
      <w:r>
        <w:rPr>
          <w:b/>
          <w:sz w:val="56"/>
        </w:rPr>
        <w:t>PARTE 3: “CONCLUSIONES”</w:t>
      </w:r>
    </w:p>
    <w:p>
      <w:pPr>
        <w:spacing w:after="0" w:line="360" w:lineRule="auto"/>
        <w:jc w:val="center"/>
        <w:rPr>
          <w:sz w:val="56"/>
        </w:rPr>
        <w:sectPr>
          <w:footerReference w:type="default" r:id="rId52"/>
          <w:footerReference w:type="even" r:id="rId53"/>
          <w:pgSz w:w="11900" w:h="16840"/>
          <w:pgMar w:footer="1370" w:header="0" w:top="1360" w:bottom="1560" w:left="1680" w:right="1400"/>
          <w:pgNumType w:start="3"/>
        </w:sectPr>
      </w:pPr>
    </w:p>
    <w:p>
      <w:pPr>
        <w:pStyle w:val="BodyText"/>
        <w:spacing w:before="1"/>
        <w:rPr>
          <w:b/>
          <w:sz w:val="22"/>
        </w:rPr>
      </w:pPr>
    </w:p>
    <w:p>
      <w:pPr>
        <w:spacing w:before="69"/>
        <w:ind w:left="557" w:right="581" w:firstLine="0"/>
        <w:jc w:val="center"/>
        <w:rPr>
          <w:b/>
          <w:sz w:val="24"/>
        </w:rPr>
      </w:pPr>
      <w:r>
        <w:rPr>
          <w:b/>
          <w:sz w:val="24"/>
        </w:rPr>
        <w:t>CONCLUSIONES</w:t>
      </w:r>
    </w:p>
    <w:p>
      <w:pPr>
        <w:pStyle w:val="BodyText"/>
        <w:rPr>
          <w:b/>
        </w:rPr>
      </w:pPr>
    </w:p>
    <w:p>
      <w:pPr>
        <w:pStyle w:val="BodyText"/>
        <w:spacing w:before="2"/>
        <w:rPr>
          <w:b/>
          <w:sz w:val="23"/>
        </w:rPr>
      </w:pPr>
    </w:p>
    <w:p>
      <w:pPr>
        <w:pStyle w:val="ListParagraph"/>
        <w:numPr>
          <w:ilvl w:val="0"/>
          <w:numId w:val="12"/>
        </w:numPr>
        <w:tabs>
          <w:tab w:pos="821" w:val="left" w:leader="none"/>
        </w:tabs>
        <w:spacing w:line="355" w:lineRule="auto" w:before="0" w:after="0"/>
        <w:ind w:left="821" w:right="108" w:hanging="361"/>
        <w:jc w:val="both"/>
        <w:rPr>
          <w:sz w:val="24"/>
        </w:rPr>
      </w:pPr>
      <w:r>
        <w:rPr>
          <w:sz w:val="24"/>
        </w:rPr>
        <w:t>La ecuación de GAB </w:t>
      </w:r>
      <w:r>
        <w:rPr>
          <w:spacing w:val="-3"/>
          <w:sz w:val="24"/>
        </w:rPr>
        <w:t>modeló </w:t>
      </w:r>
      <w:r>
        <w:rPr>
          <w:sz w:val="24"/>
        </w:rPr>
        <w:t>satisfactoriamente los datos de adsorción de humedad  de  </w:t>
      </w:r>
      <w:r>
        <w:rPr>
          <w:spacing w:val="-5"/>
          <w:sz w:val="24"/>
        </w:rPr>
        <w:t>la  </w:t>
      </w:r>
      <w:r>
        <w:rPr>
          <w:sz w:val="24"/>
        </w:rPr>
        <w:t>microcápsulas de aceite de chía en el  intervalo  de actividad de agua de 0.1   </w:t>
      </w:r>
      <w:r>
        <w:rPr>
          <w:spacing w:val="55"/>
          <w:sz w:val="24"/>
        </w:rPr>
        <w:t> </w:t>
      </w:r>
      <w:r>
        <w:rPr>
          <w:sz w:val="24"/>
        </w:rPr>
        <w:t>y</w:t>
      </w:r>
    </w:p>
    <w:p>
      <w:pPr>
        <w:pStyle w:val="BodyText"/>
        <w:spacing w:before="9"/>
        <w:ind w:left="821" w:right="75"/>
      </w:pPr>
      <w:r>
        <w:rPr/>
        <w:t>0.85 y temperaturas de 25, 35 y 40 ºC.</w:t>
      </w:r>
    </w:p>
    <w:p>
      <w:pPr>
        <w:pStyle w:val="ListParagraph"/>
        <w:numPr>
          <w:ilvl w:val="0"/>
          <w:numId w:val="12"/>
        </w:numPr>
        <w:tabs>
          <w:tab w:pos="821" w:val="left" w:leader="none"/>
        </w:tabs>
        <w:spacing w:line="355" w:lineRule="auto" w:before="133" w:after="0"/>
        <w:ind w:left="821" w:right="110" w:hanging="361"/>
        <w:jc w:val="both"/>
        <w:rPr>
          <w:sz w:val="24"/>
        </w:rPr>
      </w:pPr>
      <w:r>
        <w:rPr>
          <w:position w:val="2"/>
          <w:sz w:val="24"/>
        </w:rPr>
        <w:t>La zona de mínima entropía integral correspondió de 11.38 a 13.75 H</w:t>
      </w:r>
      <w:r>
        <w:rPr>
          <w:sz w:val="16"/>
        </w:rPr>
        <w:t>2</w:t>
      </w:r>
      <w:r>
        <w:rPr>
          <w:position w:val="2"/>
          <w:sz w:val="24"/>
        </w:rPr>
        <w:t>O/100 kg s.s. y </w:t>
      </w:r>
      <w:r>
        <w:rPr>
          <w:sz w:val="24"/>
        </w:rPr>
        <w:t>actividad de agua de</w:t>
      </w:r>
      <w:r>
        <w:rPr>
          <w:spacing w:val="-3"/>
          <w:sz w:val="24"/>
        </w:rPr>
        <w:t> </w:t>
      </w:r>
      <w:r>
        <w:rPr>
          <w:sz w:val="24"/>
        </w:rPr>
        <w:t>0.617-0.718.</w:t>
      </w:r>
    </w:p>
    <w:p>
      <w:pPr>
        <w:pStyle w:val="ListParagraph"/>
        <w:numPr>
          <w:ilvl w:val="0"/>
          <w:numId w:val="12"/>
        </w:numPr>
        <w:tabs>
          <w:tab w:pos="821" w:val="left" w:leader="none"/>
        </w:tabs>
        <w:spacing w:line="357" w:lineRule="auto" w:before="6" w:after="0"/>
        <w:ind w:left="821" w:right="119" w:hanging="361"/>
        <w:jc w:val="both"/>
        <w:rPr>
          <w:sz w:val="24"/>
        </w:rPr>
      </w:pPr>
      <w:r>
        <w:rPr>
          <w:sz w:val="24"/>
        </w:rPr>
        <w:t>Las isotermas de adsorción y </w:t>
      </w:r>
      <w:r>
        <w:rPr>
          <w:spacing w:val="-5"/>
          <w:sz w:val="24"/>
        </w:rPr>
        <w:t>la </w:t>
      </w:r>
      <w:r>
        <w:rPr>
          <w:sz w:val="24"/>
        </w:rPr>
        <w:t>temperatura de transición permitieron definir </w:t>
      </w:r>
      <w:r>
        <w:rPr>
          <w:spacing w:val="-3"/>
          <w:sz w:val="24"/>
        </w:rPr>
        <w:t>las </w:t>
      </w:r>
      <w:r>
        <w:rPr>
          <w:sz w:val="24"/>
        </w:rPr>
        <w:t>condiciones de almacenamiento críticas para </w:t>
      </w:r>
      <w:r>
        <w:rPr>
          <w:spacing w:val="-3"/>
          <w:sz w:val="24"/>
        </w:rPr>
        <w:t>las </w:t>
      </w:r>
      <w:r>
        <w:rPr>
          <w:sz w:val="24"/>
        </w:rPr>
        <w:t>microcápsulas de aceite de chía, </w:t>
      </w:r>
      <w:r>
        <w:rPr>
          <w:position w:val="2"/>
          <w:sz w:val="24"/>
        </w:rPr>
        <w:t>encontrándose estas en el intervalo de </w:t>
      </w:r>
      <w:r>
        <w:rPr>
          <w:i/>
          <w:position w:val="2"/>
          <w:sz w:val="24"/>
        </w:rPr>
        <w:t>a</w:t>
      </w:r>
      <w:r>
        <w:rPr>
          <w:i/>
          <w:sz w:val="16"/>
        </w:rPr>
        <w:t>w </w:t>
      </w:r>
      <w:r>
        <w:rPr>
          <w:position w:val="2"/>
          <w:sz w:val="24"/>
        </w:rPr>
        <w:t>de</w:t>
      </w:r>
      <w:r>
        <w:rPr>
          <w:spacing w:val="10"/>
          <w:position w:val="2"/>
          <w:sz w:val="24"/>
        </w:rPr>
        <w:t> </w:t>
      </w:r>
      <w:r>
        <w:rPr>
          <w:position w:val="2"/>
          <w:sz w:val="24"/>
        </w:rPr>
        <w:t>0.682-0.820.</w:t>
      </w:r>
    </w:p>
    <w:p>
      <w:pPr>
        <w:pStyle w:val="ListParagraph"/>
        <w:numPr>
          <w:ilvl w:val="0"/>
          <w:numId w:val="12"/>
        </w:numPr>
        <w:tabs>
          <w:tab w:pos="821" w:val="left" w:leader="none"/>
        </w:tabs>
        <w:spacing w:line="357" w:lineRule="auto" w:before="0" w:after="0"/>
        <w:ind w:left="821" w:right="116" w:hanging="361"/>
        <w:jc w:val="both"/>
        <w:rPr>
          <w:sz w:val="24"/>
        </w:rPr>
      </w:pPr>
      <w:r>
        <w:rPr>
          <w:position w:val="2"/>
          <w:sz w:val="24"/>
        </w:rPr>
        <w:t>Las micrografías demostraron cambios en </w:t>
      </w:r>
      <w:r>
        <w:rPr>
          <w:spacing w:val="-3"/>
          <w:position w:val="2"/>
          <w:sz w:val="24"/>
        </w:rPr>
        <w:t>la </w:t>
      </w:r>
      <w:r>
        <w:rPr>
          <w:position w:val="2"/>
          <w:sz w:val="24"/>
        </w:rPr>
        <w:t>estructura de </w:t>
      </w:r>
      <w:r>
        <w:rPr>
          <w:spacing w:val="-3"/>
          <w:position w:val="2"/>
          <w:sz w:val="24"/>
        </w:rPr>
        <w:t>las </w:t>
      </w:r>
      <w:r>
        <w:rPr>
          <w:position w:val="2"/>
          <w:sz w:val="24"/>
        </w:rPr>
        <w:t>microcápsulas a </w:t>
      </w:r>
      <w:r>
        <w:rPr>
          <w:i/>
          <w:position w:val="2"/>
          <w:sz w:val="24"/>
        </w:rPr>
        <w:t>a</w:t>
      </w:r>
      <w:r>
        <w:rPr>
          <w:i/>
          <w:sz w:val="16"/>
        </w:rPr>
        <w:t>w </w:t>
      </w:r>
      <w:r>
        <w:rPr>
          <w:position w:val="2"/>
          <w:sz w:val="24"/>
        </w:rPr>
        <w:t>≥ </w:t>
      </w:r>
      <w:r>
        <w:rPr>
          <w:sz w:val="24"/>
        </w:rPr>
        <w:t>0.734, mientras que por </w:t>
      </w:r>
      <w:r>
        <w:rPr>
          <w:spacing w:val="-3"/>
          <w:sz w:val="24"/>
        </w:rPr>
        <w:t>debajo </w:t>
      </w:r>
      <w:r>
        <w:rPr>
          <w:sz w:val="24"/>
        </w:rPr>
        <w:t>de esta actividad de agua </w:t>
      </w:r>
      <w:r>
        <w:rPr>
          <w:spacing w:val="-3"/>
          <w:sz w:val="24"/>
        </w:rPr>
        <w:t>no </w:t>
      </w:r>
      <w:r>
        <w:rPr>
          <w:sz w:val="24"/>
        </w:rPr>
        <w:t>se observó apelmazamiento ni</w:t>
      </w:r>
      <w:r>
        <w:rPr>
          <w:spacing w:val="-20"/>
          <w:sz w:val="24"/>
        </w:rPr>
        <w:t> </w:t>
      </w:r>
      <w:r>
        <w:rPr>
          <w:sz w:val="24"/>
        </w:rPr>
        <w:t>pegajosidad.</w:t>
      </w:r>
    </w:p>
    <w:p>
      <w:pPr>
        <w:pStyle w:val="ListParagraph"/>
        <w:numPr>
          <w:ilvl w:val="0"/>
          <w:numId w:val="12"/>
        </w:numPr>
        <w:tabs>
          <w:tab w:pos="821" w:val="left" w:leader="none"/>
        </w:tabs>
        <w:spacing w:line="355" w:lineRule="auto" w:before="3" w:after="0"/>
        <w:ind w:left="821" w:right="129" w:hanging="361"/>
        <w:jc w:val="both"/>
        <w:rPr>
          <w:sz w:val="24"/>
        </w:rPr>
      </w:pPr>
      <w:r>
        <w:rPr>
          <w:sz w:val="24"/>
        </w:rPr>
        <w:t>El aceite microencapsulado se oxidó considerablemente </w:t>
      </w:r>
      <w:r>
        <w:rPr>
          <w:spacing w:val="-4"/>
          <w:sz w:val="24"/>
        </w:rPr>
        <w:t>más </w:t>
      </w:r>
      <w:r>
        <w:rPr>
          <w:sz w:val="24"/>
        </w:rPr>
        <w:t>lentamente que el </w:t>
      </w:r>
      <w:r>
        <w:rPr>
          <w:spacing w:val="-3"/>
          <w:sz w:val="24"/>
        </w:rPr>
        <w:t>no </w:t>
      </w:r>
      <w:r>
        <w:rPr>
          <w:sz w:val="24"/>
        </w:rPr>
        <w:t>encapsulado, independientemente de </w:t>
      </w:r>
      <w:r>
        <w:rPr>
          <w:spacing w:val="-5"/>
          <w:sz w:val="24"/>
        </w:rPr>
        <w:t>la</w:t>
      </w:r>
      <w:r>
        <w:rPr>
          <w:spacing w:val="-12"/>
          <w:sz w:val="24"/>
        </w:rPr>
        <w:t> </w:t>
      </w:r>
      <w:r>
        <w:rPr>
          <w:sz w:val="24"/>
        </w:rPr>
        <w:t>temperatura.</w:t>
      </w:r>
    </w:p>
    <w:p>
      <w:pPr>
        <w:pStyle w:val="ListParagraph"/>
        <w:numPr>
          <w:ilvl w:val="0"/>
          <w:numId w:val="12"/>
        </w:numPr>
        <w:tabs>
          <w:tab w:pos="821" w:val="left" w:leader="none"/>
        </w:tabs>
        <w:spacing w:line="355" w:lineRule="auto" w:before="6" w:after="0"/>
        <w:ind w:left="821" w:right="107" w:hanging="361"/>
        <w:jc w:val="both"/>
        <w:rPr>
          <w:sz w:val="24"/>
        </w:rPr>
      </w:pPr>
      <w:r>
        <w:rPr>
          <w:sz w:val="24"/>
        </w:rPr>
        <w:t>La oxidación del aceite (encapsulado y sin encapsular) procedió </w:t>
      </w:r>
      <w:r>
        <w:rPr>
          <w:spacing w:val="-4"/>
          <w:sz w:val="24"/>
        </w:rPr>
        <w:t>más </w:t>
      </w:r>
      <w:r>
        <w:rPr>
          <w:sz w:val="24"/>
        </w:rPr>
        <w:t>rápidamente a actividades de agua por </w:t>
      </w:r>
      <w:r>
        <w:rPr>
          <w:spacing w:val="-3"/>
          <w:sz w:val="24"/>
        </w:rPr>
        <w:t>debajo </w:t>
      </w:r>
      <w:r>
        <w:rPr>
          <w:sz w:val="24"/>
        </w:rPr>
        <w:t>y por arriba de </w:t>
      </w:r>
      <w:r>
        <w:rPr>
          <w:spacing w:val="-5"/>
          <w:sz w:val="24"/>
        </w:rPr>
        <w:t>la </w:t>
      </w:r>
      <w:r>
        <w:rPr>
          <w:sz w:val="24"/>
        </w:rPr>
        <w:t>zona de mínima entropía</w:t>
      </w:r>
      <w:r>
        <w:rPr>
          <w:spacing w:val="3"/>
          <w:sz w:val="24"/>
        </w:rPr>
        <w:t> </w:t>
      </w:r>
      <w:r>
        <w:rPr>
          <w:sz w:val="24"/>
        </w:rPr>
        <w:t>integral.</w:t>
      </w:r>
    </w:p>
    <w:p>
      <w:pPr>
        <w:pStyle w:val="ListParagraph"/>
        <w:numPr>
          <w:ilvl w:val="0"/>
          <w:numId w:val="12"/>
        </w:numPr>
        <w:tabs>
          <w:tab w:pos="821" w:val="left" w:leader="none"/>
        </w:tabs>
        <w:spacing w:line="360" w:lineRule="auto" w:before="6" w:after="0"/>
        <w:ind w:left="821" w:right="119" w:hanging="361"/>
        <w:jc w:val="both"/>
        <w:rPr>
          <w:sz w:val="24"/>
        </w:rPr>
      </w:pPr>
      <w:r>
        <w:rPr>
          <w:sz w:val="24"/>
        </w:rPr>
        <w:t>A actividades de agua cercanas a </w:t>
      </w:r>
      <w:r>
        <w:rPr>
          <w:spacing w:val="-5"/>
          <w:sz w:val="24"/>
        </w:rPr>
        <w:t>la </w:t>
      </w:r>
      <w:r>
        <w:rPr>
          <w:sz w:val="24"/>
        </w:rPr>
        <w:t>zona de mínima entropía integral, </w:t>
      </w:r>
      <w:r>
        <w:rPr>
          <w:spacing w:val="-5"/>
          <w:sz w:val="24"/>
        </w:rPr>
        <w:t>la </w:t>
      </w:r>
      <w:r>
        <w:rPr>
          <w:sz w:val="24"/>
        </w:rPr>
        <w:t>oxidación del aceite microencapsulado </w:t>
      </w:r>
      <w:r>
        <w:rPr>
          <w:spacing w:val="-3"/>
          <w:sz w:val="24"/>
        </w:rPr>
        <w:t>fue </w:t>
      </w:r>
      <w:r>
        <w:rPr>
          <w:sz w:val="24"/>
        </w:rPr>
        <w:t>gobernado por </w:t>
      </w:r>
      <w:r>
        <w:rPr>
          <w:spacing w:val="-5"/>
          <w:sz w:val="24"/>
        </w:rPr>
        <w:t>la </w:t>
      </w:r>
      <w:r>
        <w:rPr>
          <w:sz w:val="24"/>
        </w:rPr>
        <w:t>difusión del oxígeno, por </w:t>
      </w:r>
      <w:r>
        <w:rPr>
          <w:spacing w:val="-5"/>
          <w:sz w:val="24"/>
        </w:rPr>
        <w:t>lo </w:t>
      </w:r>
      <w:r>
        <w:rPr>
          <w:sz w:val="24"/>
        </w:rPr>
        <w:t>que se obtuvieron los menores valores cinéticos (constante de velocidad y energía de activación) y factor de</w:t>
      </w:r>
      <w:r>
        <w:rPr>
          <w:spacing w:val="-17"/>
          <w:sz w:val="24"/>
        </w:rPr>
        <w:t> </w:t>
      </w:r>
      <w:r>
        <w:rPr>
          <w:sz w:val="24"/>
        </w:rPr>
        <w:t>efectividad.</w:t>
      </w:r>
    </w:p>
    <w:p>
      <w:pPr>
        <w:spacing w:after="0" w:line="360" w:lineRule="auto"/>
        <w:jc w:val="both"/>
        <w:rPr>
          <w:sz w:val="24"/>
        </w:rPr>
        <w:sectPr>
          <w:pgSz w:w="11900" w:h="16840"/>
          <w:pgMar w:header="0" w:footer="1026" w:top="1580" w:bottom="1220" w:left="1340" w:right="1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p>
    <w:p>
      <w:pPr>
        <w:spacing w:line="360" w:lineRule="auto" w:before="29"/>
        <w:ind w:left="1887" w:right="2152" w:firstLine="1128"/>
        <w:jc w:val="left"/>
        <w:rPr>
          <w:b/>
          <w:sz w:val="56"/>
        </w:rPr>
      </w:pPr>
      <w:r>
        <w:rPr>
          <w:b/>
          <w:sz w:val="56"/>
        </w:rPr>
        <w:t>PARTE 4: “BIBLIOGRAFÍA”</w:t>
      </w:r>
    </w:p>
    <w:p>
      <w:pPr>
        <w:spacing w:after="0" w:line="360" w:lineRule="auto"/>
        <w:jc w:val="left"/>
        <w:rPr>
          <w:sz w:val="56"/>
        </w:rPr>
        <w:sectPr>
          <w:pgSz w:w="11900" w:h="16840"/>
          <w:pgMar w:header="0" w:footer="1370" w:top="1580" w:bottom="1560" w:left="1680" w:right="1400"/>
        </w:sectPr>
      </w:pPr>
    </w:p>
    <w:p>
      <w:pPr>
        <w:spacing w:before="58"/>
        <w:ind w:left="3890" w:right="3909" w:firstLine="0"/>
        <w:jc w:val="center"/>
        <w:rPr>
          <w:b/>
          <w:sz w:val="24"/>
        </w:rPr>
      </w:pPr>
      <w:r>
        <w:rPr>
          <w:b/>
          <w:sz w:val="24"/>
        </w:rPr>
        <w:t>BIBLIOGRAFÍA</w:t>
      </w:r>
    </w:p>
    <w:p>
      <w:pPr>
        <w:pStyle w:val="BodyText"/>
        <w:rPr>
          <w:b/>
          <w:sz w:val="20"/>
        </w:rPr>
      </w:pPr>
    </w:p>
    <w:p>
      <w:pPr>
        <w:pStyle w:val="BodyText"/>
        <w:rPr>
          <w:b/>
          <w:sz w:val="20"/>
        </w:rPr>
      </w:pPr>
    </w:p>
    <w:p>
      <w:pPr>
        <w:pStyle w:val="BodyText"/>
        <w:spacing w:before="2" w:after="1"/>
        <w:rPr>
          <w:b/>
          <w:sz w:val="14"/>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0"/>
        <w:gridCol w:w="8898"/>
      </w:tblGrid>
      <w:tr>
        <w:trPr>
          <w:trHeight w:val="771" w:hRule="exact"/>
        </w:trPr>
        <w:tc>
          <w:tcPr>
            <w:tcW w:w="530" w:type="dxa"/>
          </w:tcPr>
          <w:p>
            <w:pPr>
              <w:pStyle w:val="TableParagraph"/>
              <w:spacing w:line="245" w:lineRule="exact" w:before="0"/>
              <w:ind w:left="200"/>
              <w:jc w:val="left"/>
              <w:rPr>
                <w:sz w:val="24"/>
              </w:rPr>
            </w:pPr>
            <w:r>
              <w:rPr>
                <w:sz w:val="24"/>
              </w:rPr>
              <w:t>1.</w:t>
            </w:r>
          </w:p>
        </w:tc>
        <w:tc>
          <w:tcPr>
            <w:tcW w:w="8898" w:type="dxa"/>
          </w:tcPr>
          <w:p>
            <w:pPr>
              <w:pStyle w:val="TableParagraph"/>
              <w:spacing w:line="245" w:lineRule="exact" w:before="0"/>
              <w:ind w:left="30" w:right="196"/>
              <w:jc w:val="left"/>
              <w:rPr>
                <w:sz w:val="24"/>
              </w:rPr>
            </w:pPr>
            <w:r>
              <w:rPr>
                <w:sz w:val="24"/>
              </w:rPr>
              <w:t>Ramírez-Jaramillo, G., Lozano-Contreras, M.: Potential for Growing Salvia hispanica L.,</w:t>
            </w:r>
          </w:p>
          <w:p>
            <w:pPr>
              <w:pStyle w:val="TableParagraph"/>
              <w:spacing w:before="137"/>
              <w:ind w:left="30" w:right="196"/>
              <w:jc w:val="left"/>
              <w:rPr>
                <w:sz w:val="24"/>
              </w:rPr>
            </w:pPr>
            <w:r>
              <w:rPr>
                <w:sz w:val="24"/>
              </w:rPr>
              <w:t>Areas under Rainfed Conditions in Mexico. Agricultural Sciences 6, 1048-1057 (2015)</w:t>
            </w:r>
          </w:p>
        </w:tc>
      </w:tr>
      <w:tr>
        <w:trPr>
          <w:trHeight w:val="475" w:hRule="exact"/>
        </w:trPr>
        <w:tc>
          <w:tcPr>
            <w:tcW w:w="530" w:type="dxa"/>
          </w:tcPr>
          <w:p>
            <w:pPr>
              <w:pStyle w:val="TableParagraph"/>
              <w:spacing w:before="86"/>
              <w:ind w:left="200"/>
              <w:jc w:val="left"/>
              <w:rPr>
                <w:sz w:val="24"/>
              </w:rPr>
            </w:pPr>
            <w:r>
              <w:rPr>
                <w:sz w:val="24"/>
              </w:rPr>
              <w:t>2.</w:t>
            </w:r>
          </w:p>
        </w:tc>
        <w:tc>
          <w:tcPr>
            <w:tcW w:w="8898" w:type="dxa"/>
          </w:tcPr>
          <w:p>
            <w:pPr>
              <w:pStyle w:val="TableParagraph"/>
              <w:spacing w:before="86"/>
              <w:ind w:left="30" w:right="196"/>
              <w:jc w:val="left"/>
              <w:rPr>
                <w:sz w:val="24"/>
              </w:rPr>
            </w:pPr>
            <w:r>
              <w:rPr>
                <w:sz w:val="24"/>
              </w:rPr>
              <w:t>Shahidi, F.: Bailey's Industrial Oil and Fat Products. John Wiley &amp; Sons (2005)</w:t>
            </w:r>
          </w:p>
        </w:tc>
      </w:tr>
      <w:tr>
        <w:trPr>
          <w:trHeight w:val="1301" w:hRule="exact"/>
        </w:trPr>
        <w:tc>
          <w:tcPr>
            <w:tcW w:w="530" w:type="dxa"/>
          </w:tcPr>
          <w:p>
            <w:pPr>
              <w:pStyle w:val="TableParagraph"/>
              <w:spacing w:before="86"/>
              <w:ind w:left="200"/>
              <w:jc w:val="left"/>
              <w:rPr>
                <w:sz w:val="24"/>
              </w:rPr>
            </w:pPr>
            <w:r>
              <w:rPr>
                <w:sz w:val="24"/>
              </w:rPr>
              <w:t>3.</w:t>
            </w:r>
          </w:p>
        </w:tc>
        <w:tc>
          <w:tcPr>
            <w:tcW w:w="8898" w:type="dxa"/>
          </w:tcPr>
          <w:p>
            <w:pPr>
              <w:pStyle w:val="TableParagraph"/>
              <w:spacing w:line="360" w:lineRule="auto" w:before="86"/>
              <w:ind w:left="30" w:right="203"/>
              <w:jc w:val="both"/>
              <w:rPr>
                <w:sz w:val="24"/>
              </w:rPr>
            </w:pPr>
            <w:r>
              <w:rPr>
                <w:sz w:val="24"/>
              </w:rPr>
              <w:t>Álvarez-Chávez, L., Valdivia-López, M., Aburto-Juárez, M., Tecante, A.: Chemical characterization of the lipid fraction of mexican chia seed (Salvia hispanica L.). International Journal of Food Properties 11(3), 687-697 (2008)</w:t>
            </w:r>
          </w:p>
        </w:tc>
      </w:tr>
      <w:tr>
        <w:trPr>
          <w:trHeight w:val="888" w:hRule="exact"/>
        </w:trPr>
        <w:tc>
          <w:tcPr>
            <w:tcW w:w="530" w:type="dxa"/>
          </w:tcPr>
          <w:p>
            <w:pPr>
              <w:pStyle w:val="TableParagraph"/>
              <w:spacing w:before="86"/>
              <w:ind w:left="200"/>
              <w:jc w:val="left"/>
              <w:rPr>
                <w:sz w:val="24"/>
              </w:rPr>
            </w:pPr>
            <w:r>
              <w:rPr>
                <w:sz w:val="24"/>
              </w:rPr>
              <w:t>4.</w:t>
            </w:r>
          </w:p>
        </w:tc>
        <w:tc>
          <w:tcPr>
            <w:tcW w:w="8898" w:type="dxa"/>
          </w:tcPr>
          <w:p>
            <w:pPr>
              <w:pStyle w:val="TableParagraph"/>
              <w:spacing w:line="360" w:lineRule="auto" w:before="86"/>
              <w:ind w:left="30" w:right="196"/>
              <w:jc w:val="left"/>
              <w:rPr>
                <w:sz w:val="24"/>
              </w:rPr>
            </w:pPr>
            <w:r>
              <w:rPr>
                <w:sz w:val="24"/>
              </w:rPr>
              <w:t>Burr, G., Burr, M.: A new deficiency disease produce by the rigid exclusion of fat from the diet. Journal of Biological Chemistry 82(2), 345-367 (1929)</w:t>
            </w:r>
          </w:p>
        </w:tc>
      </w:tr>
      <w:tr>
        <w:trPr>
          <w:trHeight w:val="889" w:hRule="exact"/>
        </w:trPr>
        <w:tc>
          <w:tcPr>
            <w:tcW w:w="530" w:type="dxa"/>
          </w:tcPr>
          <w:p>
            <w:pPr>
              <w:pStyle w:val="TableParagraph"/>
              <w:spacing w:before="86"/>
              <w:ind w:left="200"/>
              <w:jc w:val="left"/>
              <w:rPr>
                <w:sz w:val="24"/>
              </w:rPr>
            </w:pPr>
            <w:r>
              <w:rPr>
                <w:sz w:val="24"/>
              </w:rPr>
              <w:t>5.</w:t>
            </w:r>
          </w:p>
        </w:tc>
        <w:tc>
          <w:tcPr>
            <w:tcW w:w="8898" w:type="dxa"/>
          </w:tcPr>
          <w:p>
            <w:pPr>
              <w:pStyle w:val="TableParagraph"/>
              <w:spacing w:line="360" w:lineRule="auto" w:before="86"/>
              <w:ind w:left="30" w:right="196"/>
              <w:jc w:val="left"/>
              <w:rPr>
                <w:sz w:val="24"/>
              </w:rPr>
            </w:pPr>
            <w:r>
              <w:rPr>
                <w:sz w:val="24"/>
              </w:rPr>
              <w:t>Buttar, R., Halpner, A.: The impact of essential fatty acids on the aging process. Nutry News, 1-12 (Nov.-Dic. 2000)</w:t>
            </w:r>
          </w:p>
        </w:tc>
      </w:tr>
      <w:tr>
        <w:trPr>
          <w:trHeight w:val="888" w:hRule="exact"/>
        </w:trPr>
        <w:tc>
          <w:tcPr>
            <w:tcW w:w="530" w:type="dxa"/>
          </w:tcPr>
          <w:p>
            <w:pPr>
              <w:pStyle w:val="TableParagraph"/>
              <w:spacing w:before="86"/>
              <w:ind w:left="200"/>
              <w:jc w:val="left"/>
              <w:rPr>
                <w:sz w:val="24"/>
              </w:rPr>
            </w:pPr>
            <w:r>
              <w:rPr>
                <w:sz w:val="24"/>
              </w:rPr>
              <w:t>6.</w:t>
            </w:r>
          </w:p>
        </w:tc>
        <w:tc>
          <w:tcPr>
            <w:tcW w:w="8898" w:type="dxa"/>
          </w:tcPr>
          <w:p>
            <w:pPr>
              <w:pStyle w:val="TableParagraph"/>
              <w:spacing w:line="360" w:lineRule="auto" w:before="86"/>
              <w:ind w:left="30" w:right="196"/>
              <w:jc w:val="left"/>
              <w:rPr>
                <w:sz w:val="24"/>
              </w:rPr>
            </w:pPr>
            <w:r>
              <w:rPr>
                <w:sz w:val="24"/>
              </w:rPr>
              <w:t>Kuang, C., Loob, K.: Fatty Acids in Foods and their Health Implications. CRC Press, London (2008)</w:t>
            </w:r>
          </w:p>
        </w:tc>
      </w:tr>
      <w:tr>
        <w:trPr>
          <w:trHeight w:val="888" w:hRule="exact"/>
        </w:trPr>
        <w:tc>
          <w:tcPr>
            <w:tcW w:w="530" w:type="dxa"/>
          </w:tcPr>
          <w:p>
            <w:pPr>
              <w:pStyle w:val="TableParagraph"/>
              <w:spacing w:before="86"/>
              <w:ind w:left="200"/>
              <w:jc w:val="left"/>
              <w:rPr>
                <w:sz w:val="24"/>
              </w:rPr>
            </w:pPr>
            <w:r>
              <w:rPr>
                <w:sz w:val="24"/>
              </w:rPr>
              <w:t>7.</w:t>
            </w:r>
          </w:p>
        </w:tc>
        <w:tc>
          <w:tcPr>
            <w:tcW w:w="8898" w:type="dxa"/>
          </w:tcPr>
          <w:p>
            <w:pPr>
              <w:pStyle w:val="TableParagraph"/>
              <w:spacing w:line="360" w:lineRule="auto" w:before="86"/>
              <w:ind w:left="30" w:right="196"/>
              <w:jc w:val="left"/>
              <w:rPr>
                <w:sz w:val="24"/>
              </w:rPr>
            </w:pPr>
            <w:r>
              <w:rPr>
                <w:sz w:val="24"/>
              </w:rPr>
              <w:t>McClements, D.: Food emulsions. Principles, practice, and techniques. CRC Press, Boca Raton (1999)</w:t>
            </w:r>
          </w:p>
        </w:tc>
      </w:tr>
      <w:tr>
        <w:trPr>
          <w:trHeight w:val="888" w:hRule="exact"/>
        </w:trPr>
        <w:tc>
          <w:tcPr>
            <w:tcW w:w="530" w:type="dxa"/>
          </w:tcPr>
          <w:p>
            <w:pPr>
              <w:pStyle w:val="TableParagraph"/>
              <w:spacing w:before="86"/>
              <w:ind w:left="200"/>
              <w:jc w:val="left"/>
              <w:rPr>
                <w:sz w:val="24"/>
              </w:rPr>
            </w:pPr>
            <w:r>
              <w:rPr>
                <w:sz w:val="24"/>
              </w:rPr>
              <w:t>8.</w:t>
            </w:r>
          </w:p>
        </w:tc>
        <w:tc>
          <w:tcPr>
            <w:tcW w:w="8898" w:type="dxa"/>
          </w:tcPr>
          <w:p>
            <w:pPr>
              <w:pStyle w:val="TableParagraph"/>
              <w:spacing w:line="360" w:lineRule="auto" w:before="86"/>
              <w:ind w:left="30" w:right="196"/>
              <w:jc w:val="left"/>
              <w:rPr>
                <w:sz w:val="24"/>
              </w:rPr>
            </w:pPr>
            <w:r>
              <w:rPr>
                <w:sz w:val="24"/>
              </w:rPr>
              <w:t>Lamba, H., Satish, K., Sabikhi, L.: Double emulsions: emerging delivery system for plan bioactives. Food bioprocess technology 8, 709-728 (2015)</w:t>
            </w:r>
          </w:p>
        </w:tc>
      </w:tr>
      <w:tr>
        <w:trPr>
          <w:trHeight w:val="888" w:hRule="exact"/>
        </w:trPr>
        <w:tc>
          <w:tcPr>
            <w:tcW w:w="530" w:type="dxa"/>
          </w:tcPr>
          <w:p>
            <w:pPr>
              <w:pStyle w:val="TableParagraph"/>
              <w:spacing w:before="86"/>
              <w:ind w:left="200"/>
              <w:jc w:val="left"/>
              <w:rPr>
                <w:sz w:val="24"/>
              </w:rPr>
            </w:pPr>
            <w:r>
              <w:rPr>
                <w:sz w:val="24"/>
              </w:rPr>
              <w:t>9.</w:t>
            </w:r>
          </w:p>
        </w:tc>
        <w:tc>
          <w:tcPr>
            <w:tcW w:w="8898" w:type="dxa"/>
          </w:tcPr>
          <w:p>
            <w:pPr>
              <w:pStyle w:val="TableParagraph"/>
              <w:spacing w:line="360" w:lineRule="auto" w:before="86"/>
              <w:ind w:left="30" w:right="257"/>
              <w:jc w:val="left"/>
              <w:rPr>
                <w:sz w:val="24"/>
              </w:rPr>
            </w:pPr>
            <w:r>
              <w:rPr>
                <w:sz w:val="24"/>
              </w:rPr>
              <w:t>Kralova, I., Sjöblom, J.: Surfactants used </w:t>
            </w:r>
            <w:r>
              <w:rPr>
                <w:spacing w:val="-3"/>
                <w:sz w:val="24"/>
              </w:rPr>
              <w:t>in </w:t>
            </w:r>
            <w:r>
              <w:rPr>
                <w:sz w:val="24"/>
              </w:rPr>
              <w:t>food industry: A review. Journal  ofDispersion Sience and Technology 30, 1363-1383</w:t>
            </w:r>
            <w:r>
              <w:rPr>
                <w:spacing w:val="-12"/>
                <w:sz w:val="24"/>
              </w:rPr>
              <w:t> </w:t>
            </w:r>
            <w:r>
              <w:rPr>
                <w:sz w:val="24"/>
              </w:rPr>
              <w:t>(2009)</w:t>
            </w:r>
          </w:p>
        </w:tc>
      </w:tr>
      <w:tr>
        <w:trPr>
          <w:trHeight w:val="888" w:hRule="exact"/>
        </w:trPr>
        <w:tc>
          <w:tcPr>
            <w:tcW w:w="530" w:type="dxa"/>
          </w:tcPr>
          <w:p>
            <w:pPr>
              <w:pStyle w:val="TableParagraph"/>
              <w:spacing w:before="86"/>
              <w:ind w:left="200"/>
              <w:jc w:val="left"/>
              <w:rPr>
                <w:sz w:val="24"/>
              </w:rPr>
            </w:pPr>
            <w:r>
              <w:rPr>
                <w:sz w:val="24"/>
              </w:rPr>
              <w:t>10.</w:t>
            </w:r>
          </w:p>
        </w:tc>
        <w:tc>
          <w:tcPr>
            <w:tcW w:w="8898" w:type="dxa"/>
          </w:tcPr>
          <w:p>
            <w:pPr>
              <w:pStyle w:val="TableParagraph"/>
              <w:spacing w:line="360" w:lineRule="auto" w:before="86"/>
              <w:ind w:left="30" w:right="196"/>
              <w:jc w:val="left"/>
              <w:rPr>
                <w:sz w:val="24"/>
              </w:rPr>
            </w:pPr>
            <w:r>
              <w:rPr>
                <w:sz w:val="24"/>
              </w:rPr>
              <w:t>Ozturk, B., McClements, D.: Progress in natural emulsifiers for utilization in food emulsions. Current Opinion in Food Science 1, 1-6 (2016)</w:t>
            </w:r>
          </w:p>
        </w:tc>
      </w:tr>
      <w:tr>
        <w:trPr>
          <w:trHeight w:val="1301" w:hRule="exact"/>
        </w:trPr>
        <w:tc>
          <w:tcPr>
            <w:tcW w:w="530" w:type="dxa"/>
          </w:tcPr>
          <w:p>
            <w:pPr>
              <w:pStyle w:val="TableParagraph"/>
              <w:spacing w:before="86"/>
              <w:ind w:left="200"/>
              <w:jc w:val="left"/>
              <w:rPr>
                <w:sz w:val="24"/>
              </w:rPr>
            </w:pPr>
            <w:r>
              <w:rPr>
                <w:sz w:val="24"/>
              </w:rPr>
              <w:t>11.</w:t>
            </w:r>
          </w:p>
        </w:tc>
        <w:tc>
          <w:tcPr>
            <w:tcW w:w="8898" w:type="dxa"/>
          </w:tcPr>
          <w:p>
            <w:pPr>
              <w:pStyle w:val="TableParagraph"/>
              <w:spacing w:line="360" w:lineRule="auto" w:before="86"/>
              <w:ind w:left="30" w:right="198"/>
              <w:jc w:val="both"/>
              <w:rPr>
                <w:sz w:val="24"/>
              </w:rPr>
            </w:pPr>
            <w:r>
              <w:rPr>
                <w:sz w:val="24"/>
              </w:rPr>
              <w:t>Madene, A., Jacquot, M., Scher, J., Desebry, S.: Flavour encapsulation and controlled release – a review. International Journal of Food Science and Technology 41(1), 1-21 (2006)</w:t>
            </w:r>
          </w:p>
        </w:tc>
      </w:tr>
      <w:tr>
        <w:trPr>
          <w:trHeight w:val="888" w:hRule="exact"/>
        </w:trPr>
        <w:tc>
          <w:tcPr>
            <w:tcW w:w="530" w:type="dxa"/>
          </w:tcPr>
          <w:p>
            <w:pPr>
              <w:pStyle w:val="TableParagraph"/>
              <w:spacing w:before="86"/>
              <w:ind w:left="200"/>
              <w:jc w:val="left"/>
              <w:rPr>
                <w:sz w:val="24"/>
              </w:rPr>
            </w:pPr>
            <w:r>
              <w:rPr>
                <w:sz w:val="24"/>
              </w:rPr>
              <w:t>12.</w:t>
            </w:r>
          </w:p>
        </w:tc>
        <w:tc>
          <w:tcPr>
            <w:tcW w:w="8898" w:type="dxa"/>
          </w:tcPr>
          <w:p>
            <w:pPr>
              <w:pStyle w:val="TableParagraph"/>
              <w:spacing w:line="360" w:lineRule="auto" w:before="86"/>
              <w:ind w:left="30" w:right="196"/>
              <w:jc w:val="left"/>
              <w:rPr>
                <w:sz w:val="24"/>
              </w:rPr>
            </w:pPr>
            <w:r>
              <w:rPr>
                <w:sz w:val="24"/>
              </w:rPr>
              <w:t>Sri, J., Seethadevi, A., Prabha, K., Muthuprasanna, P., Pavitra, P.: Microencapsulation: A review. International Journal of Pharma and Biosciences 3(1), 509-531 (2012)</w:t>
            </w:r>
          </w:p>
        </w:tc>
      </w:tr>
      <w:tr>
        <w:trPr>
          <w:trHeight w:val="1301" w:hRule="exact"/>
        </w:trPr>
        <w:tc>
          <w:tcPr>
            <w:tcW w:w="530" w:type="dxa"/>
          </w:tcPr>
          <w:p>
            <w:pPr>
              <w:pStyle w:val="TableParagraph"/>
              <w:spacing w:before="87"/>
              <w:ind w:left="200"/>
              <w:jc w:val="left"/>
              <w:rPr>
                <w:sz w:val="24"/>
              </w:rPr>
            </w:pPr>
            <w:r>
              <w:rPr>
                <w:sz w:val="24"/>
              </w:rPr>
              <w:t>13.</w:t>
            </w:r>
          </w:p>
        </w:tc>
        <w:tc>
          <w:tcPr>
            <w:tcW w:w="8898" w:type="dxa"/>
          </w:tcPr>
          <w:p>
            <w:pPr>
              <w:pStyle w:val="TableParagraph"/>
              <w:spacing w:line="360" w:lineRule="auto" w:before="87"/>
              <w:ind w:left="30" w:right="210"/>
              <w:jc w:val="both"/>
              <w:rPr>
                <w:sz w:val="24"/>
              </w:rPr>
            </w:pPr>
            <w:r>
              <w:rPr>
                <w:sz w:val="24"/>
              </w:rPr>
              <w:t>Gharsallaoui, A., Roudaut, G., Chambim, O., Voilley, A., Saurel, R.: Applications of spray-drying in microencapsulation of food ingredients: An overview. Food Research International 40(9), 1107-1121 (2007)</w:t>
            </w:r>
          </w:p>
        </w:tc>
      </w:tr>
      <w:tr>
        <w:trPr>
          <w:trHeight w:val="358" w:hRule="exact"/>
        </w:trPr>
        <w:tc>
          <w:tcPr>
            <w:tcW w:w="530" w:type="dxa"/>
          </w:tcPr>
          <w:p>
            <w:pPr>
              <w:pStyle w:val="TableParagraph"/>
              <w:spacing w:before="86"/>
              <w:ind w:left="200"/>
              <w:jc w:val="left"/>
              <w:rPr>
                <w:sz w:val="24"/>
              </w:rPr>
            </w:pPr>
            <w:r>
              <w:rPr>
                <w:sz w:val="24"/>
              </w:rPr>
              <w:t>14.</w:t>
            </w:r>
          </w:p>
        </w:tc>
        <w:tc>
          <w:tcPr>
            <w:tcW w:w="8898" w:type="dxa"/>
          </w:tcPr>
          <w:p>
            <w:pPr>
              <w:pStyle w:val="TableParagraph"/>
              <w:spacing w:before="86"/>
              <w:ind w:left="30" w:right="196"/>
              <w:jc w:val="left"/>
              <w:rPr>
                <w:sz w:val="24"/>
              </w:rPr>
            </w:pPr>
            <w:r>
              <w:rPr>
                <w:sz w:val="24"/>
              </w:rPr>
              <w:t>Barbosa-Cánovas,  G.,  Ortega-Rivas,  E.,  Juliano,  P.,  Yan,  H.: Food powders: Physical</w:t>
            </w:r>
          </w:p>
        </w:tc>
      </w:tr>
    </w:tbl>
    <w:p>
      <w:pPr>
        <w:spacing w:after="0"/>
        <w:jc w:val="left"/>
        <w:rPr>
          <w:sz w:val="24"/>
        </w:rPr>
        <w:sectPr>
          <w:pgSz w:w="11900" w:h="16840"/>
          <w:pgMar w:header="0" w:footer="1026" w:top="1360" w:bottom="1220" w:left="1140" w:right="1120"/>
        </w:sect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0"/>
        <w:gridCol w:w="8896"/>
      </w:tblGrid>
      <w:tr>
        <w:trPr>
          <w:trHeight w:val="770" w:hRule="exact"/>
        </w:trPr>
        <w:tc>
          <w:tcPr>
            <w:tcW w:w="530" w:type="dxa"/>
          </w:tcPr>
          <w:p>
            <w:pPr/>
          </w:p>
        </w:tc>
        <w:tc>
          <w:tcPr>
            <w:tcW w:w="8896" w:type="dxa"/>
          </w:tcPr>
          <w:p>
            <w:pPr>
              <w:pStyle w:val="TableParagraph"/>
              <w:spacing w:line="239" w:lineRule="exact" w:before="0"/>
              <w:ind w:left="30" w:right="188"/>
              <w:jc w:val="left"/>
              <w:rPr>
                <w:sz w:val="24"/>
              </w:rPr>
            </w:pPr>
            <w:r>
              <w:rPr>
                <w:sz w:val="24"/>
              </w:rPr>
              <w:t>properties, processing and funcionality. Kluwer Academic/Plenum Publishers, New York</w:t>
            </w:r>
          </w:p>
          <w:p>
            <w:pPr>
              <w:pStyle w:val="TableParagraph"/>
              <w:spacing w:before="137"/>
              <w:ind w:left="30" w:right="188"/>
              <w:jc w:val="left"/>
              <w:rPr>
                <w:sz w:val="24"/>
              </w:rPr>
            </w:pPr>
            <w:r>
              <w:rPr>
                <w:sz w:val="24"/>
              </w:rPr>
              <w:t>(2005)</w:t>
            </w:r>
          </w:p>
        </w:tc>
      </w:tr>
      <w:tr>
        <w:trPr>
          <w:trHeight w:val="889" w:hRule="exact"/>
        </w:trPr>
        <w:tc>
          <w:tcPr>
            <w:tcW w:w="530" w:type="dxa"/>
          </w:tcPr>
          <w:p>
            <w:pPr>
              <w:pStyle w:val="TableParagraph"/>
              <w:ind w:right="28"/>
              <w:jc w:val="right"/>
              <w:rPr>
                <w:sz w:val="24"/>
              </w:rPr>
            </w:pPr>
            <w:r>
              <w:rPr>
                <w:sz w:val="24"/>
              </w:rPr>
              <w:t>15.</w:t>
            </w:r>
          </w:p>
        </w:tc>
        <w:tc>
          <w:tcPr>
            <w:tcW w:w="8896" w:type="dxa"/>
          </w:tcPr>
          <w:p>
            <w:pPr>
              <w:pStyle w:val="TableParagraph"/>
              <w:spacing w:line="360" w:lineRule="auto"/>
              <w:ind w:left="30" w:right="188"/>
              <w:jc w:val="left"/>
              <w:rPr>
                <w:sz w:val="24"/>
              </w:rPr>
            </w:pPr>
            <w:r>
              <w:rPr>
                <w:sz w:val="24"/>
              </w:rPr>
              <w:t>Zuidam, N., Denovic, V.: Encapsulation Technologies for Active Food Ingredients and Food Processing. Springer, New York (2010)</w:t>
            </w:r>
          </w:p>
        </w:tc>
      </w:tr>
      <w:tr>
        <w:trPr>
          <w:trHeight w:val="1719" w:hRule="exact"/>
        </w:trPr>
        <w:tc>
          <w:tcPr>
            <w:tcW w:w="530" w:type="dxa"/>
          </w:tcPr>
          <w:p>
            <w:pPr>
              <w:pStyle w:val="TableParagraph"/>
              <w:ind w:right="28"/>
              <w:jc w:val="right"/>
              <w:rPr>
                <w:sz w:val="24"/>
              </w:rPr>
            </w:pPr>
            <w:r>
              <w:rPr>
                <w:sz w:val="24"/>
              </w:rPr>
              <w:t>16.</w:t>
            </w:r>
          </w:p>
        </w:tc>
        <w:tc>
          <w:tcPr>
            <w:tcW w:w="8896" w:type="dxa"/>
          </w:tcPr>
          <w:p>
            <w:pPr>
              <w:pStyle w:val="TableParagraph"/>
              <w:spacing w:line="360" w:lineRule="auto"/>
              <w:ind w:left="30" w:right="198"/>
              <w:jc w:val="both"/>
              <w:rPr>
                <w:sz w:val="24"/>
              </w:rPr>
            </w:pPr>
            <w:r>
              <w:rPr>
                <w:sz w:val="24"/>
              </w:rPr>
              <w:t>Sánchez-Sáenz, E., Pérez-Alonso, C., Cruz-Olivares, J., Román-Guerrero, A., Báez- González, J., Rodríguez-Huezo, M.: Establishing the Most Suitable Storage Conditions  for Microencapsulated Allspice Essential Oil Entrapped </w:t>
            </w:r>
            <w:r>
              <w:rPr>
                <w:spacing w:val="-3"/>
                <w:sz w:val="24"/>
              </w:rPr>
              <w:t>in </w:t>
            </w:r>
            <w:r>
              <w:rPr>
                <w:sz w:val="24"/>
              </w:rPr>
              <w:t>Blended  Biopolymers Matrices. Drying Technology 29(8), 863-872</w:t>
            </w:r>
            <w:r>
              <w:rPr>
                <w:spacing w:val="-16"/>
                <w:sz w:val="24"/>
              </w:rPr>
              <w:t> </w:t>
            </w:r>
            <w:r>
              <w:rPr>
                <w:sz w:val="24"/>
              </w:rPr>
              <w:t>(2011)</w:t>
            </w:r>
          </w:p>
        </w:tc>
      </w:tr>
      <w:tr>
        <w:trPr>
          <w:trHeight w:val="1714" w:hRule="exact"/>
        </w:trPr>
        <w:tc>
          <w:tcPr>
            <w:tcW w:w="530" w:type="dxa"/>
          </w:tcPr>
          <w:p>
            <w:pPr>
              <w:pStyle w:val="TableParagraph"/>
              <w:ind w:right="28"/>
              <w:jc w:val="right"/>
              <w:rPr>
                <w:sz w:val="24"/>
              </w:rPr>
            </w:pPr>
            <w:r>
              <w:rPr>
                <w:sz w:val="24"/>
              </w:rPr>
              <w:t>17.</w:t>
            </w:r>
          </w:p>
        </w:tc>
        <w:tc>
          <w:tcPr>
            <w:tcW w:w="8896" w:type="dxa"/>
          </w:tcPr>
          <w:p>
            <w:pPr>
              <w:pStyle w:val="TableParagraph"/>
              <w:spacing w:line="360" w:lineRule="auto"/>
              <w:ind w:left="30" w:right="198"/>
              <w:jc w:val="both"/>
              <w:rPr>
                <w:sz w:val="24"/>
              </w:rPr>
            </w:pPr>
            <w:r>
              <w:rPr>
                <w:sz w:val="24"/>
              </w:rPr>
              <w:t>Rodea-González, D., Cruz-Olivares, J., Román-Guerrero, A., Rodríguez-Huezo, M., Vernon-Carter, E., Pérez-Alonso, C.: Spray-dried encapsulation of chia essential oil (Salvia hispanica L.) in whey protein concentrate-polysaccharide matrices. Journal of Food Engineering 111(1), 102-109 (2012)</w:t>
            </w:r>
          </w:p>
        </w:tc>
      </w:tr>
      <w:tr>
        <w:trPr>
          <w:trHeight w:val="1719" w:hRule="exact"/>
        </w:trPr>
        <w:tc>
          <w:tcPr>
            <w:tcW w:w="530" w:type="dxa"/>
          </w:tcPr>
          <w:p>
            <w:pPr>
              <w:pStyle w:val="TableParagraph"/>
              <w:ind w:right="28"/>
              <w:jc w:val="right"/>
              <w:rPr>
                <w:sz w:val="24"/>
              </w:rPr>
            </w:pPr>
            <w:r>
              <w:rPr>
                <w:sz w:val="24"/>
              </w:rPr>
              <w:t>18.</w:t>
            </w:r>
          </w:p>
        </w:tc>
        <w:tc>
          <w:tcPr>
            <w:tcW w:w="8896" w:type="dxa"/>
          </w:tcPr>
          <w:p>
            <w:pPr>
              <w:pStyle w:val="TableParagraph"/>
              <w:spacing w:line="360" w:lineRule="auto"/>
              <w:ind w:left="30" w:right="202"/>
              <w:jc w:val="both"/>
              <w:rPr>
                <w:sz w:val="24"/>
              </w:rPr>
            </w:pPr>
            <w:r>
              <w:rPr>
                <w:sz w:val="24"/>
              </w:rPr>
              <w:t>Pérez-Alonso, C., Cruz-Olivares, J., Barrera-Pichardo, J., Rodríguez-Huezo, M., Báez- González, J., Vernon-Carter, E.: DSC thermo-oxidativ stability of red chilli oleoresin microencapsulated in blended biopolymer matrices. Journal of Food Engineering 85(4), 613-624 (2008)</w:t>
            </w:r>
          </w:p>
        </w:tc>
      </w:tr>
      <w:tr>
        <w:trPr>
          <w:trHeight w:val="1301" w:hRule="exact"/>
        </w:trPr>
        <w:tc>
          <w:tcPr>
            <w:tcW w:w="530" w:type="dxa"/>
          </w:tcPr>
          <w:p>
            <w:pPr>
              <w:pStyle w:val="TableParagraph"/>
              <w:ind w:right="28"/>
              <w:jc w:val="right"/>
              <w:rPr>
                <w:sz w:val="24"/>
              </w:rPr>
            </w:pPr>
            <w:r>
              <w:rPr>
                <w:sz w:val="24"/>
              </w:rPr>
              <w:t>19.</w:t>
            </w:r>
          </w:p>
        </w:tc>
        <w:tc>
          <w:tcPr>
            <w:tcW w:w="8896" w:type="dxa"/>
          </w:tcPr>
          <w:p>
            <w:pPr>
              <w:pStyle w:val="TableParagraph"/>
              <w:spacing w:line="360" w:lineRule="auto"/>
              <w:ind w:left="30" w:right="198"/>
              <w:jc w:val="both"/>
              <w:rPr>
                <w:sz w:val="24"/>
              </w:rPr>
            </w:pPr>
            <w:r>
              <w:rPr>
                <w:sz w:val="24"/>
              </w:rPr>
              <w:t>Jimenez, M., García, H., Beristain, C.: Spray-dried encapsulation of conjugates linoleic acid (CLA) with polymeric matrices. Journal Science of Food Agriculture 86(14), 2431- 2437 (2006)</w:t>
            </w:r>
          </w:p>
        </w:tc>
      </w:tr>
      <w:tr>
        <w:trPr>
          <w:trHeight w:val="1301" w:hRule="exact"/>
        </w:trPr>
        <w:tc>
          <w:tcPr>
            <w:tcW w:w="530" w:type="dxa"/>
          </w:tcPr>
          <w:p>
            <w:pPr>
              <w:pStyle w:val="TableParagraph"/>
              <w:ind w:right="28"/>
              <w:jc w:val="right"/>
              <w:rPr>
                <w:sz w:val="24"/>
              </w:rPr>
            </w:pPr>
            <w:r>
              <w:rPr>
                <w:sz w:val="24"/>
              </w:rPr>
              <w:t>20.</w:t>
            </w:r>
          </w:p>
        </w:tc>
        <w:tc>
          <w:tcPr>
            <w:tcW w:w="8896" w:type="dxa"/>
          </w:tcPr>
          <w:p>
            <w:pPr>
              <w:pStyle w:val="TableParagraph"/>
              <w:spacing w:line="360" w:lineRule="auto"/>
              <w:ind w:left="30" w:right="216"/>
              <w:jc w:val="both"/>
              <w:rPr>
                <w:sz w:val="24"/>
              </w:rPr>
            </w:pPr>
            <w:r>
              <w:rPr>
                <w:sz w:val="24"/>
              </w:rPr>
              <w:t>Slade, L., Levine, H.: Beyond water activity: Recent advances based on an alternative approach to the assessment of food quality and safety. Critical Reviews in Food Science and Nutrition 39, 115-360 (1991)</w:t>
            </w:r>
          </w:p>
        </w:tc>
      </w:tr>
      <w:tr>
        <w:trPr>
          <w:trHeight w:val="889" w:hRule="exact"/>
        </w:trPr>
        <w:tc>
          <w:tcPr>
            <w:tcW w:w="530" w:type="dxa"/>
          </w:tcPr>
          <w:p>
            <w:pPr>
              <w:pStyle w:val="TableParagraph"/>
              <w:ind w:right="28"/>
              <w:jc w:val="right"/>
              <w:rPr>
                <w:sz w:val="24"/>
              </w:rPr>
            </w:pPr>
            <w:r>
              <w:rPr>
                <w:sz w:val="24"/>
              </w:rPr>
              <w:t>21.</w:t>
            </w:r>
          </w:p>
        </w:tc>
        <w:tc>
          <w:tcPr>
            <w:tcW w:w="8896" w:type="dxa"/>
          </w:tcPr>
          <w:p>
            <w:pPr>
              <w:pStyle w:val="TableParagraph"/>
              <w:spacing w:line="360" w:lineRule="auto"/>
              <w:ind w:left="30" w:right="188"/>
              <w:jc w:val="left"/>
              <w:rPr>
                <w:sz w:val="24"/>
              </w:rPr>
            </w:pPr>
            <w:r>
              <w:rPr>
                <w:sz w:val="24"/>
              </w:rPr>
              <w:t>Barbosa-Cánovas, G., Fontana, A., Schmidt, S., Labuza, T., eds.: Water Activity  in Foods: Fundamentals and Applications. Blackwell Publishing Ltd, Oxford, UK (2007)</w:t>
            </w:r>
          </w:p>
        </w:tc>
      </w:tr>
      <w:tr>
        <w:trPr>
          <w:trHeight w:val="1719" w:hRule="exact"/>
        </w:trPr>
        <w:tc>
          <w:tcPr>
            <w:tcW w:w="530" w:type="dxa"/>
          </w:tcPr>
          <w:p>
            <w:pPr>
              <w:pStyle w:val="TableParagraph"/>
              <w:ind w:right="28"/>
              <w:jc w:val="right"/>
              <w:rPr>
                <w:sz w:val="24"/>
              </w:rPr>
            </w:pPr>
            <w:bookmarkStart w:name="_bookmark0" w:id="11"/>
            <w:bookmarkEnd w:id="11"/>
            <w:r>
              <w:rPr/>
            </w:r>
            <w:r>
              <w:rPr>
                <w:sz w:val="24"/>
              </w:rPr>
              <w:t>22.</w:t>
            </w:r>
          </w:p>
        </w:tc>
        <w:tc>
          <w:tcPr>
            <w:tcW w:w="8896" w:type="dxa"/>
          </w:tcPr>
          <w:p>
            <w:pPr>
              <w:pStyle w:val="TableParagraph"/>
              <w:spacing w:line="360" w:lineRule="auto"/>
              <w:ind w:left="30" w:right="200"/>
              <w:jc w:val="both"/>
              <w:rPr>
                <w:sz w:val="24"/>
              </w:rPr>
            </w:pPr>
            <w:r>
              <w:rPr>
                <w:sz w:val="24"/>
              </w:rPr>
              <w:t>Pavón-García, L., Pérez-Alonso, C., Orozco-Villafuerte, J., Pimentel-González, D., Rodríguez-Huezco, M., Vernon-Carter, E.: Storage stability of the natural colourant from Justicia spicigera microencapsulated in protective colloids blends by spray-drying. International Journal of Food Science and Technology 46(7), 1428-1437 (2011)</w:t>
            </w:r>
          </w:p>
        </w:tc>
      </w:tr>
      <w:tr>
        <w:trPr>
          <w:trHeight w:val="473" w:hRule="exact"/>
        </w:trPr>
        <w:tc>
          <w:tcPr>
            <w:tcW w:w="530" w:type="dxa"/>
          </w:tcPr>
          <w:p>
            <w:pPr>
              <w:pStyle w:val="TableParagraph"/>
              <w:ind w:right="28"/>
              <w:jc w:val="right"/>
              <w:rPr>
                <w:sz w:val="24"/>
              </w:rPr>
            </w:pPr>
            <w:r>
              <w:rPr>
                <w:sz w:val="24"/>
              </w:rPr>
              <w:t>23.</w:t>
            </w:r>
          </w:p>
        </w:tc>
        <w:tc>
          <w:tcPr>
            <w:tcW w:w="8896" w:type="dxa"/>
          </w:tcPr>
          <w:p>
            <w:pPr>
              <w:pStyle w:val="TableParagraph"/>
              <w:ind w:left="30" w:right="188"/>
              <w:jc w:val="left"/>
              <w:rPr>
                <w:sz w:val="24"/>
              </w:rPr>
            </w:pPr>
            <w:r>
              <w:rPr>
                <w:sz w:val="24"/>
              </w:rPr>
              <w:t>Frankel, E.: Lipid Oxidation. Woodhead Publishing Ltd., Sawston, UK (2005)</w:t>
            </w:r>
          </w:p>
        </w:tc>
      </w:tr>
      <w:tr>
        <w:trPr>
          <w:trHeight w:val="473" w:hRule="exact"/>
        </w:trPr>
        <w:tc>
          <w:tcPr>
            <w:tcW w:w="530" w:type="dxa"/>
          </w:tcPr>
          <w:p>
            <w:pPr>
              <w:pStyle w:val="TableParagraph"/>
              <w:spacing w:before="78"/>
              <w:ind w:right="28"/>
              <w:jc w:val="right"/>
              <w:rPr>
                <w:sz w:val="24"/>
              </w:rPr>
            </w:pPr>
            <w:r>
              <w:rPr>
                <w:sz w:val="24"/>
              </w:rPr>
              <w:t>24.</w:t>
            </w:r>
          </w:p>
        </w:tc>
        <w:tc>
          <w:tcPr>
            <w:tcW w:w="8896" w:type="dxa"/>
          </w:tcPr>
          <w:p>
            <w:pPr>
              <w:pStyle w:val="TableParagraph"/>
              <w:spacing w:before="78"/>
              <w:ind w:left="30" w:right="188"/>
              <w:jc w:val="left"/>
              <w:rPr>
                <w:sz w:val="24"/>
              </w:rPr>
            </w:pPr>
            <w:r>
              <w:rPr>
                <w:sz w:val="24"/>
              </w:rPr>
              <w:t>Kamal-Eldin, A., ed.: Lipid Oxidation Pathways. AOCS Publishing, Champaign (2003)</w:t>
            </w:r>
          </w:p>
        </w:tc>
      </w:tr>
      <w:tr>
        <w:trPr>
          <w:trHeight w:val="358" w:hRule="exact"/>
        </w:trPr>
        <w:tc>
          <w:tcPr>
            <w:tcW w:w="530" w:type="dxa"/>
          </w:tcPr>
          <w:p>
            <w:pPr>
              <w:pStyle w:val="TableParagraph"/>
              <w:ind w:right="28"/>
              <w:jc w:val="right"/>
              <w:rPr>
                <w:sz w:val="24"/>
              </w:rPr>
            </w:pPr>
            <w:r>
              <w:rPr>
                <w:sz w:val="24"/>
              </w:rPr>
              <w:t>25.</w:t>
            </w:r>
          </w:p>
        </w:tc>
        <w:tc>
          <w:tcPr>
            <w:tcW w:w="8896" w:type="dxa"/>
          </w:tcPr>
          <w:p>
            <w:pPr>
              <w:pStyle w:val="TableParagraph"/>
              <w:ind w:left="30" w:right="188"/>
              <w:jc w:val="left"/>
              <w:rPr>
                <w:sz w:val="24"/>
              </w:rPr>
            </w:pPr>
            <w:r>
              <w:rPr>
                <w:sz w:val="24"/>
              </w:rPr>
              <w:t>Vernon-Carter, E., Gómez,  S., Beristain, C., Mosqueira, G., Pedroza-Islas, R.,    Moreno-</w:t>
            </w:r>
          </w:p>
        </w:tc>
      </w:tr>
    </w:tbl>
    <w:p>
      <w:pPr>
        <w:spacing w:after="0"/>
        <w:jc w:val="left"/>
        <w:rPr>
          <w:sz w:val="24"/>
        </w:rPr>
        <w:sectPr>
          <w:pgSz w:w="11900" w:h="16840"/>
          <w:pgMar w:header="0" w:footer="1370" w:top="1480" w:bottom="1460" w:left="1140" w:right="1120"/>
        </w:sect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0"/>
        <w:gridCol w:w="8896"/>
      </w:tblGrid>
      <w:tr>
        <w:trPr>
          <w:trHeight w:val="1186" w:hRule="exact"/>
        </w:trPr>
        <w:tc>
          <w:tcPr>
            <w:tcW w:w="530" w:type="dxa"/>
          </w:tcPr>
          <w:p>
            <w:pPr/>
          </w:p>
        </w:tc>
        <w:tc>
          <w:tcPr>
            <w:tcW w:w="8896" w:type="dxa"/>
          </w:tcPr>
          <w:p>
            <w:pPr>
              <w:pStyle w:val="TableParagraph"/>
              <w:spacing w:line="239" w:lineRule="exact" w:before="0"/>
              <w:ind w:left="30" w:right="188"/>
              <w:jc w:val="left"/>
              <w:rPr>
                <w:sz w:val="24"/>
              </w:rPr>
            </w:pPr>
            <w:r>
              <w:rPr>
                <w:sz w:val="24"/>
              </w:rPr>
              <w:t>Terrazas, R.: Color degradation and coalescence kinetics of aztec marigold   oleoresin-in-</w:t>
            </w:r>
          </w:p>
          <w:p>
            <w:pPr>
              <w:pStyle w:val="TableParagraph"/>
              <w:spacing w:line="362" w:lineRule="auto" w:before="137"/>
              <w:ind w:left="30" w:right="201"/>
              <w:jc w:val="left"/>
              <w:rPr>
                <w:sz w:val="24"/>
              </w:rPr>
            </w:pPr>
            <w:r>
              <w:rPr>
                <w:sz w:val="24"/>
              </w:rPr>
              <w:t>water emulsions stabilized by mesquite or arabic gums and their blends. Journal of Texture Studies 27(6), 625-641 (1996)</w:t>
            </w:r>
          </w:p>
        </w:tc>
      </w:tr>
      <w:tr>
        <w:trPr>
          <w:trHeight w:val="888" w:hRule="exact"/>
        </w:trPr>
        <w:tc>
          <w:tcPr>
            <w:tcW w:w="530" w:type="dxa"/>
          </w:tcPr>
          <w:p>
            <w:pPr>
              <w:pStyle w:val="TableParagraph"/>
              <w:spacing w:before="78"/>
              <w:ind w:right="28"/>
              <w:jc w:val="right"/>
              <w:rPr>
                <w:sz w:val="24"/>
              </w:rPr>
            </w:pPr>
            <w:r>
              <w:rPr>
                <w:sz w:val="24"/>
              </w:rPr>
              <w:t>26.</w:t>
            </w:r>
          </w:p>
        </w:tc>
        <w:tc>
          <w:tcPr>
            <w:tcW w:w="8896" w:type="dxa"/>
          </w:tcPr>
          <w:p>
            <w:pPr>
              <w:pStyle w:val="TableParagraph"/>
              <w:spacing w:line="362" w:lineRule="auto" w:before="78"/>
              <w:ind w:left="30" w:right="188"/>
              <w:jc w:val="left"/>
              <w:rPr>
                <w:sz w:val="24"/>
              </w:rPr>
            </w:pPr>
            <w:r>
              <w:rPr>
                <w:sz w:val="24"/>
              </w:rPr>
              <w:t>Lang, K., McCune, T., Steinberg, M.: A proximity equilibrium cell for determination of sorption isotherm. Journal of Food Science 46(3), 936-938 (1981)</w:t>
            </w:r>
          </w:p>
        </w:tc>
      </w:tr>
      <w:tr>
        <w:trPr>
          <w:trHeight w:val="1304" w:hRule="exact"/>
        </w:trPr>
        <w:tc>
          <w:tcPr>
            <w:tcW w:w="530" w:type="dxa"/>
          </w:tcPr>
          <w:p>
            <w:pPr>
              <w:pStyle w:val="TableParagraph"/>
              <w:spacing w:before="78"/>
              <w:ind w:right="28"/>
              <w:jc w:val="right"/>
              <w:rPr>
                <w:sz w:val="24"/>
              </w:rPr>
            </w:pPr>
            <w:r>
              <w:rPr>
                <w:sz w:val="24"/>
              </w:rPr>
              <w:t>27.</w:t>
            </w:r>
          </w:p>
        </w:tc>
        <w:tc>
          <w:tcPr>
            <w:tcW w:w="8896" w:type="dxa"/>
          </w:tcPr>
          <w:p>
            <w:pPr>
              <w:pStyle w:val="TableParagraph"/>
              <w:spacing w:line="362" w:lineRule="auto" w:before="78"/>
              <w:ind w:left="30" w:right="207"/>
              <w:jc w:val="both"/>
              <w:rPr>
                <w:sz w:val="24"/>
              </w:rPr>
            </w:pPr>
            <w:r>
              <w:rPr>
                <w:sz w:val="24"/>
              </w:rPr>
              <w:t>Labuza, T., Kaanane, A., Chen, J.: Effect of temperature on the moisture sorption isotherms and water activity shift of two dehydrated foods. Journal of Food  Science 50(2), 385-391 (1985)</w:t>
            </w:r>
          </w:p>
        </w:tc>
      </w:tr>
      <w:tr>
        <w:trPr>
          <w:trHeight w:val="1301" w:hRule="exact"/>
        </w:trPr>
        <w:tc>
          <w:tcPr>
            <w:tcW w:w="530" w:type="dxa"/>
          </w:tcPr>
          <w:p>
            <w:pPr>
              <w:pStyle w:val="TableParagraph"/>
              <w:ind w:right="28"/>
              <w:jc w:val="right"/>
              <w:rPr>
                <w:sz w:val="24"/>
              </w:rPr>
            </w:pPr>
            <w:r>
              <w:rPr>
                <w:sz w:val="24"/>
              </w:rPr>
              <w:t>28.</w:t>
            </w:r>
          </w:p>
        </w:tc>
        <w:tc>
          <w:tcPr>
            <w:tcW w:w="8896" w:type="dxa"/>
          </w:tcPr>
          <w:p>
            <w:pPr>
              <w:pStyle w:val="TableParagraph"/>
              <w:spacing w:line="360" w:lineRule="auto"/>
              <w:ind w:left="30" w:right="198"/>
              <w:jc w:val="both"/>
              <w:rPr>
                <w:sz w:val="24"/>
              </w:rPr>
            </w:pPr>
            <w:r>
              <w:rPr>
                <w:sz w:val="24"/>
              </w:rPr>
              <w:t>Pérez-Alonso, C., Beristain, C., Lobato-Calleros, C., Rodríguez-Huezo, M., Vernon- Carter, E.: Thermodynamic analysis of the sorption isotherms of pure and blended carbohydrate polymers. Journal of Food Engineering 77(4), 753-760 (2006)</w:t>
            </w:r>
          </w:p>
        </w:tc>
      </w:tr>
      <w:tr>
        <w:trPr>
          <w:trHeight w:val="888" w:hRule="exact"/>
        </w:trPr>
        <w:tc>
          <w:tcPr>
            <w:tcW w:w="530" w:type="dxa"/>
          </w:tcPr>
          <w:p>
            <w:pPr>
              <w:pStyle w:val="TableParagraph"/>
              <w:ind w:right="28"/>
              <w:jc w:val="right"/>
              <w:rPr>
                <w:sz w:val="24"/>
              </w:rPr>
            </w:pPr>
            <w:r>
              <w:rPr>
                <w:sz w:val="24"/>
              </w:rPr>
              <w:t>29.</w:t>
            </w:r>
          </w:p>
        </w:tc>
        <w:tc>
          <w:tcPr>
            <w:tcW w:w="8896" w:type="dxa"/>
          </w:tcPr>
          <w:p>
            <w:pPr>
              <w:pStyle w:val="TableParagraph"/>
              <w:spacing w:line="360" w:lineRule="auto"/>
              <w:ind w:left="30" w:right="188"/>
              <w:jc w:val="left"/>
              <w:rPr>
                <w:sz w:val="24"/>
              </w:rPr>
            </w:pPr>
            <w:r>
              <w:rPr>
                <w:sz w:val="24"/>
              </w:rPr>
              <w:t>Ratti, C., Araya-Farias, M., Mendez-Lagunas, L., Makhlouf, J.: Drying of Garlic (Allium sativum) and Its Effect on Allicin Retention. Drying Technology 25(2), 349-356 (2007)</w:t>
            </w:r>
          </w:p>
        </w:tc>
      </w:tr>
      <w:tr>
        <w:trPr>
          <w:trHeight w:val="888" w:hRule="exact"/>
        </w:trPr>
        <w:tc>
          <w:tcPr>
            <w:tcW w:w="530" w:type="dxa"/>
          </w:tcPr>
          <w:p>
            <w:pPr>
              <w:pStyle w:val="TableParagraph"/>
              <w:ind w:right="28"/>
              <w:jc w:val="right"/>
              <w:rPr>
                <w:sz w:val="24"/>
              </w:rPr>
            </w:pPr>
            <w:r>
              <w:rPr>
                <w:sz w:val="24"/>
              </w:rPr>
              <w:t>30.</w:t>
            </w:r>
          </w:p>
        </w:tc>
        <w:tc>
          <w:tcPr>
            <w:tcW w:w="8896" w:type="dxa"/>
          </w:tcPr>
          <w:p>
            <w:pPr>
              <w:pStyle w:val="TableParagraph"/>
              <w:spacing w:line="360" w:lineRule="auto"/>
              <w:ind w:left="30" w:right="188"/>
              <w:jc w:val="left"/>
              <w:rPr>
                <w:sz w:val="24"/>
              </w:rPr>
            </w:pPr>
            <w:r>
              <w:rPr>
                <w:sz w:val="24"/>
              </w:rPr>
              <w:t>McLaughlin, C., Magee, T.: The determination of sorption isotherm and the  isosteric heats of sorption for potatoes. Journal of Food Engineering 35(3), 267-280 (1998)</w:t>
            </w:r>
          </w:p>
        </w:tc>
      </w:tr>
      <w:tr>
        <w:trPr>
          <w:trHeight w:val="1301" w:hRule="exact"/>
        </w:trPr>
        <w:tc>
          <w:tcPr>
            <w:tcW w:w="530" w:type="dxa"/>
          </w:tcPr>
          <w:p>
            <w:pPr>
              <w:pStyle w:val="TableParagraph"/>
              <w:ind w:right="28"/>
              <w:jc w:val="right"/>
              <w:rPr>
                <w:sz w:val="24"/>
              </w:rPr>
            </w:pPr>
            <w:r>
              <w:rPr>
                <w:sz w:val="24"/>
              </w:rPr>
              <w:t>31.</w:t>
            </w:r>
          </w:p>
        </w:tc>
        <w:tc>
          <w:tcPr>
            <w:tcW w:w="8896" w:type="dxa"/>
          </w:tcPr>
          <w:p>
            <w:pPr>
              <w:pStyle w:val="TableParagraph"/>
              <w:spacing w:line="360" w:lineRule="auto"/>
              <w:ind w:left="30" w:right="213"/>
              <w:jc w:val="both"/>
              <w:rPr>
                <w:sz w:val="24"/>
              </w:rPr>
            </w:pPr>
            <w:r>
              <w:rPr>
                <w:sz w:val="24"/>
              </w:rPr>
              <w:t>Sampaio, R., Marcos, S., Moraes, I., Pérez, V.: Moisture adsorption behavior of biscuits formulated using wheat, oatmeal and passion fruit flour. Journal of Food Processing and Preservation 33(1), 105-113 (2009)</w:t>
            </w:r>
          </w:p>
        </w:tc>
      </w:tr>
      <w:tr>
        <w:trPr>
          <w:trHeight w:val="888" w:hRule="exact"/>
        </w:trPr>
        <w:tc>
          <w:tcPr>
            <w:tcW w:w="530" w:type="dxa"/>
          </w:tcPr>
          <w:p>
            <w:pPr>
              <w:pStyle w:val="TableParagraph"/>
              <w:ind w:right="28"/>
              <w:jc w:val="right"/>
              <w:rPr>
                <w:sz w:val="24"/>
              </w:rPr>
            </w:pPr>
            <w:r>
              <w:rPr>
                <w:sz w:val="24"/>
              </w:rPr>
              <w:t>32.</w:t>
            </w:r>
          </w:p>
        </w:tc>
        <w:tc>
          <w:tcPr>
            <w:tcW w:w="8896" w:type="dxa"/>
          </w:tcPr>
          <w:p>
            <w:pPr>
              <w:pStyle w:val="TableParagraph"/>
              <w:spacing w:line="360" w:lineRule="auto"/>
              <w:ind w:left="30" w:right="188"/>
              <w:jc w:val="left"/>
              <w:rPr>
                <w:sz w:val="24"/>
              </w:rPr>
            </w:pPr>
            <w:r>
              <w:rPr>
                <w:sz w:val="24"/>
              </w:rPr>
              <w:t>Gordon, M., Taylor, J.: Ideal copolymers and the second-order transitions of synthtetic rubbers. Journal of Applied Chemistry 2(9), 493-500 (1952)</w:t>
            </w:r>
          </w:p>
        </w:tc>
      </w:tr>
      <w:tr>
        <w:trPr>
          <w:trHeight w:val="1304" w:hRule="exact"/>
        </w:trPr>
        <w:tc>
          <w:tcPr>
            <w:tcW w:w="530" w:type="dxa"/>
          </w:tcPr>
          <w:p>
            <w:pPr>
              <w:pStyle w:val="TableParagraph"/>
              <w:ind w:right="28"/>
              <w:jc w:val="right"/>
              <w:rPr>
                <w:sz w:val="24"/>
              </w:rPr>
            </w:pPr>
            <w:r>
              <w:rPr>
                <w:sz w:val="24"/>
              </w:rPr>
              <w:t>33.</w:t>
            </w:r>
          </w:p>
        </w:tc>
        <w:tc>
          <w:tcPr>
            <w:tcW w:w="8896" w:type="dxa"/>
          </w:tcPr>
          <w:p>
            <w:pPr>
              <w:pStyle w:val="TableParagraph"/>
              <w:spacing w:line="360" w:lineRule="auto"/>
              <w:ind w:left="30" w:right="208"/>
              <w:jc w:val="both"/>
              <w:rPr>
                <w:sz w:val="24"/>
              </w:rPr>
            </w:pPr>
            <w:r>
              <w:rPr>
                <w:sz w:val="24"/>
              </w:rPr>
              <w:t>Partanen, R., Raula, J., Seppänen, R., Buchert, J., Kauppinen, E., Forssell, P.: Effect of Relative Humidity on Oxidation of Flaxseed Oil in Spray Dried Whey Protein Emulsions. Journal of Agricultural and Food Chemistry 56(14), 5717-5722 (2008)</w:t>
            </w:r>
          </w:p>
        </w:tc>
      </w:tr>
      <w:tr>
        <w:trPr>
          <w:trHeight w:val="1304" w:hRule="exact"/>
        </w:trPr>
        <w:tc>
          <w:tcPr>
            <w:tcW w:w="530" w:type="dxa"/>
          </w:tcPr>
          <w:p>
            <w:pPr>
              <w:pStyle w:val="TableParagraph"/>
              <w:spacing w:before="78"/>
              <w:ind w:right="28"/>
              <w:jc w:val="right"/>
              <w:rPr>
                <w:sz w:val="24"/>
              </w:rPr>
            </w:pPr>
            <w:r>
              <w:rPr>
                <w:sz w:val="24"/>
              </w:rPr>
              <w:t>34.</w:t>
            </w:r>
          </w:p>
        </w:tc>
        <w:tc>
          <w:tcPr>
            <w:tcW w:w="8896" w:type="dxa"/>
          </w:tcPr>
          <w:p>
            <w:pPr>
              <w:pStyle w:val="TableParagraph"/>
              <w:spacing w:line="360" w:lineRule="auto" w:before="78"/>
              <w:ind w:left="30" w:right="207"/>
              <w:jc w:val="both"/>
              <w:rPr>
                <w:sz w:val="24"/>
              </w:rPr>
            </w:pPr>
            <w:r>
              <w:rPr>
                <w:sz w:val="24"/>
              </w:rPr>
              <w:t>Shantha, N., Decker, E.: Rapid, sensitive, iron-based spectrophotometric method for determination of peroxide values of food lipids. Journal of AOAC International 77(2), 421-424 (1994)</w:t>
            </w:r>
          </w:p>
        </w:tc>
      </w:tr>
      <w:tr>
        <w:trPr>
          <w:trHeight w:val="1301" w:hRule="exact"/>
        </w:trPr>
        <w:tc>
          <w:tcPr>
            <w:tcW w:w="530" w:type="dxa"/>
          </w:tcPr>
          <w:p>
            <w:pPr>
              <w:pStyle w:val="TableParagraph"/>
              <w:ind w:right="28"/>
              <w:jc w:val="right"/>
              <w:rPr>
                <w:sz w:val="24"/>
              </w:rPr>
            </w:pPr>
            <w:r>
              <w:rPr>
                <w:sz w:val="24"/>
              </w:rPr>
              <w:t>35.</w:t>
            </w:r>
          </w:p>
        </w:tc>
        <w:tc>
          <w:tcPr>
            <w:tcW w:w="8896" w:type="dxa"/>
          </w:tcPr>
          <w:p>
            <w:pPr>
              <w:pStyle w:val="TableParagraph"/>
              <w:spacing w:line="360" w:lineRule="auto"/>
              <w:ind w:left="30" w:right="206"/>
              <w:jc w:val="both"/>
              <w:rPr>
                <w:sz w:val="24"/>
              </w:rPr>
            </w:pPr>
            <w:r>
              <w:rPr>
                <w:sz w:val="24"/>
              </w:rPr>
              <w:t>Martinelli, L., Gabas, A., Telis-Romero, J.: Thermodynamic and Quality Properties of Lemon Juice Powder as Affected by Maltodextrin and Arabic Gum. Drying Technology 25:12, 2035 - 2045 (2007)</w:t>
            </w:r>
          </w:p>
        </w:tc>
      </w:tr>
      <w:tr>
        <w:trPr>
          <w:trHeight w:val="770" w:hRule="exact"/>
        </w:trPr>
        <w:tc>
          <w:tcPr>
            <w:tcW w:w="530" w:type="dxa"/>
          </w:tcPr>
          <w:p>
            <w:pPr>
              <w:pStyle w:val="TableParagraph"/>
              <w:ind w:right="28"/>
              <w:jc w:val="right"/>
              <w:rPr>
                <w:sz w:val="24"/>
              </w:rPr>
            </w:pPr>
            <w:r>
              <w:rPr>
                <w:sz w:val="24"/>
              </w:rPr>
              <w:t>36.</w:t>
            </w:r>
          </w:p>
        </w:tc>
        <w:tc>
          <w:tcPr>
            <w:tcW w:w="8896" w:type="dxa"/>
          </w:tcPr>
          <w:p>
            <w:pPr>
              <w:pStyle w:val="TableParagraph"/>
              <w:tabs>
                <w:tab w:pos="1387" w:val="left" w:leader="none"/>
                <w:tab w:pos="1996" w:val="left" w:leader="none"/>
                <w:tab w:pos="2974" w:val="left" w:leader="none"/>
                <w:tab w:pos="3507" w:val="left" w:leader="none"/>
                <w:tab w:pos="4341" w:val="left" w:leader="none"/>
                <w:tab w:pos="5387" w:val="left" w:leader="none"/>
                <w:tab w:pos="5866" w:val="left" w:leader="none"/>
                <w:tab w:pos="8006" w:val="left" w:leader="none"/>
              </w:tabs>
              <w:ind w:left="30"/>
              <w:jc w:val="left"/>
              <w:rPr>
                <w:sz w:val="24"/>
              </w:rPr>
            </w:pPr>
            <w:r>
              <w:rPr>
                <w:sz w:val="24"/>
              </w:rPr>
              <w:t>Rosenberg,</w:t>
              <w:tab/>
              <w:t>M.,</w:t>
              <w:tab/>
              <w:t>Young,</w:t>
              <w:tab/>
              <w:t>S.:</w:t>
              <w:tab/>
              <w:t>Whey</w:t>
              <w:tab/>
              <w:t>proteins</w:t>
              <w:tab/>
              <w:t>as</w:t>
              <w:tab/>
              <w:t>microencapsulating</w:t>
              <w:tab/>
              <w:t>agents.</w:t>
            </w:r>
          </w:p>
          <w:p>
            <w:pPr>
              <w:pStyle w:val="TableParagraph"/>
              <w:spacing w:before="137"/>
              <w:ind w:left="30" w:right="188"/>
              <w:jc w:val="left"/>
              <w:rPr>
                <w:sz w:val="24"/>
              </w:rPr>
            </w:pPr>
            <w:r>
              <w:rPr>
                <w:sz w:val="24"/>
              </w:rPr>
              <w:t>Microencapsulation of anhydrous milkfat: structure evaluation. Food structure 12(1),  31-</w:t>
            </w:r>
          </w:p>
        </w:tc>
      </w:tr>
    </w:tbl>
    <w:p>
      <w:pPr>
        <w:spacing w:after="0"/>
        <w:jc w:val="left"/>
        <w:rPr>
          <w:sz w:val="24"/>
        </w:rPr>
        <w:sectPr>
          <w:pgSz w:w="11900" w:h="16840"/>
          <w:pgMar w:header="0" w:footer="1026" w:top="1480" w:bottom="1160" w:left="1140" w:right="1120"/>
        </w:sect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0"/>
        <w:gridCol w:w="8896"/>
      </w:tblGrid>
      <w:tr>
        <w:trPr>
          <w:trHeight w:val="358" w:hRule="exact"/>
        </w:trPr>
        <w:tc>
          <w:tcPr>
            <w:tcW w:w="530" w:type="dxa"/>
          </w:tcPr>
          <w:p>
            <w:pPr/>
          </w:p>
        </w:tc>
        <w:tc>
          <w:tcPr>
            <w:tcW w:w="8896" w:type="dxa"/>
          </w:tcPr>
          <w:p>
            <w:pPr>
              <w:pStyle w:val="TableParagraph"/>
              <w:spacing w:line="239" w:lineRule="exact" w:before="0"/>
              <w:ind w:left="30" w:right="236"/>
              <w:jc w:val="left"/>
              <w:rPr>
                <w:sz w:val="24"/>
              </w:rPr>
            </w:pPr>
            <w:r>
              <w:rPr>
                <w:sz w:val="24"/>
              </w:rPr>
              <w:t>41 (1993)</w:t>
            </w:r>
          </w:p>
        </w:tc>
      </w:tr>
      <w:tr>
        <w:trPr>
          <w:trHeight w:val="1301" w:hRule="exact"/>
        </w:trPr>
        <w:tc>
          <w:tcPr>
            <w:tcW w:w="530" w:type="dxa"/>
          </w:tcPr>
          <w:p>
            <w:pPr>
              <w:pStyle w:val="TableParagraph"/>
              <w:ind w:right="28"/>
              <w:jc w:val="right"/>
              <w:rPr>
                <w:sz w:val="24"/>
              </w:rPr>
            </w:pPr>
            <w:r>
              <w:rPr>
                <w:sz w:val="24"/>
              </w:rPr>
              <w:t>37.</w:t>
            </w:r>
          </w:p>
        </w:tc>
        <w:tc>
          <w:tcPr>
            <w:tcW w:w="8896" w:type="dxa"/>
          </w:tcPr>
          <w:p>
            <w:pPr>
              <w:pStyle w:val="TableParagraph"/>
              <w:spacing w:line="360" w:lineRule="auto"/>
              <w:ind w:left="30" w:right="201"/>
              <w:jc w:val="both"/>
              <w:rPr>
                <w:sz w:val="24"/>
              </w:rPr>
            </w:pPr>
            <w:r>
              <w:rPr>
                <w:sz w:val="24"/>
              </w:rPr>
              <w:t>Moraes, K., Pinto, L.: Desorption isotherms and thermodynamics properties of anchovy  </w:t>
            </w:r>
            <w:r>
              <w:rPr>
                <w:spacing w:val="-3"/>
                <w:sz w:val="24"/>
              </w:rPr>
              <w:t>in </w:t>
            </w:r>
            <w:r>
              <w:rPr>
                <w:sz w:val="24"/>
              </w:rPr>
              <w:t>natura and enzymatic modified paste. Journal of Food Engineering 110(4), 507-513 (2012)</w:t>
            </w:r>
          </w:p>
        </w:tc>
      </w:tr>
      <w:tr>
        <w:trPr>
          <w:trHeight w:val="888" w:hRule="exact"/>
        </w:trPr>
        <w:tc>
          <w:tcPr>
            <w:tcW w:w="530" w:type="dxa"/>
          </w:tcPr>
          <w:p>
            <w:pPr>
              <w:pStyle w:val="TableParagraph"/>
              <w:ind w:right="28"/>
              <w:jc w:val="right"/>
              <w:rPr>
                <w:sz w:val="24"/>
              </w:rPr>
            </w:pPr>
            <w:r>
              <w:rPr>
                <w:sz w:val="24"/>
              </w:rPr>
              <w:t>38.</w:t>
            </w:r>
          </w:p>
        </w:tc>
        <w:tc>
          <w:tcPr>
            <w:tcW w:w="8896" w:type="dxa"/>
          </w:tcPr>
          <w:p>
            <w:pPr>
              <w:pStyle w:val="TableParagraph"/>
              <w:spacing w:line="360" w:lineRule="auto"/>
              <w:ind w:left="30" w:right="236"/>
              <w:jc w:val="left"/>
              <w:rPr>
                <w:sz w:val="24"/>
              </w:rPr>
            </w:pPr>
            <w:r>
              <w:rPr>
                <w:sz w:val="24"/>
              </w:rPr>
              <w:t>Cassini, A., Marczak, L., Noreña, C.: Water adsorption isotherms of texturized soy protein. Journal of Food Engineering 77(1), 194-199 (2006)</w:t>
            </w:r>
          </w:p>
        </w:tc>
      </w:tr>
      <w:tr>
        <w:trPr>
          <w:trHeight w:val="1719" w:hRule="exact"/>
        </w:trPr>
        <w:tc>
          <w:tcPr>
            <w:tcW w:w="530" w:type="dxa"/>
          </w:tcPr>
          <w:p>
            <w:pPr>
              <w:pStyle w:val="TableParagraph"/>
              <w:ind w:right="28"/>
              <w:jc w:val="right"/>
              <w:rPr>
                <w:sz w:val="24"/>
              </w:rPr>
            </w:pPr>
            <w:r>
              <w:rPr>
                <w:sz w:val="24"/>
              </w:rPr>
              <w:t>39.</w:t>
            </w:r>
          </w:p>
        </w:tc>
        <w:tc>
          <w:tcPr>
            <w:tcW w:w="8896" w:type="dxa"/>
          </w:tcPr>
          <w:p>
            <w:pPr>
              <w:pStyle w:val="TableParagraph"/>
              <w:spacing w:line="360" w:lineRule="auto"/>
              <w:ind w:left="30" w:right="198"/>
              <w:jc w:val="both"/>
              <w:rPr>
                <w:sz w:val="24"/>
              </w:rPr>
            </w:pPr>
            <w:r>
              <w:rPr>
                <w:sz w:val="24"/>
              </w:rPr>
              <w:t>Frascareli, E., Silva, V., Tonon, R., Hubinger, M.: Determination of critical storage conditions of coffee oil microcapsules by coupling water sorption isotherms and glass transition temperature. International Journal of Food Science &amp; Technology 47(5), 1044- 1054 (2012)</w:t>
            </w:r>
          </w:p>
        </w:tc>
      </w:tr>
      <w:tr>
        <w:trPr>
          <w:trHeight w:val="1301" w:hRule="exact"/>
        </w:trPr>
        <w:tc>
          <w:tcPr>
            <w:tcW w:w="530" w:type="dxa"/>
          </w:tcPr>
          <w:p>
            <w:pPr>
              <w:pStyle w:val="TableParagraph"/>
              <w:ind w:right="28"/>
              <w:jc w:val="right"/>
              <w:rPr>
                <w:sz w:val="24"/>
              </w:rPr>
            </w:pPr>
            <w:r>
              <w:rPr>
                <w:sz w:val="24"/>
              </w:rPr>
              <w:t>40.</w:t>
            </w:r>
          </w:p>
        </w:tc>
        <w:tc>
          <w:tcPr>
            <w:tcW w:w="8896" w:type="dxa"/>
          </w:tcPr>
          <w:p>
            <w:pPr>
              <w:pStyle w:val="TableParagraph"/>
              <w:spacing w:line="360" w:lineRule="auto"/>
              <w:ind w:left="30" w:right="209"/>
              <w:jc w:val="both"/>
              <w:rPr>
                <w:sz w:val="24"/>
              </w:rPr>
            </w:pPr>
            <w:r>
              <w:rPr>
                <w:sz w:val="24"/>
              </w:rPr>
              <w:t>Ixtaina, V., Julio, L., Wagner, J., Nolasco, S., Tomás, M.: Physicochemical characterization and stability of chia oil microencapsulated with sodium caseinate and lactose by spray-drying. Powder Technology 271, 26-34 (2015)</w:t>
            </w:r>
          </w:p>
        </w:tc>
      </w:tr>
      <w:tr>
        <w:trPr>
          <w:trHeight w:val="1301" w:hRule="exact"/>
        </w:trPr>
        <w:tc>
          <w:tcPr>
            <w:tcW w:w="530" w:type="dxa"/>
          </w:tcPr>
          <w:p>
            <w:pPr>
              <w:pStyle w:val="TableParagraph"/>
              <w:ind w:right="28"/>
              <w:jc w:val="right"/>
              <w:rPr>
                <w:sz w:val="24"/>
              </w:rPr>
            </w:pPr>
            <w:r>
              <w:rPr>
                <w:sz w:val="24"/>
              </w:rPr>
              <w:t>41.</w:t>
            </w:r>
          </w:p>
        </w:tc>
        <w:tc>
          <w:tcPr>
            <w:tcW w:w="8896" w:type="dxa"/>
          </w:tcPr>
          <w:p>
            <w:pPr>
              <w:pStyle w:val="TableParagraph"/>
              <w:spacing w:line="360" w:lineRule="auto"/>
              <w:ind w:left="30" w:right="206"/>
              <w:jc w:val="both"/>
              <w:rPr>
                <w:sz w:val="24"/>
              </w:rPr>
            </w:pPr>
            <w:r>
              <w:rPr>
                <w:sz w:val="24"/>
              </w:rPr>
              <w:t>Martínez, M., Curti, m., Roccia, P., Llabot, J., Penci, M., Bodoira, R., Ribotta, P.: Oxidative stability ofwalnut (Juglans regia L.) and chia (Salvia hispanica L.) oils microencapsulated by spray drying. Powder Technology 270(Part A), 271-277 (2015)</w:t>
            </w:r>
          </w:p>
        </w:tc>
      </w:tr>
      <w:tr>
        <w:trPr>
          <w:trHeight w:val="888" w:hRule="exact"/>
        </w:trPr>
        <w:tc>
          <w:tcPr>
            <w:tcW w:w="530" w:type="dxa"/>
          </w:tcPr>
          <w:p>
            <w:pPr>
              <w:pStyle w:val="TableParagraph"/>
              <w:ind w:right="28"/>
              <w:jc w:val="right"/>
              <w:rPr>
                <w:sz w:val="24"/>
              </w:rPr>
            </w:pPr>
            <w:r>
              <w:rPr>
                <w:sz w:val="24"/>
              </w:rPr>
              <w:t>42.</w:t>
            </w:r>
          </w:p>
        </w:tc>
        <w:tc>
          <w:tcPr>
            <w:tcW w:w="8896" w:type="dxa"/>
          </w:tcPr>
          <w:p>
            <w:pPr>
              <w:pStyle w:val="TableParagraph"/>
              <w:spacing w:line="360" w:lineRule="auto"/>
              <w:ind w:left="30" w:right="236"/>
              <w:jc w:val="left"/>
              <w:rPr>
                <w:sz w:val="24"/>
              </w:rPr>
            </w:pPr>
            <w:r>
              <w:rPr>
                <w:sz w:val="24"/>
              </w:rPr>
              <w:t>Chow, C., ed.: Fatty acids </w:t>
            </w:r>
            <w:r>
              <w:rPr>
                <w:spacing w:val="-3"/>
                <w:sz w:val="24"/>
              </w:rPr>
              <w:t>in </w:t>
            </w:r>
            <w:r>
              <w:rPr>
                <w:sz w:val="24"/>
              </w:rPr>
              <w:t>foods and their health implications 3rd edn. CRC Press,  Boca Raton</w:t>
            </w:r>
            <w:r>
              <w:rPr>
                <w:spacing w:val="-3"/>
                <w:sz w:val="24"/>
              </w:rPr>
              <w:t> </w:t>
            </w:r>
            <w:r>
              <w:rPr>
                <w:sz w:val="24"/>
              </w:rPr>
              <w:t>(2008)</w:t>
            </w:r>
          </w:p>
        </w:tc>
      </w:tr>
      <w:tr>
        <w:trPr>
          <w:trHeight w:val="1304" w:hRule="exact"/>
        </w:trPr>
        <w:tc>
          <w:tcPr>
            <w:tcW w:w="530" w:type="dxa"/>
          </w:tcPr>
          <w:p>
            <w:pPr>
              <w:pStyle w:val="TableParagraph"/>
              <w:ind w:right="28"/>
              <w:jc w:val="right"/>
              <w:rPr>
                <w:sz w:val="24"/>
              </w:rPr>
            </w:pPr>
            <w:r>
              <w:rPr>
                <w:sz w:val="24"/>
              </w:rPr>
              <w:t>43.</w:t>
            </w:r>
          </w:p>
        </w:tc>
        <w:tc>
          <w:tcPr>
            <w:tcW w:w="8896" w:type="dxa"/>
          </w:tcPr>
          <w:p>
            <w:pPr>
              <w:pStyle w:val="TableParagraph"/>
              <w:spacing w:line="362" w:lineRule="auto"/>
              <w:ind w:left="30" w:right="198"/>
              <w:jc w:val="both"/>
              <w:rPr>
                <w:sz w:val="24"/>
              </w:rPr>
            </w:pPr>
            <w:r>
              <w:rPr>
                <w:sz w:val="24"/>
              </w:rPr>
              <w:t>Kaushik, P., Dowling, K., Baroow, C., Benu, A.: Microencapsulation of omega-3 fatty acids: A review of microencapsulation and characterization methods. Journal of Functional Foods In Press.</w:t>
            </w:r>
          </w:p>
        </w:tc>
      </w:tr>
      <w:tr>
        <w:trPr>
          <w:trHeight w:val="1304" w:hRule="exact"/>
        </w:trPr>
        <w:tc>
          <w:tcPr>
            <w:tcW w:w="530" w:type="dxa"/>
          </w:tcPr>
          <w:p>
            <w:pPr>
              <w:pStyle w:val="TableParagraph"/>
              <w:spacing w:before="78"/>
              <w:ind w:right="28"/>
              <w:jc w:val="right"/>
              <w:rPr>
                <w:sz w:val="24"/>
              </w:rPr>
            </w:pPr>
            <w:r>
              <w:rPr>
                <w:sz w:val="24"/>
              </w:rPr>
              <w:t>44.</w:t>
            </w:r>
          </w:p>
        </w:tc>
        <w:tc>
          <w:tcPr>
            <w:tcW w:w="8896" w:type="dxa"/>
          </w:tcPr>
          <w:p>
            <w:pPr>
              <w:pStyle w:val="TableParagraph"/>
              <w:spacing w:line="362" w:lineRule="auto" w:before="78"/>
              <w:ind w:left="30" w:right="206"/>
              <w:jc w:val="both"/>
              <w:rPr>
                <w:sz w:val="24"/>
              </w:rPr>
            </w:pPr>
            <w:r>
              <w:rPr>
                <w:sz w:val="24"/>
              </w:rPr>
              <w:t>Rascón, M., Bonilla, E., García, H., Salgado, M., González-Arnao, M., Beristain, C.: Tg and aw as criteria for the oxidative stability of spray-dried encapsulated paprika oleoresin. European Food Research and Technology (2015)</w:t>
            </w:r>
          </w:p>
        </w:tc>
      </w:tr>
      <w:tr>
        <w:trPr>
          <w:trHeight w:val="1714" w:hRule="exact"/>
        </w:trPr>
        <w:tc>
          <w:tcPr>
            <w:tcW w:w="530" w:type="dxa"/>
          </w:tcPr>
          <w:p>
            <w:pPr>
              <w:pStyle w:val="TableParagraph"/>
              <w:ind w:right="28"/>
              <w:jc w:val="right"/>
              <w:rPr>
                <w:sz w:val="24"/>
              </w:rPr>
            </w:pPr>
            <w:r>
              <w:rPr>
                <w:sz w:val="24"/>
              </w:rPr>
              <w:t>45.</w:t>
            </w:r>
          </w:p>
        </w:tc>
        <w:tc>
          <w:tcPr>
            <w:tcW w:w="8896" w:type="dxa"/>
          </w:tcPr>
          <w:p>
            <w:pPr>
              <w:pStyle w:val="TableParagraph"/>
              <w:spacing w:line="360" w:lineRule="auto"/>
              <w:ind w:left="30" w:right="203"/>
              <w:jc w:val="both"/>
              <w:rPr>
                <w:sz w:val="24"/>
              </w:rPr>
            </w:pPr>
            <w:r>
              <w:rPr>
                <w:sz w:val="24"/>
              </w:rPr>
              <w:t>Carrillo-Navas, H., Rodea-González, D., Cruz-Olivares, J., Barrera-Pichardo, J., Román- Guerrero, A., Pérez-Alonso, C.: Storage stability and physicochemical properties of passion fruit juice microcapsules by spray-drying. Revista Mexicana de Ingeniería Química 10(3), 421-430 (2011)</w:t>
            </w:r>
          </w:p>
        </w:tc>
      </w:tr>
      <w:tr>
        <w:trPr>
          <w:trHeight w:val="1188" w:hRule="exact"/>
        </w:trPr>
        <w:tc>
          <w:tcPr>
            <w:tcW w:w="530" w:type="dxa"/>
          </w:tcPr>
          <w:p>
            <w:pPr>
              <w:pStyle w:val="TableParagraph"/>
              <w:ind w:right="28"/>
              <w:jc w:val="right"/>
              <w:rPr>
                <w:sz w:val="24"/>
              </w:rPr>
            </w:pPr>
            <w:r>
              <w:rPr>
                <w:sz w:val="24"/>
              </w:rPr>
              <w:t>46.</w:t>
            </w:r>
          </w:p>
        </w:tc>
        <w:tc>
          <w:tcPr>
            <w:tcW w:w="8896" w:type="dxa"/>
          </w:tcPr>
          <w:p>
            <w:pPr>
              <w:pStyle w:val="TableParagraph"/>
              <w:spacing w:line="360" w:lineRule="auto"/>
              <w:ind w:left="30" w:right="236"/>
              <w:jc w:val="left"/>
              <w:rPr>
                <w:sz w:val="24"/>
              </w:rPr>
            </w:pPr>
            <w:r>
              <w:rPr>
                <w:sz w:val="24"/>
              </w:rPr>
              <w:t>Silva, E., Fernandes, R. V. D., Borges, S., Botrel, D., Queiroz, F.: Water adsorption </w:t>
            </w:r>
            <w:r>
              <w:rPr>
                <w:spacing w:val="-3"/>
                <w:sz w:val="24"/>
              </w:rPr>
              <w:t>in</w:t>
            </w:r>
            <w:r>
              <w:rPr>
                <w:spacing w:val="54"/>
                <w:sz w:val="24"/>
              </w:rPr>
              <w:t> </w:t>
            </w:r>
            <w:r>
              <w:rPr>
                <w:sz w:val="24"/>
              </w:rPr>
              <w:t>rosemary essential oil microparticles: Kinetics, thermodynamics and storage   conditions.</w:t>
            </w:r>
          </w:p>
          <w:p>
            <w:pPr>
              <w:pStyle w:val="TableParagraph"/>
              <w:spacing w:before="8"/>
              <w:ind w:left="30" w:right="236"/>
              <w:jc w:val="left"/>
              <w:rPr>
                <w:sz w:val="24"/>
              </w:rPr>
            </w:pPr>
            <w:r>
              <w:rPr>
                <w:sz w:val="24"/>
              </w:rPr>
              <w:t>Journal of Food Engineering 140, 39-45 (2014)</w:t>
            </w:r>
          </w:p>
        </w:tc>
      </w:tr>
    </w:tbl>
    <w:p>
      <w:pPr>
        <w:spacing w:after="0"/>
        <w:jc w:val="left"/>
        <w:rPr>
          <w:sz w:val="24"/>
        </w:rPr>
        <w:sectPr>
          <w:pgSz w:w="11900" w:h="16840"/>
          <w:pgMar w:header="0" w:footer="1370" w:top="1480" w:bottom="1460" w:left="1140" w:right="1120"/>
        </w:sect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0"/>
        <w:gridCol w:w="8896"/>
      </w:tblGrid>
      <w:tr>
        <w:trPr>
          <w:trHeight w:val="1186" w:hRule="exact"/>
        </w:trPr>
        <w:tc>
          <w:tcPr>
            <w:tcW w:w="530" w:type="dxa"/>
          </w:tcPr>
          <w:p>
            <w:pPr>
              <w:pStyle w:val="TableParagraph"/>
              <w:spacing w:line="239" w:lineRule="exact" w:before="0"/>
              <w:ind w:right="28"/>
              <w:jc w:val="right"/>
              <w:rPr>
                <w:sz w:val="24"/>
              </w:rPr>
            </w:pPr>
            <w:r>
              <w:rPr>
                <w:sz w:val="24"/>
              </w:rPr>
              <w:t>47.</w:t>
            </w:r>
          </w:p>
        </w:tc>
        <w:tc>
          <w:tcPr>
            <w:tcW w:w="8896" w:type="dxa"/>
          </w:tcPr>
          <w:p>
            <w:pPr>
              <w:pStyle w:val="TableParagraph"/>
              <w:spacing w:line="239" w:lineRule="exact" w:before="0"/>
              <w:ind w:left="30"/>
              <w:jc w:val="left"/>
              <w:rPr>
                <w:sz w:val="24"/>
              </w:rPr>
            </w:pPr>
            <w:r>
              <w:rPr>
                <w:sz w:val="24"/>
              </w:rPr>
              <w:t>Bonilla,  E.,  Azuara,  E.,  Beristain,  C.,  Vernon-Carter,  E.:  Predicting  suitable  storage</w:t>
            </w:r>
          </w:p>
          <w:p>
            <w:pPr>
              <w:pStyle w:val="TableParagraph"/>
              <w:spacing w:line="362" w:lineRule="auto" w:before="137"/>
              <w:ind w:left="30" w:right="236"/>
              <w:jc w:val="left"/>
              <w:rPr>
                <w:sz w:val="24"/>
              </w:rPr>
            </w:pPr>
            <w:r>
              <w:rPr>
                <w:sz w:val="24"/>
              </w:rPr>
              <w:t>conditions for spray-dried microcapsules formed with different biopolymer  matrices. Food Hydrocolloids 24(6-7), 633-640 (2010)</w:t>
            </w:r>
          </w:p>
        </w:tc>
      </w:tr>
      <w:tr>
        <w:trPr>
          <w:trHeight w:val="1303" w:hRule="exact"/>
        </w:trPr>
        <w:tc>
          <w:tcPr>
            <w:tcW w:w="530" w:type="dxa"/>
          </w:tcPr>
          <w:p>
            <w:pPr>
              <w:pStyle w:val="TableParagraph"/>
              <w:spacing w:before="78"/>
              <w:ind w:right="28"/>
              <w:jc w:val="right"/>
              <w:rPr>
                <w:sz w:val="24"/>
              </w:rPr>
            </w:pPr>
            <w:r>
              <w:rPr>
                <w:sz w:val="24"/>
              </w:rPr>
              <w:t>48.</w:t>
            </w:r>
          </w:p>
        </w:tc>
        <w:tc>
          <w:tcPr>
            <w:tcW w:w="8896" w:type="dxa"/>
          </w:tcPr>
          <w:p>
            <w:pPr>
              <w:pStyle w:val="TableParagraph"/>
              <w:spacing w:line="360" w:lineRule="auto" w:before="78"/>
              <w:ind w:left="30" w:right="198"/>
              <w:jc w:val="both"/>
              <w:rPr>
                <w:sz w:val="24"/>
              </w:rPr>
            </w:pPr>
            <w:r>
              <w:rPr>
                <w:sz w:val="24"/>
              </w:rPr>
              <w:t>Estevinho, B., Rocha, F., Santos, L., Alves, A.:  Microencapsulation with chitosan by spray drying for industry applications e A review. Trend in Food Science &amp; Technology 31(2), 138-155 (2013)</w:t>
            </w:r>
          </w:p>
        </w:tc>
      </w:tr>
      <w:tr>
        <w:trPr>
          <w:trHeight w:val="1301" w:hRule="exact"/>
        </w:trPr>
        <w:tc>
          <w:tcPr>
            <w:tcW w:w="530" w:type="dxa"/>
          </w:tcPr>
          <w:p>
            <w:pPr>
              <w:pStyle w:val="TableParagraph"/>
              <w:ind w:right="28"/>
              <w:jc w:val="right"/>
              <w:rPr>
                <w:sz w:val="24"/>
              </w:rPr>
            </w:pPr>
            <w:r>
              <w:rPr>
                <w:sz w:val="24"/>
              </w:rPr>
              <w:t>49.</w:t>
            </w:r>
          </w:p>
        </w:tc>
        <w:tc>
          <w:tcPr>
            <w:tcW w:w="8896" w:type="dxa"/>
          </w:tcPr>
          <w:p>
            <w:pPr>
              <w:pStyle w:val="TableParagraph"/>
              <w:spacing w:line="360" w:lineRule="auto"/>
              <w:ind w:left="30" w:right="198"/>
              <w:jc w:val="both"/>
              <w:rPr>
                <w:sz w:val="24"/>
              </w:rPr>
            </w:pPr>
            <w:r>
              <w:rPr>
                <w:sz w:val="24"/>
              </w:rPr>
              <w:t>Charoen, R., Jangchud, A., Jangchud, K., Harnsilawat, T., McClements, D.: The Physical Characterization and Sorption Isotherm of Rice Bran Oil Powders Stabilized by Food- Grade Biopolymers. Drying Technology: An International Journal 33(4), 479-492 (2015)</w:t>
            </w:r>
          </w:p>
        </w:tc>
      </w:tr>
      <w:tr>
        <w:trPr>
          <w:trHeight w:val="888" w:hRule="exact"/>
        </w:trPr>
        <w:tc>
          <w:tcPr>
            <w:tcW w:w="530" w:type="dxa"/>
          </w:tcPr>
          <w:p>
            <w:pPr>
              <w:pStyle w:val="TableParagraph"/>
              <w:ind w:right="28"/>
              <w:jc w:val="right"/>
              <w:rPr>
                <w:sz w:val="24"/>
              </w:rPr>
            </w:pPr>
            <w:r>
              <w:rPr>
                <w:sz w:val="24"/>
              </w:rPr>
              <w:t>50.</w:t>
            </w:r>
          </w:p>
        </w:tc>
        <w:tc>
          <w:tcPr>
            <w:tcW w:w="8896" w:type="dxa"/>
          </w:tcPr>
          <w:p>
            <w:pPr>
              <w:pStyle w:val="TableParagraph"/>
              <w:spacing w:line="360" w:lineRule="auto"/>
              <w:ind w:left="30" w:right="236"/>
              <w:jc w:val="left"/>
              <w:rPr>
                <w:sz w:val="24"/>
              </w:rPr>
            </w:pPr>
            <w:r>
              <w:rPr>
                <w:sz w:val="24"/>
              </w:rPr>
              <w:t>Roccia, P., Martínez, M., Llabot, J., Ribotta, P.: Influence of spray-drying operating conditions on sunflower oil powder qualities. Powder Technology 254, 307-313 (2014)</w:t>
            </w:r>
          </w:p>
        </w:tc>
      </w:tr>
      <w:tr>
        <w:trPr>
          <w:trHeight w:val="1301" w:hRule="exact"/>
        </w:trPr>
        <w:tc>
          <w:tcPr>
            <w:tcW w:w="530" w:type="dxa"/>
          </w:tcPr>
          <w:p>
            <w:pPr>
              <w:pStyle w:val="TableParagraph"/>
              <w:ind w:right="28"/>
              <w:jc w:val="right"/>
              <w:rPr>
                <w:sz w:val="24"/>
              </w:rPr>
            </w:pPr>
            <w:r>
              <w:rPr>
                <w:sz w:val="24"/>
              </w:rPr>
              <w:t>51.</w:t>
            </w:r>
          </w:p>
        </w:tc>
        <w:tc>
          <w:tcPr>
            <w:tcW w:w="8896" w:type="dxa"/>
          </w:tcPr>
          <w:p>
            <w:pPr>
              <w:pStyle w:val="TableParagraph"/>
              <w:spacing w:line="360" w:lineRule="auto"/>
              <w:ind w:left="30" w:right="210"/>
              <w:jc w:val="both"/>
              <w:rPr>
                <w:sz w:val="24"/>
              </w:rPr>
            </w:pPr>
            <w:r>
              <w:rPr>
                <w:sz w:val="24"/>
              </w:rPr>
              <w:t>Fernandes, R. V. D., Borges, S., Botrel, D., Silva, E., da Costa, J. M. G., Queiroz, F.: Microencapsulation of Rosemary Essential Oil: Characterization of Particles. Drying Technology: An International Journal 31(11), 1245-1254 (2013)</w:t>
            </w:r>
          </w:p>
        </w:tc>
      </w:tr>
      <w:tr>
        <w:trPr>
          <w:trHeight w:val="1304" w:hRule="exact"/>
        </w:trPr>
        <w:tc>
          <w:tcPr>
            <w:tcW w:w="530" w:type="dxa"/>
          </w:tcPr>
          <w:p>
            <w:pPr>
              <w:pStyle w:val="TableParagraph"/>
              <w:ind w:right="28"/>
              <w:jc w:val="right"/>
              <w:rPr>
                <w:sz w:val="24"/>
              </w:rPr>
            </w:pPr>
            <w:r>
              <w:rPr>
                <w:sz w:val="24"/>
              </w:rPr>
              <w:t>52.</w:t>
            </w:r>
          </w:p>
        </w:tc>
        <w:tc>
          <w:tcPr>
            <w:tcW w:w="8896" w:type="dxa"/>
          </w:tcPr>
          <w:p>
            <w:pPr>
              <w:pStyle w:val="TableParagraph"/>
              <w:spacing w:line="362" w:lineRule="auto"/>
              <w:ind w:left="30" w:right="208"/>
              <w:jc w:val="both"/>
              <w:rPr>
                <w:sz w:val="24"/>
              </w:rPr>
            </w:pPr>
            <w:r>
              <w:rPr>
                <w:sz w:val="24"/>
              </w:rPr>
              <w:t>Tonon, R., Grosso, C., Hubinger, M.: Influence of emulsion composition and inlet air temperature on the microencapsulation of flaxseed oil by spray drying. Food Research International 44(1), 282-289 (2011)</w:t>
            </w:r>
          </w:p>
        </w:tc>
      </w:tr>
      <w:tr>
        <w:trPr>
          <w:trHeight w:val="1716" w:hRule="exact"/>
        </w:trPr>
        <w:tc>
          <w:tcPr>
            <w:tcW w:w="530" w:type="dxa"/>
          </w:tcPr>
          <w:p>
            <w:pPr>
              <w:pStyle w:val="TableParagraph"/>
              <w:spacing w:before="78"/>
              <w:ind w:right="28"/>
              <w:jc w:val="right"/>
              <w:rPr>
                <w:sz w:val="24"/>
              </w:rPr>
            </w:pPr>
            <w:r>
              <w:rPr>
                <w:sz w:val="24"/>
              </w:rPr>
              <w:t>53.</w:t>
            </w:r>
          </w:p>
        </w:tc>
        <w:tc>
          <w:tcPr>
            <w:tcW w:w="8896" w:type="dxa"/>
          </w:tcPr>
          <w:p>
            <w:pPr>
              <w:pStyle w:val="TableParagraph"/>
              <w:spacing w:line="360" w:lineRule="auto" w:before="78"/>
              <w:ind w:left="30" w:right="207"/>
              <w:jc w:val="both"/>
              <w:rPr>
                <w:sz w:val="24"/>
              </w:rPr>
            </w:pPr>
            <w:r>
              <w:rPr>
                <w:sz w:val="24"/>
              </w:rPr>
              <w:t>Gordienko, M., Voynovskiy, A., Menshutina, N.: Design of a Kinetic Model for Degradation of Substances During Spray Drying Using Yeast Biosuspension, Oil-in- Water Emulsion, and Alumosilicate Suspension. Drying Technology: An International Journal 33(1), 24-36 (215)</w:t>
            </w:r>
          </w:p>
        </w:tc>
      </w:tr>
      <w:tr>
        <w:trPr>
          <w:trHeight w:val="1301" w:hRule="exact"/>
        </w:trPr>
        <w:tc>
          <w:tcPr>
            <w:tcW w:w="530" w:type="dxa"/>
          </w:tcPr>
          <w:p>
            <w:pPr>
              <w:pStyle w:val="TableParagraph"/>
              <w:ind w:right="28"/>
              <w:jc w:val="right"/>
              <w:rPr>
                <w:sz w:val="24"/>
              </w:rPr>
            </w:pPr>
            <w:r>
              <w:rPr>
                <w:sz w:val="24"/>
              </w:rPr>
              <w:t>54.</w:t>
            </w:r>
          </w:p>
        </w:tc>
        <w:tc>
          <w:tcPr>
            <w:tcW w:w="8896" w:type="dxa"/>
          </w:tcPr>
          <w:p>
            <w:pPr>
              <w:pStyle w:val="TableParagraph"/>
              <w:spacing w:line="360" w:lineRule="auto"/>
              <w:ind w:left="30" w:right="201"/>
              <w:jc w:val="both"/>
              <w:rPr>
                <w:sz w:val="24"/>
              </w:rPr>
            </w:pPr>
            <w:r>
              <w:rPr>
                <w:sz w:val="24"/>
              </w:rPr>
              <w:t>Al-Muhtaseb, A., McMinn, W. A., Magee, T. R.: Water sorption isotherms of starch powders Part 1: mathematical description of experimental data. Journal of Food Engineering 61(3), 297-307 (2004)</w:t>
            </w:r>
          </w:p>
        </w:tc>
      </w:tr>
      <w:tr>
        <w:trPr>
          <w:trHeight w:val="1303" w:hRule="exact"/>
        </w:trPr>
        <w:tc>
          <w:tcPr>
            <w:tcW w:w="530" w:type="dxa"/>
          </w:tcPr>
          <w:p>
            <w:pPr>
              <w:pStyle w:val="TableParagraph"/>
              <w:ind w:right="28"/>
              <w:jc w:val="right"/>
              <w:rPr>
                <w:sz w:val="24"/>
              </w:rPr>
            </w:pPr>
            <w:r>
              <w:rPr>
                <w:sz w:val="24"/>
              </w:rPr>
              <w:t>55.</w:t>
            </w:r>
          </w:p>
        </w:tc>
        <w:tc>
          <w:tcPr>
            <w:tcW w:w="8896" w:type="dxa"/>
          </w:tcPr>
          <w:p>
            <w:pPr>
              <w:pStyle w:val="TableParagraph"/>
              <w:spacing w:line="360" w:lineRule="auto"/>
              <w:ind w:left="30" w:right="208"/>
              <w:jc w:val="both"/>
              <w:rPr>
                <w:sz w:val="24"/>
              </w:rPr>
            </w:pPr>
            <w:r>
              <w:rPr>
                <w:sz w:val="24"/>
              </w:rPr>
              <w:t>Al-Muhtaseb, A., Hararah, M., Megahey, E., McMinn, W. A., Magee, T. R.: Moisture adsorption isotherms of microwave-baked Madeira cake. LWT - Food Science and Technology 43(7), 1042-1049 (2010)</w:t>
            </w:r>
          </w:p>
        </w:tc>
      </w:tr>
      <w:tr>
        <w:trPr>
          <w:trHeight w:val="1303" w:hRule="exact"/>
        </w:trPr>
        <w:tc>
          <w:tcPr>
            <w:tcW w:w="530" w:type="dxa"/>
          </w:tcPr>
          <w:p>
            <w:pPr>
              <w:pStyle w:val="TableParagraph"/>
              <w:spacing w:before="78"/>
              <w:ind w:right="28"/>
              <w:jc w:val="right"/>
              <w:rPr>
                <w:sz w:val="24"/>
              </w:rPr>
            </w:pPr>
            <w:r>
              <w:rPr>
                <w:sz w:val="24"/>
              </w:rPr>
              <w:t>56.</w:t>
            </w:r>
          </w:p>
        </w:tc>
        <w:tc>
          <w:tcPr>
            <w:tcW w:w="8896" w:type="dxa"/>
          </w:tcPr>
          <w:p>
            <w:pPr>
              <w:pStyle w:val="TableParagraph"/>
              <w:spacing w:line="360" w:lineRule="auto" w:before="78"/>
              <w:ind w:left="30" w:right="208"/>
              <w:jc w:val="both"/>
              <w:rPr>
                <w:sz w:val="24"/>
              </w:rPr>
            </w:pPr>
            <w:r>
              <w:rPr>
                <w:sz w:val="24"/>
              </w:rPr>
              <w:t>García, L., Cova, A., Sandoval, A., Müller, A., Carrasquel, L.: Glass transition temperatures of cassava starch–whey protein concentrate systems at low and intermediate water content. Carbohydrate Polymers 87(2), 1375-1382 (2012)</w:t>
            </w:r>
          </w:p>
        </w:tc>
      </w:tr>
      <w:tr>
        <w:trPr>
          <w:trHeight w:val="770" w:hRule="exact"/>
        </w:trPr>
        <w:tc>
          <w:tcPr>
            <w:tcW w:w="530" w:type="dxa"/>
          </w:tcPr>
          <w:p>
            <w:pPr>
              <w:pStyle w:val="TableParagraph"/>
              <w:ind w:right="28"/>
              <w:jc w:val="right"/>
              <w:rPr>
                <w:sz w:val="24"/>
              </w:rPr>
            </w:pPr>
            <w:r>
              <w:rPr>
                <w:sz w:val="24"/>
              </w:rPr>
              <w:t>57.</w:t>
            </w:r>
          </w:p>
        </w:tc>
        <w:tc>
          <w:tcPr>
            <w:tcW w:w="8896" w:type="dxa"/>
          </w:tcPr>
          <w:p>
            <w:pPr>
              <w:pStyle w:val="TableParagraph"/>
              <w:ind w:left="30" w:right="236"/>
              <w:jc w:val="left"/>
              <w:rPr>
                <w:sz w:val="24"/>
              </w:rPr>
            </w:pPr>
            <w:r>
              <w:rPr>
                <w:sz w:val="24"/>
              </w:rPr>
              <w:t>Velázquez-Gutiiérrez,  S.,  Figueira,  A.,  Rodríguez-Huezo,  M.,  Román-Guerrero,    A.,</w:t>
            </w:r>
          </w:p>
          <w:p>
            <w:pPr>
              <w:pStyle w:val="TableParagraph"/>
              <w:spacing w:before="137"/>
              <w:ind w:left="30"/>
              <w:jc w:val="left"/>
              <w:rPr>
                <w:sz w:val="24"/>
              </w:rPr>
            </w:pPr>
            <w:r>
              <w:rPr>
                <w:sz w:val="24"/>
              </w:rPr>
              <w:t>Carrillo-Navas, H., Pérez-Alonso, C.: Sorption isotherms, thermodynamic properties  and</w:t>
            </w:r>
          </w:p>
        </w:tc>
      </w:tr>
    </w:tbl>
    <w:p>
      <w:pPr>
        <w:spacing w:after="0"/>
        <w:jc w:val="left"/>
        <w:rPr>
          <w:sz w:val="24"/>
        </w:rPr>
        <w:sectPr>
          <w:pgSz w:w="11900" w:h="16840"/>
          <w:pgMar w:header="0" w:footer="1026" w:top="1480" w:bottom="1160" w:left="1140" w:right="1120"/>
        </w:sect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0"/>
        <w:gridCol w:w="8889"/>
      </w:tblGrid>
      <w:tr>
        <w:trPr>
          <w:trHeight w:val="770" w:hRule="exact"/>
        </w:trPr>
        <w:tc>
          <w:tcPr>
            <w:tcW w:w="530" w:type="dxa"/>
          </w:tcPr>
          <w:p>
            <w:pPr/>
          </w:p>
        </w:tc>
        <w:tc>
          <w:tcPr>
            <w:tcW w:w="8889" w:type="dxa"/>
          </w:tcPr>
          <w:p>
            <w:pPr>
              <w:pStyle w:val="TableParagraph"/>
              <w:spacing w:line="239" w:lineRule="exact" w:before="0"/>
              <w:ind w:left="30"/>
              <w:jc w:val="left"/>
              <w:rPr>
                <w:sz w:val="24"/>
              </w:rPr>
            </w:pPr>
            <w:r>
              <w:rPr>
                <w:sz w:val="24"/>
              </w:rPr>
              <w:t>glass transition temperature of mucilage extracted from chia seeds (Salvia hispanica   L.).</w:t>
            </w:r>
          </w:p>
          <w:p>
            <w:pPr>
              <w:pStyle w:val="TableParagraph"/>
              <w:spacing w:before="137"/>
              <w:ind w:left="30"/>
              <w:jc w:val="left"/>
              <w:rPr>
                <w:sz w:val="24"/>
              </w:rPr>
            </w:pPr>
            <w:r>
              <w:rPr>
                <w:sz w:val="24"/>
              </w:rPr>
              <w:t>Carbohydrate Polymers 121, 411-419 (2015)</w:t>
            </w:r>
          </w:p>
        </w:tc>
      </w:tr>
      <w:tr>
        <w:trPr>
          <w:trHeight w:val="1304" w:hRule="exact"/>
        </w:trPr>
        <w:tc>
          <w:tcPr>
            <w:tcW w:w="530" w:type="dxa"/>
          </w:tcPr>
          <w:p>
            <w:pPr>
              <w:pStyle w:val="TableParagraph"/>
              <w:ind w:right="28"/>
              <w:jc w:val="right"/>
              <w:rPr>
                <w:sz w:val="24"/>
              </w:rPr>
            </w:pPr>
            <w:r>
              <w:rPr>
                <w:sz w:val="24"/>
              </w:rPr>
              <w:t>58.</w:t>
            </w:r>
          </w:p>
        </w:tc>
        <w:tc>
          <w:tcPr>
            <w:tcW w:w="8889" w:type="dxa"/>
          </w:tcPr>
          <w:p>
            <w:pPr>
              <w:pStyle w:val="TableParagraph"/>
              <w:spacing w:line="362" w:lineRule="auto"/>
              <w:ind w:left="30" w:right="198"/>
              <w:jc w:val="both"/>
              <w:rPr>
                <w:sz w:val="24"/>
              </w:rPr>
            </w:pPr>
            <w:r>
              <w:rPr>
                <w:sz w:val="24"/>
              </w:rPr>
              <w:t>Beristain, C., Azuara, E., Vernon-Carter, E.: Effect of Water Activity on the Stability to Oxidation of Spray-Dried Encapsulated Orange Peel Oil Using Mesquite Gum (Prosopis Juliflora) as Wall Material. Journal of Food Science 67(1), 206-211 (2002)</w:t>
            </w:r>
          </w:p>
        </w:tc>
      </w:tr>
      <w:tr>
        <w:trPr>
          <w:trHeight w:val="888" w:hRule="exact"/>
        </w:trPr>
        <w:tc>
          <w:tcPr>
            <w:tcW w:w="530" w:type="dxa"/>
          </w:tcPr>
          <w:p>
            <w:pPr>
              <w:pStyle w:val="TableParagraph"/>
              <w:spacing w:before="78"/>
              <w:ind w:right="28"/>
              <w:jc w:val="right"/>
              <w:rPr>
                <w:sz w:val="24"/>
              </w:rPr>
            </w:pPr>
            <w:r>
              <w:rPr>
                <w:sz w:val="24"/>
              </w:rPr>
              <w:t>59.</w:t>
            </w:r>
          </w:p>
        </w:tc>
        <w:tc>
          <w:tcPr>
            <w:tcW w:w="8889" w:type="dxa"/>
          </w:tcPr>
          <w:p>
            <w:pPr>
              <w:pStyle w:val="TableParagraph"/>
              <w:spacing w:line="362" w:lineRule="auto" w:before="78"/>
              <w:ind w:left="30"/>
              <w:jc w:val="left"/>
              <w:rPr>
                <w:sz w:val="24"/>
              </w:rPr>
            </w:pPr>
            <w:r>
              <w:rPr>
                <w:sz w:val="24"/>
              </w:rPr>
              <w:t>Monkos, K.: Determination of the glass-transition temperature of proteins from a viscometric approach. International Journal of Biological Macromolecules 74, 1-4 (2015)</w:t>
            </w:r>
          </w:p>
        </w:tc>
      </w:tr>
      <w:tr>
        <w:trPr>
          <w:trHeight w:val="1186" w:hRule="exact"/>
        </w:trPr>
        <w:tc>
          <w:tcPr>
            <w:tcW w:w="530" w:type="dxa"/>
          </w:tcPr>
          <w:p>
            <w:pPr>
              <w:pStyle w:val="TableParagraph"/>
              <w:spacing w:before="78"/>
              <w:ind w:right="28"/>
              <w:jc w:val="right"/>
              <w:rPr>
                <w:sz w:val="24"/>
              </w:rPr>
            </w:pPr>
            <w:r>
              <w:rPr>
                <w:sz w:val="24"/>
              </w:rPr>
              <w:t>60.</w:t>
            </w:r>
          </w:p>
        </w:tc>
        <w:tc>
          <w:tcPr>
            <w:tcW w:w="8889" w:type="dxa"/>
          </w:tcPr>
          <w:p>
            <w:pPr>
              <w:pStyle w:val="TableParagraph"/>
              <w:spacing w:before="78"/>
              <w:ind w:left="30"/>
              <w:jc w:val="left"/>
              <w:rPr>
                <w:sz w:val="24"/>
              </w:rPr>
            </w:pPr>
            <w:r>
              <w:rPr>
                <w:sz w:val="24"/>
              </w:rPr>
              <w:t>Tonon, R., Baroni, A., Brabet, C., Giber, O., Pallet, D., Hubinger, M.: Water sorption and</w:t>
            </w:r>
          </w:p>
          <w:p>
            <w:pPr>
              <w:pStyle w:val="TableParagraph"/>
              <w:spacing w:line="410" w:lineRule="atLeast" w:before="7"/>
              <w:ind w:left="30"/>
              <w:jc w:val="left"/>
              <w:rPr>
                <w:sz w:val="24"/>
              </w:rPr>
            </w:pPr>
            <w:r>
              <w:rPr>
                <w:sz w:val="24"/>
              </w:rPr>
              <w:t>glass transition temperature of spray dried açai (Euterpe oleracea Mart.) juice. Journal of Food Engineering 94(3-4), 215-221 (2009)</w:t>
            </w:r>
          </w:p>
        </w:tc>
      </w:tr>
    </w:tbl>
    <w:p>
      <w:pPr>
        <w:spacing w:after="0" w:line="410" w:lineRule="atLeast"/>
        <w:jc w:val="left"/>
        <w:rPr>
          <w:sz w:val="24"/>
        </w:rPr>
        <w:sectPr>
          <w:footerReference w:type="even" r:id="rId54"/>
          <w:footerReference w:type="default" r:id="rId55"/>
          <w:pgSz w:w="11900" w:h="16840"/>
          <w:pgMar w:footer="1277" w:header="0" w:top="1480" w:bottom="1460" w:left="1140" w:right="11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0"/>
        </w:rPr>
      </w:pPr>
    </w:p>
    <w:p>
      <w:pPr>
        <w:spacing w:line="360" w:lineRule="auto" w:before="29"/>
        <w:ind w:left="3164" w:right="2802" w:firstLine="192"/>
        <w:jc w:val="left"/>
        <w:rPr>
          <w:b/>
          <w:sz w:val="56"/>
        </w:rPr>
      </w:pPr>
      <w:r>
        <w:rPr>
          <w:b/>
          <w:sz w:val="56"/>
        </w:rPr>
        <w:t>PARTE 5: “ANEXOS”</w:t>
      </w:r>
    </w:p>
    <w:p>
      <w:pPr>
        <w:spacing w:after="0" w:line="360" w:lineRule="auto"/>
        <w:jc w:val="left"/>
        <w:rPr>
          <w:sz w:val="56"/>
        </w:rPr>
        <w:sectPr>
          <w:pgSz w:w="11900" w:h="16840"/>
          <w:pgMar w:header="0" w:footer="966" w:top="1580" w:bottom="1160" w:left="1340" w:right="1680"/>
        </w:sectPr>
      </w:pPr>
    </w:p>
    <w:p>
      <w:pPr>
        <w:spacing w:before="54"/>
        <w:ind w:left="100" w:right="0" w:firstLine="0"/>
        <w:jc w:val="both"/>
        <w:rPr>
          <w:b/>
          <w:sz w:val="24"/>
        </w:rPr>
      </w:pPr>
      <w:r>
        <w:rPr>
          <w:b/>
          <w:sz w:val="24"/>
        </w:rPr>
        <w:t>ANEXO 1. PROPIEDADES DE ADSORCIÓN</w:t>
      </w:r>
    </w:p>
    <w:p>
      <w:pPr>
        <w:pStyle w:val="BodyText"/>
        <w:rPr>
          <w:b/>
        </w:rPr>
      </w:pPr>
    </w:p>
    <w:p>
      <w:pPr>
        <w:pStyle w:val="BodyText"/>
        <w:spacing w:before="9"/>
        <w:rPr>
          <w:b/>
          <w:sz w:val="23"/>
        </w:rPr>
      </w:pPr>
    </w:p>
    <w:p>
      <w:pPr>
        <w:pStyle w:val="BodyText"/>
        <w:spacing w:line="360" w:lineRule="auto"/>
        <w:ind w:left="100" w:right="114"/>
        <w:jc w:val="both"/>
      </w:pPr>
      <w:r>
        <w:rPr/>
        <w:t>En </w:t>
      </w:r>
      <w:r>
        <w:rPr>
          <w:spacing w:val="-3"/>
        </w:rPr>
        <w:t>la </w:t>
      </w:r>
      <w:r>
        <w:rPr/>
        <w:t>Tabla </w:t>
      </w:r>
      <w:r>
        <w:rPr>
          <w:spacing w:val="-3"/>
        </w:rPr>
        <w:t>A1 </w:t>
      </w:r>
      <w:r>
        <w:rPr/>
        <w:t>se exhibe el área superficial de adsorción para cada temperatura. Esta disminuye al aumentar </w:t>
      </w:r>
      <w:r>
        <w:rPr>
          <w:spacing w:val="-3"/>
        </w:rPr>
        <w:t>la </w:t>
      </w:r>
      <w:r>
        <w:rPr/>
        <w:t>temperatura de almacenamiento, </w:t>
      </w:r>
      <w:r>
        <w:rPr>
          <w:spacing w:val="-5"/>
        </w:rPr>
        <w:t>lo </w:t>
      </w:r>
      <w:r>
        <w:rPr/>
        <w:t>cual está en concordancia con los isotermas de adsorción obtenidos para sistema microencapsulado estudiado, </w:t>
      </w:r>
      <w:r>
        <w:rPr>
          <w:spacing w:val="-5"/>
        </w:rPr>
        <w:t>ya </w:t>
      </w:r>
      <w:r>
        <w:rPr/>
        <w:t>que al aumentar </w:t>
      </w:r>
      <w:r>
        <w:rPr>
          <w:spacing w:val="-5"/>
        </w:rPr>
        <w:t>la </w:t>
      </w:r>
      <w:r>
        <w:rPr/>
        <w:t>temperatura, </w:t>
      </w:r>
      <w:r>
        <w:rPr>
          <w:spacing w:val="-5"/>
        </w:rPr>
        <w:t>la </w:t>
      </w:r>
      <w:r>
        <w:rPr/>
        <w:t>adsorción de humedad </w:t>
      </w:r>
      <w:r>
        <w:rPr>
          <w:spacing w:val="-3"/>
        </w:rPr>
        <w:t>fue </w:t>
      </w:r>
      <w:r>
        <w:rPr/>
        <w:t>menor. Al igual que en los isotermas, es debido a que a mayores temperatura existen menos sitios activos </w:t>
      </w:r>
      <w:r>
        <w:rPr>
          <w:spacing w:val="2"/>
        </w:rPr>
        <w:t>para </w:t>
      </w:r>
      <w:r>
        <w:rPr/>
        <w:t>que se </w:t>
      </w:r>
      <w:r>
        <w:rPr>
          <w:spacing w:val="-3"/>
        </w:rPr>
        <w:t>lleve </w:t>
      </w:r>
      <w:r>
        <w:rPr/>
        <w:t>a cabo  </w:t>
      </w:r>
      <w:r>
        <w:rPr>
          <w:spacing w:val="-3"/>
        </w:rPr>
        <w:t>la </w:t>
      </w:r>
      <w:r>
        <w:rPr/>
        <w:t>adsorción debido a cambios estructurales en </w:t>
      </w:r>
      <w:r>
        <w:rPr>
          <w:spacing w:val="-3"/>
        </w:rPr>
        <w:t>la </w:t>
      </w:r>
      <w:r>
        <w:rPr/>
        <w:t>superficie de </w:t>
      </w:r>
      <w:r>
        <w:rPr>
          <w:spacing w:val="-3"/>
        </w:rPr>
        <w:t>la</w:t>
      </w:r>
      <w:r>
        <w:rPr>
          <w:spacing w:val="-13"/>
        </w:rPr>
        <w:t> </w:t>
      </w:r>
      <w:r>
        <w:rPr/>
        <w:t>microcápsula.</w:t>
      </w:r>
    </w:p>
    <w:p>
      <w:pPr>
        <w:pStyle w:val="BodyText"/>
      </w:pPr>
    </w:p>
    <w:p>
      <w:pPr>
        <w:pStyle w:val="BodyText"/>
        <w:spacing w:before="140"/>
        <w:ind w:left="1642" w:right="75"/>
      </w:pPr>
      <w:r>
        <w:rPr>
          <w:b/>
        </w:rPr>
        <w:t>Tabla A1</w:t>
      </w:r>
      <w:r>
        <w:rPr>
          <w:b/>
          <w:i/>
        </w:rPr>
        <w:t>. </w:t>
      </w:r>
      <w:r>
        <w:rPr/>
        <w:t>Área superficial de adsorción de las microcápsulas</w:t>
      </w:r>
    </w:p>
    <w:p>
      <w:pPr>
        <w:pStyle w:val="BodyText"/>
        <w:spacing w:before="6" w:after="1"/>
        <w:rPr>
          <w:sz w:val="12"/>
        </w:rPr>
      </w:pPr>
    </w:p>
    <w:tbl>
      <w:tblPr>
        <w:tblW w:w="0" w:type="auto"/>
        <w:jc w:val="left"/>
        <w:tblInd w:w="19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345"/>
        <w:gridCol w:w="2885"/>
      </w:tblGrid>
      <w:tr>
        <w:trPr>
          <w:trHeight w:val="365" w:hRule="exact"/>
        </w:trPr>
        <w:tc>
          <w:tcPr>
            <w:tcW w:w="2345" w:type="dxa"/>
            <w:tcBorders>
              <w:left w:val="nil"/>
              <w:right w:val="nil"/>
            </w:tcBorders>
          </w:tcPr>
          <w:p>
            <w:pPr>
              <w:pStyle w:val="TableParagraph"/>
              <w:spacing w:before="30"/>
              <w:ind w:left="944" w:right="751"/>
              <w:rPr>
                <w:sz w:val="24"/>
              </w:rPr>
            </w:pPr>
            <w:r>
              <w:rPr>
                <w:i/>
                <w:sz w:val="24"/>
              </w:rPr>
              <w:t>T </w:t>
            </w:r>
            <w:r>
              <w:rPr>
                <w:sz w:val="24"/>
              </w:rPr>
              <w:t>(°C)</w:t>
            </w:r>
          </w:p>
        </w:tc>
        <w:tc>
          <w:tcPr>
            <w:tcW w:w="2885" w:type="dxa"/>
            <w:tcBorders>
              <w:left w:val="nil"/>
              <w:right w:val="nil"/>
            </w:tcBorders>
          </w:tcPr>
          <w:p>
            <w:pPr>
              <w:pStyle w:val="TableParagraph"/>
              <w:spacing w:before="14"/>
              <w:ind w:left="761" w:right="583"/>
              <w:rPr>
                <w:sz w:val="24"/>
              </w:rPr>
            </w:pPr>
            <w:r>
              <w:rPr>
                <w:i/>
                <w:position w:val="2"/>
                <w:sz w:val="24"/>
              </w:rPr>
              <w:t>S</w:t>
            </w:r>
            <w:r>
              <w:rPr>
                <w:i/>
                <w:sz w:val="16"/>
              </w:rPr>
              <w:t>0 </w:t>
            </w:r>
            <w:r>
              <w:rPr>
                <w:position w:val="2"/>
                <w:sz w:val="24"/>
              </w:rPr>
              <w:t>(m</w:t>
            </w:r>
            <w:r>
              <w:rPr>
                <w:position w:val="11"/>
                <w:sz w:val="16"/>
              </w:rPr>
              <w:t>2</w:t>
            </w:r>
            <w:r>
              <w:rPr>
                <w:position w:val="2"/>
                <w:sz w:val="24"/>
              </w:rPr>
              <w:t>/g sólido)</w:t>
            </w:r>
          </w:p>
        </w:tc>
      </w:tr>
      <w:tr>
        <w:trPr>
          <w:trHeight w:val="359" w:hRule="exact"/>
        </w:trPr>
        <w:tc>
          <w:tcPr>
            <w:tcW w:w="2345" w:type="dxa"/>
            <w:tcBorders>
              <w:left w:val="nil"/>
              <w:bottom w:val="nil"/>
              <w:right w:val="nil"/>
            </w:tcBorders>
          </w:tcPr>
          <w:p>
            <w:pPr>
              <w:pStyle w:val="TableParagraph"/>
              <w:spacing w:before="30"/>
              <w:ind w:left="941" w:right="751"/>
              <w:rPr>
                <w:sz w:val="24"/>
              </w:rPr>
            </w:pPr>
            <w:r>
              <w:rPr>
                <w:sz w:val="24"/>
              </w:rPr>
              <w:t>25</w:t>
            </w:r>
          </w:p>
        </w:tc>
        <w:tc>
          <w:tcPr>
            <w:tcW w:w="2885" w:type="dxa"/>
            <w:tcBorders>
              <w:left w:val="nil"/>
              <w:bottom w:val="nil"/>
              <w:right w:val="nil"/>
            </w:tcBorders>
          </w:tcPr>
          <w:p>
            <w:pPr>
              <w:pStyle w:val="TableParagraph"/>
              <w:spacing w:before="30"/>
              <w:ind w:left="761" w:right="576"/>
              <w:rPr>
                <w:sz w:val="24"/>
              </w:rPr>
            </w:pPr>
            <w:r>
              <w:rPr>
                <w:sz w:val="24"/>
              </w:rPr>
              <w:t>223.80</w:t>
            </w:r>
          </w:p>
        </w:tc>
      </w:tr>
      <w:tr>
        <w:trPr>
          <w:trHeight w:val="336" w:hRule="exact"/>
        </w:trPr>
        <w:tc>
          <w:tcPr>
            <w:tcW w:w="2345" w:type="dxa"/>
            <w:tcBorders>
              <w:top w:val="nil"/>
              <w:left w:val="nil"/>
              <w:bottom w:val="nil"/>
              <w:right w:val="nil"/>
            </w:tcBorders>
          </w:tcPr>
          <w:p>
            <w:pPr>
              <w:pStyle w:val="TableParagraph"/>
              <w:spacing w:before="17"/>
              <w:ind w:left="941" w:right="751"/>
              <w:rPr>
                <w:sz w:val="24"/>
              </w:rPr>
            </w:pPr>
            <w:r>
              <w:rPr>
                <w:sz w:val="24"/>
              </w:rPr>
              <w:t>35</w:t>
            </w:r>
          </w:p>
        </w:tc>
        <w:tc>
          <w:tcPr>
            <w:tcW w:w="2885" w:type="dxa"/>
            <w:tcBorders>
              <w:top w:val="nil"/>
              <w:left w:val="nil"/>
              <w:bottom w:val="nil"/>
              <w:right w:val="nil"/>
            </w:tcBorders>
          </w:tcPr>
          <w:p>
            <w:pPr>
              <w:pStyle w:val="TableParagraph"/>
              <w:spacing w:before="17"/>
              <w:ind w:left="761" w:right="576"/>
              <w:rPr>
                <w:sz w:val="24"/>
              </w:rPr>
            </w:pPr>
            <w:r>
              <w:rPr>
                <w:sz w:val="24"/>
              </w:rPr>
              <w:t>197.80</w:t>
            </w:r>
          </w:p>
        </w:tc>
      </w:tr>
      <w:tr>
        <w:trPr>
          <w:trHeight w:val="347" w:hRule="exact"/>
        </w:trPr>
        <w:tc>
          <w:tcPr>
            <w:tcW w:w="2345" w:type="dxa"/>
            <w:tcBorders>
              <w:top w:val="nil"/>
              <w:left w:val="nil"/>
              <w:right w:val="nil"/>
            </w:tcBorders>
          </w:tcPr>
          <w:p>
            <w:pPr>
              <w:pStyle w:val="TableParagraph"/>
              <w:spacing w:before="17"/>
              <w:ind w:left="941" w:right="751"/>
              <w:rPr>
                <w:sz w:val="24"/>
              </w:rPr>
            </w:pPr>
            <w:r>
              <w:rPr>
                <w:sz w:val="24"/>
              </w:rPr>
              <w:t>40</w:t>
            </w:r>
          </w:p>
        </w:tc>
        <w:tc>
          <w:tcPr>
            <w:tcW w:w="2885" w:type="dxa"/>
            <w:tcBorders>
              <w:top w:val="nil"/>
              <w:left w:val="nil"/>
              <w:right w:val="nil"/>
            </w:tcBorders>
          </w:tcPr>
          <w:p>
            <w:pPr>
              <w:pStyle w:val="TableParagraph"/>
              <w:spacing w:before="17"/>
              <w:ind w:left="761" w:right="576"/>
              <w:rPr>
                <w:sz w:val="24"/>
              </w:rPr>
            </w:pPr>
            <w:r>
              <w:rPr>
                <w:sz w:val="24"/>
              </w:rPr>
              <w:t>183.53</w:t>
            </w:r>
          </w:p>
        </w:tc>
      </w:tr>
    </w:tbl>
    <w:p>
      <w:pPr>
        <w:pStyle w:val="BodyText"/>
        <w:spacing w:before="2"/>
        <w:rPr>
          <w:sz w:val="29"/>
        </w:rPr>
      </w:pPr>
    </w:p>
    <w:p>
      <w:pPr>
        <w:pStyle w:val="BodyText"/>
        <w:spacing w:line="360" w:lineRule="auto" w:before="69"/>
        <w:ind w:left="100" w:right="115"/>
        <w:jc w:val="both"/>
      </w:pPr>
      <w:r>
        <w:rPr/>
        <w:drawing>
          <wp:anchor distT="0" distB="0" distL="0" distR="0" allowOverlap="1" layoutInCell="1" locked="0" behindDoc="0" simplePos="0" relativeHeight="2560">
            <wp:simplePos x="0" y="0"/>
            <wp:positionH relativeFrom="page">
              <wp:posOffset>2535935</wp:posOffset>
            </wp:positionH>
            <wp:positionV relativeFrom="paragraph">
              <wp:posOffset>2196504</wp:posOffset>
            </wp:positionV>
            <wp:extent cx="2948626" cy="2446019"/>
            <wp:effectExtent l="0" t="0" r="0" b="0"/>
            <wp:wrapTopAndBottom/>
            <wp:docPr id="5" name="image23.jpeg" descr=""/>
            <wp:cNvGraphicFramePr>
              <a:graphicFrameLocks noChangeAspect="1"/>
            </wp:cNvGraphicFramePr>
            <a:graphic>
              <a:graphicData uri="http://schemas.openxmlformats.org/drawingml/2006/picture">
                <pic:pic>
                  <pic:nvPicPr>
                    <pic:cNvPr id="6" name="image23.jpeg"/>
                    <pic:cNvPicPr/>
                  </pic:nvPicPr>
                  <pic:blipFill>
                    <a:blip r:embed="rId58" cstate="print"/>
                    <a:stretch>
                      <a:fillRect/>
                    </a:stretch>
                  </pic:blipFill>
                  <pic:spPr>
                    <a:xfrm>
                      <a:off x="0" y="0"/>
                      <a:ext cx="2948626" cy="2446019"/>
                    </a:xfrm>
                    <a:prstGeom prst="rect">
                      <a:avLst/>
                    </a:prstGeom>
                  </pic:spPr>
                </pic:pic>
              </a:graphicData>
            </a:graphic>
          </wp:anchor>
        </w:drawing>
      </w:r>
      <w:r>
        <w:rPr/>
        <w:t>En </w:t>
      </w:r>
      <w:r>
        <w:rPr>
          <w:spacing w:val="-5"/>
        </w:rPr>
        <w:t>la </w:t>
      </w:r>
      <w:r>
        <w:rPr/>
        <w:t>Figura </w:t>
      </w:r>
      <w:r>
        <w:rPr>
          <w:spacing w:val="-3"/>
        </w:rPr>
        <w:t>A1 </w:t>
      </w:r>
      <w:r>
        <w:rPr/>
        <w:t>se presenta el área superficial de adsorción del aceite de chía microencapsulado </w:t>
      </w:r>
      <w:r>
        <w:rPr>
          <w:spacing w:val="-3"/>
        </w:rPr>
        <w:t>como </w:t>
      </w:r>
      <w:r>
        <w:rPr/>
        <w:t>función del contenido de humedad. Aquí puede verse que existe un aumento en el radio al incrementarse el contenido de humedad. Lo anterior se debe a que </w:t>
      </w:r>
      <w:r>
        <w:rPr>
          <w:spacing w:val="4"/>
        </w:rPr>
        <w:t>la </w:t>
      </w:r>
      <w:r>
        <w:rPr/>
        <w:t>matriz polimérica sufre un hinchamiento debido a </w:t>
      </w:r>
      <w:r>
        <w:rPr>
          <w:spacing w:val="-3"/>
        </w:rPr>
        <w:t>la </w:t>
      </w:r>
      <w:r>
        <w:rPr/>
        <w:t>adsorción de agua, </w:t>
      </w:r>
      <w:r>
        <w:rPr>
          <w:spacing w:val="-5"/>
        </w:rPr>
        <w:t>lo </w:t>
      </w:r>
      <w:r>
        <w:rPr/>
        <w:t>que provoca que el radio aumente. Así </w:t>
      </w:r>
      <w:r>
        <w:rPr>
          <w:spacing w:val="-3"/>
        </w:rPr>
        <w:t>mismo </w:t>
      </w:r>
      <w:r>
        <w:rPr/>
        <w:t>puede notarse que se presenta un aumento en el radio al incrementarse </w:t>
      </w:r>
      <w:r>
        <w:rPr>
          <w:spacing w:val="-5"/>
        </w:rPr>
        <w:t>la </w:t>
      </w:r>
      <w:r>
        <w:rPr/>
        <w:t>temperatura. Esto es consecuencia de que al aumentar </w:t>
      </w:r>
      <w:r>
        <w:rPr>
          <w:spacing w:val="-5"/>
        </w:rPr>
        <w:t>la </w:t>
      </w:r>
      <w:r>
        <w:rPr/>
        <w:t>temperatura de estudio, </w:t>
      </w:r>
      <w:r>
        <w:rPr>
          <w:spacing w:val="-5"/>
        </w:rPr>
        <w:t>la </w:t>
      </w:r>
      <w:r>
        <w:rPr/>
        <w:t>matriz en general sufre un encogimiento, </w:t>
      </w:r>
      <w:r>
        <w:rPr>
          <w:spacing w:val="-5"/>
        </w:rPr>
        <w:t>lo </w:t>
      </w:r>
      <w:r>
        <w:rPr/>
        <w:t>que provoco que el radio de poro se vea</w:t>
      </w:r>
      <w:r>
        <w:rPr>
          <w:spacing w:val="-5"/>
        </w:rPr>
        <w:t> </w:t>
      </w:r>
      <w:r>
        <w:rPr/>
        <w:t>incrementado.</w:t>
      </w:r>
    </w:p>
    <w:p>
      <w:pPr>
        <w:spacing w:after="0" w:line="360" w:lineRule="auto"/>
        <w:jc w:val="both"/>
        <w:sectPr>
          <w:footerReference w:type="even" r:id="rId56"/>
          <w:footerReference w:type="default" r:id="rId57"/>
          <w:pgSz w:w="11900" w:h="16840"/>
          <w:pgMar w:footer="1277" w:header="0" w:top="1360" w:bottom="1460" w:left="1340" w:right="1320"/>
        </w:sectPr>
      </w:pPr>
    </w:p>
    <w:p>
      <w:pPr>
        <w:spacing w:before="54"/>
        <w:ind w:left="2683" w:right="75" w:firstLine="0"/>
        <w:jc w:val="left"/>
        <w:rPr>
          <w:sz w:val="24"/>
        </w:rPr>
      </w:pPr>
      <w:r>
        <w:rPr>
          <w:b/>
          <w:sz w:val="24"/>
        </w:rPr>
        <w:t>Figura A1</w:t>
      </w:r>
      <w:r>
        <w:rPr>
          <w:b/>
          <w:i/>
          <w:sz w:val="24"/>
        </w:rPr>
        <w:t>. </w:t>
      </w:r>
      <w:r>
        <w:rPr>
          <w:sz w:val="24"/>
        </w:rPr>
        <w:t>Radio de poro de las microcápsulas</w:t>
      </w:r>
    </w:p>
    <w:p>
      <w:pPr>
        <w:spacing w:before="199"/>
        <w:ind w:left="100" w:right="0" w:firstLine="0"/>
        <w:jc w:val="both"/>
        <w:rPr>
          <w:b/>
          <w:sz w:val="24"/>
        </w:rPr>
      </w:pPr>
      <w:r>
        <w:rPr>
          <w:b/>
          <w:sz w:val="24"/>
        </w:rPr>
        <w:t>ANEXO 2. ENTALPÍA DIFERENCIAL</w:t>
      </w:r>
    </w:p>
    <w:p>
      <w:pPr>
        <w:pStyle w:val="BodyText"/>
        <w:rPr>
          <w:b/>
        </w:rPr>
      </w:pPr>
    </w:p>
    <w:p>
      <w:pPr>
        <w:pStyle w:val="BodyText"/>
        <w:spacing w:before="3"/>
        <w:rPr>
          <w:b/>
        </w:rPr>
      </w:pPr>
    </w:p>
    <w:p>
      <w:pPr>
        <w:pStyle w:val="BodyText"/>
        <w:spacing w:line="360" w:lineRule="auto"/>
        <w:ind w:left="100" w:right="113"/>
        <w:jc w:val="both"/>
      </w:pPr>
      <w:r>
        <w:rPr/>
        <w:t>La entalpía diferencial como función del contenido de humedad se dispone en </w:t>
      </w:r>
      <w:r>
        <w:rPr>
          <w:spacing w:val="-3"/>
        </w:rPr>
        <w:t>la </w:t>
      </w:r>
      <w:r>
        <w:rPr/>
        <w:t>Figura A2. La pronunciada pendiente en etapas tempranas de adsorción se debe a </w:t>
      </w:r>
      <w:r>
        <w:rPr>
          <w:spacing w:val="-5"/>
        </w:rPr>
        <w:t>la </w:t>
      </w:r>
      <w:r>
        <w:rPr/>
        <w:t>presencia de sitios polares en </w:t>
      </w:r>
      <w:r>
        <w:rPr>
          <w:spacing w:val="-3"/>
        </w:rPr>
        <w:t>la </w:t>
      </w:r>
      <w:r>
        <w:rPr/>
        <w:t>superficie de </w:t>
      </w:r>
      <w:r>
        <w:rPr>
          <w:spacing w:val="-3"/>
        </w:rPr>
        <w:t>la </w:t>
      </w:r>
      <w:r>
        <w:rPr/>
        <w:t>microcápsula que son cubiertos por moléculas de agua hasta que forman una monocapa (punto máximo); a partir </w:t>
      </w:r>
      <w:r>
        <w:rPr>
          <w:spacing w:val="-3"/>
        </w:rPr>
        <w:t>de aquí, </w:t>
      </w:r>
      <w:r>
        <w:rPr/>
        <w:t>los valores comienzan a disminuir debido a </w:t>
      </w:r>
      <w:r>
        <w:rPr>
          <w:spacing w:val="-5"/>
        </w:rPr>
        <w:t>la </w:t>
      </w:r>
      <w:r>
        <w:rPr/>
        <w:t>subsecuente adsorción de multicapas, las cuales presentan una interacción agua- matriz energéticamente menor comparadas con </w:t>
      </w:r>
      <w:r>
        <w:rPr>
          <w:spacing w:val="-5"/>
        </w:rPr>
        <w:t>la </w:t>
      </w:r>
      <w:r>
        <w:rPr/>
        <w:t>interacción existente entre </w:t>
      </w:r>
      <w:r>
        <w:rPr>
          <w:spacing w:val="-5"/>
        </w:rPr>
        <w:t>la </w:t>
      </w:r>
      <w:r>
        <w:rPr/>
        <w:t>monocapa y  el sólido. El rápido incremento y posterior lenta disminución en </w:t>
      </w:r>
      <w:r>
        <w:rPr>
          <w:spacing w:val="-3"/>
        </w:rPr>
        <w:t>la </w:t>
      </w:r>
      <w:r>
        <w:rPr/>
        <w:t>entalpía  diferencial  se debe a que el agua es adsorbida primeramente en los menores niveles de energía de </w:t>
      </w:r>
      <w:r>
        <w:rPr>
          <w:spacing w:val="-5"/>
        </w:rPr>
        <w:t>la </w:t>
      </w:r>
      <w:r>
        <w:rPr/>
        <w:t>microcápsula, </w:t>
      </w:r>
      <w:r>
        <w:rPr>
          <w:spacing w:val="-5"/>
        </w:rPr>
        <w:t>la </w:t>
      </w:r>
      <w:r>
        <w:rPr/>
        <w:t>cual, al hincharse por </w:t>
      </w:r>
      <w:r>
        <w:rPr>
          <w:spacing w:val="-5"/>
        </w:rPr>
        <w:t>la </w:t>
      </w:r>
      <w:r>
        <w:rPr/>
        <w:t>adsorción de humedad, expone nuevos sitios para que </w:t>
      </w:r>
      <w:r>
        <w:rPr>
          <w:spacing w:val="-3"/>
        </w:rPr>
        <w:t>más </w:t>
      </w:r>
      <w:r>
        <w:rPr/>
        <w:t>moléculas de agua se adsorban. El valor donde se presenta el punto </w:t>
      </w:r>
      <w:r>
        <w:rPr>
          <w:spacing w:val="-4"/>
        </w:rPr>
        <w:t>máximo </w:t>
      </w:r>
      <w:r>
        <w:rPr/>
        <w:t>en </w:t>
      </w:r>
      <w:r>
        <w:rPr>
          <w:spacing w:val="-5"/>
        </w:rPr>
        <w:t>la </w:t>
      </w:r>
      <w:r>
        <w:rPr/>
        <w:t>gráfica de </w:t>
      </w:r>
      <w:r>
        <w:rPr>
          <w:spacing w:val="-5"/>
        </w:rPr>
        <w:t>la </w:t>
      </w:r>
      <w:r>
        <w:rPr/>
        <w:t>entalpía diferencial fue -18.19 kJ/mol, correspondiente a un contenido de </w:t>
      </w:r>
      <w:r>
        <w:rPr>
          <w:position w:val="2"/>
        </w:rPr>
        <w:t>humedad de 6.10 kg H</w:t>
      </w:r>
      <w:r>
        <w:rPr>
          <w:sz w:val="16"/>
        </w:rPr>
        <w:t>2</w:t>
      </w:r>
      <w:r>
        <w:rPr>
          <w:position w:val="2"/>
        </w:rPr>
        <w:t>O/100 kg s.s. En este punto es donde el agua se encuentra adsorbida </w:t>
      </w:r>
      <w:r>
        <w:rPr/>
        <w:t>con </w:t>
      </w:r>
      <w:r>
        <w:rPr>
          <w:spacing w:val="-3"/>
        </w:rPr>
        <w:t>mayor</w:t>
      </w:r>
      <w:r>
        <w:rPr>
          <w:spacing w:val="4"/>
        </w:rPr>
        <w:t> </w:t>
      </w:r>
      <w:r>
        <w:rPr/>
        <w:t>fuerza.</w:t>
      </w:r>
    </w:p>
    <w:p>
      <w:pPr>
        <w:pStyle w:val="BodyText"/>
        <w:rPr>
          <w:sz w:val="20"/>
        </w:rPr>
      </w:pPr>
    </w:p>
    <w:p>
      <w:pPr>
        <w:pStyle w:val="BodyText"/>
        <w:spacing w:before="10"/>
        <w:rPr>
          <w:sz w:val="25"/>
        </w:rPr>
      </w:pPr>
      <w:r>
        <w:rPr/>
        <w:drawing>
          <wp:anchor distT="0" distB="0" distL="0" distR="0" allowOverlap="1" layoutInCell="1" locked="0" behindDoc="0" simplePos="0" relativeHeight="2584">
            <wp:simplePos x="0" y="0"/>
            <wp:positionH relativeFrom="page">
              <wp:posOffset>1716023</wp:posOffset>
            </wp:positionH>
            <wp:positionV relativeFrom="paragraph">
              <wp:posOffset>213877</wp:posOffset>
            </wp:positionV>
            <wp:extent cx="4161690" cy="3378708"/>
            <wp:effectExtent l="0" t="0" r="0" b="0"/>
            <wp:wrapTopAndBottom/>
            <wp:docPr id="7" name="image24.jpeg" descr=""/>
            <wp:cNvGraphicFramePr>
              <a:graphicFrameLocks noChangeAspect="1"/>
            </wp:cNvGraphicFramePr>
            <a:graphic>
              <a:graphicData uri="http://schemas.openxmlformats.org/drawingml/2006/picture">
                <pic:pic>
                  <pic:nvPicPr>
                    <pic:cNvPr id="8" name="image24.jpeg"/>
                    <pic:cNvPicPr/>
                  </pic:nvPicPr>
                  <pic:blipFill>
                    <a:blip r:embed="rId59" cstate="print"/>
                    <a:stretch>
                      <a:fillRect/>
                    </a:stretch>
                  </pic:blipFill>
                  <pic:spPr>
                    <a:xfrm>
                      <a:off x="0" y="0"/>
                      <a:ext cx="4161690" cy="3378708"/>
                    </a:xfrm>
                    <a:prstGeom prst="rect">
                      <a:avLst/>
                    </a:prstGeom>
                  </pic:spPr>
                </pic:pic>
              </a:graphicData>
            </a:graphic>
          </wp:anchor>
        </w:drawing>
      </w:r>
    </w:p>
    <w:p>
      <w:pPr>
        <w:pStyle w:val="BodyText"/>
        <w:spacing w:before="8"/>
        <w:rPr>
          <w:sz w:val="25"/>
        </w:rPr>
      </w:pPr>
    </w:p>
    <w:p>
      <w:pPr>
        <w:spacing w:before="0"/>
        <w:ind w:left="2059" w:right="75" w:firstLine="0"/>
        <w:jc w:val="left"/>
        <w:rPr>
          <w:sz w:val="24"/>
        </w:rPr>
      </w:pPr>
      <w:r>
        <w:rPr>
          <w:b/>
          <w:sz w:val="24"/>
        </w:rPr>
        <w:t>Figura A2. </w:t>
      </w:r>
      <w:r>
        <w:rPr>
          <w:sz w:val="24"/>
        </w:rPr>
        <w:t>Entalpía diferencial de las microcápsulas</w:t>
      </w:r>
    </w:p>
    <w:p>
      <w:pPr>
        <w:spacing w:after="0"/>
        <w:jc w:val="left"/>
        <w:rPr>
          <w:sz w:val="24"/>
        </w:rPr>
        <w:sectPr>
          <w:pgSz w:w="11900" w:h="16840"/>
          <w:pgMar w:header="0" w:footer="1026" w:top="1360" w:bottom="1220" w:left="1340" w:right="1320"/>
        </w:sectPr>
      </w:pPr>
    </w:p>
    <w:p>
      <w:pPr>
        <w:pStyle w:val="BodyText"/>
        <w:rPr>
          <w:sz w:val="20"/>
        </w:rPr>
      </w:pPr>
    </w:p>
    <w:p>
      <w:pPr>
        <w:pStyle w:val="BodyText"/>
        <w:rPr>
          <w:sz w:val="20"/>
        </w:rPr>
      </w:pPr>
    </w:p>
    <w:p>
      <w:pPr>
        <w:pStyle w:val="BodyText"/>
        <w:spacing w:before="10"/>
        <w:rPr>
          <w:sz w:val="28"/>
        </w:rPr>
      </w:pPr>
    </w:p>
    <w:p>
      <w:pPr>
        <w:spacing w:before="70"/>
        <w:ind w:left="100" w:right="0" w:firstLine="0"/>
        <w:jc w:val="both"/>
        <w:rPr>
          <w:b/>
          <w:sz w:val="24"/>
        </w:rPr>
      </w:pPr>
      <w:r>
        <w:rPr>
          <w:b/>
          <w:sz w:val="24"/>
        </w:rPr>
        <w:t>ANEXO 3. COMPENSACIÓN ENTALPÍA-ENTROPÍA</w:t>
      </w:r>
    </w:p>
    <w:p>
      <w:pPr>
        <w:pStyle w:val="BodyText"/>
        <w:rPr>
          <w:b/>
        </w:rPr>
      </w:pPr>
    </w:p>
    <w:p>
      <w:pPr>
        <w:pStyle w:val="BodyText"/>
        <w:spacing w:before="2"/>
        <w:rPr>
          <w:b/>
        </w:rPr>
      </w:pPr>
    </w:p>
    <w:p>
      <w:pPr>
        <w:pStyle w:val="BodyText"/>
        <w:spacing w:line="360" w:lineRule="auto"/>
        <w:ind w:left="100" w:right="119"/>
        <w:jc w:val="both"/>
      </w:pPr>
      <w:r>
        <w:rPr/>
        <w:t>En </w:t>
      </w:r>
      <w:r>
        <w:rPr>
          <w:spacing w:val="-3"/>
        </w:rPr>
        <w:t>la </w:t>
      </w:r>
      <w:r>
        <w:rPr/>
        <w:t>figura </w:t>
      </w:r>
      <w:r>
        <w:rPr>
          <w:spacing w:val="-3"/>
        </w:rPr>
        <w:t>A3 </w:t>
      </w:r>
      <w:r>
        <w:rPr/>
        <w:t>se expone el gráfico de compensación. La teoría de compensación entalpía- entropía o teoría isocinética establece que existe una compensación debido a los cambios en </w:t>
      </w:r>
      <w:r>
        <w:rPr>
          <w:spacing w:val="-3"/>
        </w:rPr>
        <w:t>la </w:t>
      </w:r>
      <w:r>
        <w:rPr/>
        <w:t>naturaleza de </w:t>
      </w:r>
      <w:r>
        <w:rPr>
          <w:spacing w:val="-3"/>
        </w:rPr>
        <w:t>la </w:t>
      </w:r>
      <w:r>
        <w:rPr/>
        <w:t>interacción entre el soluto y el solvente causando </w:t>
      </w:r>
      <w:r>
        <w:rPr>
          <w:spacing w:val="-5"/>
        </w:rPr>
        <w:t>la </w:t>
      </w:r>
      <w:r>
        <w:rPr/>
        <w:t>reacción, y que </w:t>
      </w:r>
      <w:r>
        <w:rPr>
          <w:spacing w:val="-5"/>
        </w:rPr>
        <w:t>la </w:t>
      </w:r>
      <w:r>
        <w:rPr/>
        <w:t>relación entre </w:t>
      </w:r>
      <w:r>
        <w:rPr>
          <w:spacing w:val="-5"/>
        </w:rPr>
        <w:t>la </w:t>
      </w:r>
      <w:r>
        <w:rPr/>
        <w:t>entalpía y </w:t>
      </w:r>
      <w:r>
        <w:rPr>
          <w:spacing w:val="-3"/>
        </w:rPr>
        <w:t>la </w:t>
      </w:r>
      <w:r>
        <w:rPr/>
        <w:t>entropía para una reacción en específica es lineal. Para que esto </w:t>
      </w:r>
      <w:r>
        <w:rPr>
          <w:position w:val="2"/>
        </w:rPr>
        <w:t>sea válido, </w:t>
      </w:r>
      <w:r>
        <w:rPr>
          <w:spacing w:val="-5"/>
          <w:position w:val="2"/>
        </w:rPr>
        <w:t>la </w:t>
      </w:r>
      <w:r>
        <w:rPr>
          <w:position w:val="2"/>
        </w:rPr>
        <w:t>temperatura isocinética (</w:t>
      </w:r>
      <w:r>
        <w:rPr>
          <w:i/>
          <w:position w:val="2"/>
        </w:rPr>
        <w:t>T</w:t>
      </w:r>
      <w:r>
        <w:rPr>
          <w:i/>
          <w:sz w:val="16"/>
        </w:rPr>
        <w:t>b</w:t>
      </w:r>
      <w:r>
        <w:rPr>
          <w:position w:val="2"/>
        </w:rPr>
        <w:t>), que se obtiene de </w:t>
      </w:r>
      <w:r>
        <w:rPr>
          <w:spacing w:val="-5"/>
          <w:position w:val="2"/>
        </w:rPr>
        <w:t>la </w:t>
      </w:r>
      <w:r>
        <w:rPr>
          <w:position w:val="2"/>
        </w:rPr>
        <w:t>pendiente de </w:t>
      </w:r>
      <w:r>
        <w:rPr>
          <w:spacing w:val="-5"/>
          <w:position w:val="2"/>
        </w:rPr>
        <w:t>la </w:t>
      </w:r>
      <w:r>
        <w:rPr>
          <w:position w:val="2"/>
        </w:rPr>
        <w:t>recta, debe ser </w:t>
      </w:r>
      <w:r>
        <w:rPr/>
        <w:t>constante en cualquier punto. La compensación existe si </w:t>
      </w:r>
      <w:r>
        <w:rPr>
          <w:spacing w:val="-5"/>
        </w:rPr>
        <w:t>la </w:t>
      </w:r>
      <w:r>
        <w:rPr/>
        <w:t>temperatura isocinética es </w:t>
      </w:r>
      <w:r>
        <w:rPr>
          <w:position w:val="2"/>
        </w:rPr>
        <w:t>diferente a </w:t>
      </w:r>
      <w:r>
        <w:rPr>
          <w:spacing w:val="-5"/>
          <w:position w:val="2"/>
        </w:rPr>
        <w:t>la </w:t>
      </w:r>
      <w:r>
        <w:rPr>
          <w:position w:val="2"/>
        </w:rPr>
        <w:t>temperatura </w:t>
      </w:r>
      <w:r>
        <w:rPr>
          <w:spacing w:val="-3"/>
          <w:position w:val="2"/>
        </w:rPr>
        <w:t>media </w:t>
      </w:r>
      <w:r>
        <w:rPr>
          <w:position w:val="2"/>
        </w:rPr>
        <w:t>armónica</w:t>
      </w:r>
      <w:r>
        <w:rPr>
          <w:spacing w:val="19"/>
          <w:position w:val="2"/>
        </w:rPr>
        <w:t> </w:t>
      </w:r>
      <w:r>
        <w:rPr>
          <w:position w:val="2"/>
        </w:rPr>
        <w:t>(</w:t>
      </w:r>
      <w:r>
        <w:rPr>
          <w:i/>
          <w:position w:val="2"/>
        </w:rPr>
        <w:t>T</w:t>
      </w:r>
      <w:r>
        <w:rPr>
          <w:i/>
          <w:sz w:val="16"/>
        </w:rPr>
        <w:t>hm</w:t>
      </w:r>
      <w:r>
        <w:rPr>
          <w:position w:val="2"/>
        </w:rPr>
        <w:t>).</w:t>
      </w:r>
    </w:p>
    <w:p>
      <w:pPr>
        <w:pStyle w:val="BodyText"/>
        <w:spacing w:before="1"/>
        <w:rPr>
          <w:sz w:val="35"/>
        </w:rPr>
      </w:pPr>
    </w:p>
    <w:p>
      <w:pPr>
        <w:tabs>
          <w:tab w:pos="5488" w:val="left" w:leader="none"/>
        </w:tabs>
        <w:spacing w:before="1"/>
        <w:ind w:left="2950" w:right="75" w:firstLine="0"/>
        <w:jc w:val="left"/>
        <w:rPr>
          <w:sz w:val="24"/>
        </w:rPr>
      </w:pPr>
      <w:r>
        <w:rPr>
          <w:rFonts w:ascii="Symbol" w:hAnsi="Symbol"/>
          <w:sz w:val="25"/>
        </w:rPr>
        <w:t></w:t>
      </w:r>
      <w:r>
        <w:rPr>
          <w:rFonts w:ascii="Arial" w:hAnsi="Arial"/>
          <w:i/>
          <w:sz w:val="25"/>
        </w:rPr>
        <w:t>H</w:t>
      </w:r>
      <w:r>
        <w:rPr>
          <w:position w:val="-5"/>
          <w:sz w:val="14"/>
        </w:rPr>
        <w:t>int  </w:t>
      </w:r>
      <w:r>
        <w:rPr>
          <w:rFonts w:ascii="Symbol" w:hAnsi="Symbol"/>
          <w:sz w:val="25"/>
        </w:rPr>
        <w:t></w:t>
      </w:r>
      <w:r>
        <w:rPr>
          <w:sz w:val="25"/>
        </w:rPr>
        <w:t> </w:t>
      </w:r>
      <w:r>
        <w:rPr>
          <w:rFonts w:ascii="Arial" w:hAnsi="Arial"/>
          <w:i/>
          <w:spacing w:val="-14"/>
          <w:sz w:val="25"/>
        </w:rPr>
        <w:t>T</w:t>
      </w:r>
      <w:r>
        <w:rPr>
          <w:rFonts w:ascii="Arial" w:hAnsi="Arial"/>
          <w:i/>
          <w:spacing w:val="-14"/>
          <w:position w:val="-5"/>
          <w:sz w:val="14"/>
        </w:rPr>
        <w:t>b</w:t>
      </w:r>
      <w:r>
        <w:rPr>
          <w:rFonts w:ascii="Symbol" w:hAnsi="Symbol"/>
          <w:spacing w:val="-14"/>
          <w:sz w:val="25"/>
        </w:rPr>
        <w:t></w:t>
      </w:r>
      <w:r>
        <w:rPr>
          <w:rFonts w:ascii="Arial" w:hAnsi="Arial"/>
          <w:i/>
          <w:spacing w:val="-14"/>
          <w:sz w:val="25"/>
        </w:rPr>
        <w:t>S</w:t>
      </w:r>
      <w:r>
        <w:rPr>
          <w:spacing w:val="-14"/>
          <w:position w:val="-5"/>
          <w:sz w:val="14"/>
        </w:rPr>
        <w:t>int </w:t>
      </w:r>
      <w:r>
        <w:rPr>
          <w:spacing w:val="-10"/>
          <w:position w:val="-5"/>
          <w:sz w:val="14"/>
        </w:rPr>
        <w:t> </w:t>
      </w:r>
      <w:r>
        <w:rPr>
          <w:rFonts w:ascii="Symbol" w:hAnsi="Symbol"/>
          <w:sz w:val="25"/>
        </w:rPr>
        <w:t></w:t>
      </w:r>
      <w:r>
        <w:rPr>
          <w:spacing w:val="-28"/>
          <w:sz w:val="25"/>
        </w:rPr>
        <w:t> </w:t>
      </w:r>
      <w:r>
        <w:rPr>
          <w:rFonts w:ascii="Symbol" w:hAnsi="Symbol"/>
          <w:spacing w:val="-4"/>
          <w:sz w:val="25"/>
        </w:rPr>
        <w:t></w:t>
      </w:r>
      <w:r>
        <w:rPr>
          <w:rFonts w:ascii="Arial" w:hAnsi="Arial"/>
          <w:i/>
          <w:spacing w:val="-4"/>
          <w:sz w:val="25"/>
        </w:rPr>
        <w:t>G</w:t>
        <w:tab/>
      </w:r>
      <w:r>
        <w:rPr>
          <w:position w:val="1"/>
          <w:sz w:val="24"/>
        </w:rPr>
        <w:t>(Ec.</w:t>
      </w:r>
      <w:r>
        <w:rPr>
          <w:spacing w:val="-11"/>
          <w:position w:val="1"/>
          <w:sz w:val="24"/>
        </w:rPr>
        <w:t> </w:t>
      </w:r>
      <w:r>
        <w:rPr>
          <w:position w:val="1"/>
          <w:sz w:val="24"/>
        </w:rPr>
        <w:t>A1)</w:t>
      </w:r>
    </w:p>
    <w:p>
      <w:pPr>
        <w:pStyle w:val="BodyText"/>
        <w:rPr>
          <w:sz w:val="20"/>
        </w:rPr>
      </w:pPr>
    </w:p>
    <w:p>
      <w:pPr>
        <w:pStyle w:val="BodyText"/>
        <w:spacing w:before="3"/>
      </w:pPr>
    </w:p>
    <w:p>
      <w:pPr>
        <w:spacing w:after="0"/>
        <w:sectPr>
          <w:footerReference w:type="even" r:id="rId60"/>
          <w:footerReference w:type="default" r:id="rId61"/>
          <w:pgSz w:w="11900" w:h="16840"/>
          <w:pgMar w:footer="715" w:header="0" w:top="1580" w:bottom="900" w:left="1340" w:right="1320"/>
        </w:sectPr>
      </w:pPr>
    </w:p>
    <w:p>
      <w:pPr>
        <w:spacing w:before="206"/>
        <w:ind w:left="0" w:right="0" w:firstLine="0"/>
        <w:jc w:val="right"/>
        <w:rPr>
          <w:rFonts w:ascii="Symbol" w:hAnsi="Symbol"/>
          <w:sz w:val="24"/>
        </w:rPr>
      </w:pPr>
      <w:r>
        <w:rPr>
          <w:rFonts w:ascii="Arial" w:hAnsi="Arial"/>
          <w:i/>
          <w:w w:val="105"/>
          <w:sz w:val="24"/>
        </w:rPr>
        <w:t>T</w:t>
      </w:r>
      <w:r>
        <w:rPr>
          <w:rFonts w:ascii="Arial" w:hAnsi="Arial"/>
          <w:i/>
          <w:w w:val="105"/>
          <w:position w:val="-5"/>
          <w:sz w:val="14"/>
        </w:rPr>
        <w:t>hm </w:t>
      </w:r>
      <w:r>
        <w:rPr>
          <w:rFonts w:ascii="Symbol" w:hAnsi="Symbol"/>
          <w:w w:val="105"/>
          <w:sz w:val="24"/>
        </w:rPr>
        <w:t></w:t>
      </w:r>
    </w:p>
    <w:p>
      <w:pPr>
        <w:spacing w:line="279" w:lineRule="exact" w:before="74"/>
        <w:ind w:left="20" w:right="21" w:firstLine="0"/>
        <w:jc w:val="center"/>
        <w:rPr>
          <w:rFonts w:ascii="Arial"/>
          <w:i/>
          <w:sz w:val="14"/>
        </w:rPr>
      </w:pPr>
      <w:r>
        <w:rPr/>
        <w:br w:type="column"/>
      </w:r>
      <w:r>
        <w:rPr>
          <w:rFonts w:ascii="Arial"/>
          <w:i/>
          <w:w w:val="105"/>
          <w:sz w:val="24"/>
        </w:rPr>
        <w:t>n</w:t>
      </w:r>
      <w:r>
        <w:rPr>
          <w:rFonts w:ascii="Arial"/>
          <w:i/>
          <w:w w:val="105"/>
          <w:position w:val="-5"/>
          <w:sz w:val="14"/>
        </w:rPr>
        <w:t>i</w:t>
      </w:r>
    </w:p>
    <w:p>
      <w:pPr>
        <w:spacing w:line="417" w:lineRule="exact" w:before="0"/>
        <w:ind w:left="20" w:right="0" w:firstLine="0"/>
        <w:jc w:val="center"/>
        <w:rPr>
          <w:rFonts w:ascii="Symbol" w:hAnsi="Symbol"/>
          <w:sz w:val="32"/>
        </w:rPr>
      </w:pPr>
      <w:r>
        <w:rPr/>
        <w:pict>
          <v:shape style="position:absolute;margin-left:253.945862pt;margin-top:2.004513pt;width:43.75pt;height:.1pt;mso-position-horizontal-relative:page;mso-position-vertical-relative:paragraph;z-index:-74800" coordorigin="5079,40" coordsize="875,0" path="m5079,40l5079,40,5954,40e" filled="false" stroked="true" strokeweight=".522143pt" strokecolor="#000000">
            <v:path arrowok="t"/>
            <w10:wrap type="none"/>
          </v:shape>
        </w:pict>
      </w:r>
      <w:r>
        <w:rPr>
          <w:rFonts w:ascii="Symbol" w:hAnsi="Symbol"/>
          <w:spacing w:val="-3"/>
          <w:position w:val="-3"/>
          <w:sz w:val="37"/>
        </w:rPr>
        <w:t></w:t>
      </w:r>
      <w:r>
        <w:rPr>
          <w:rFonts w:ascii="Symbol" w:hAnsi="Symbol"/>
          <w:spacing w:val="-3"/>
          <w:position w:val="-2"/>
          <w:sz w:val="32"/>
        </w:rPr>
        <w:t></w:t>
      </w:r>
      <w:r>
        <w:rPr>
          <w:spacing w:val="-3"/>
          <w:sz w:val="24"/>
        </w:rPr>
        <w:t>1</w:t>
      </w:r>
      <w:r>
        <w:rPr>
          <w:spacing w:val="-47"/>
          <w:sz w:val="24"/>
        </w:rPr>
        <w:t> </w:t>
      </w:r>
      <w:r>
        <w:rPr>
          <w:sz w:val="24"/>
        </w:rPr>
        <w:t>/</w:t>
      </w:r>
      <w:r>
        <w:rPr>
          <w:spacing w:val="-40"/>
          <w:sz w:val="24"/>
        </w:rPr>
        <w:t> </w:t>
      </w:r>
      <w:r>
        <w:rPr>
          <w:rFonts w:ascii="Arial" w:hAnsi="Arial"/>
          <w:i/>
          <w:spacing w:val="-17"/>
          <w:sz w:val="24"/>
        </w:rPr>
        <w:t>T</w:t>
      </w:r>
      <w:r>
        <w:rPr>
          <w:rFonts w:ascii="Arial" w:hAnsi="Arial"/>
          <w:i/>
          <w:spacing w:val="-17"/>
          <w:position w:val="-5"/>
          <w:sz w:val="14"/>
        </w:rPr>
        <w:t>i</w:t>
      </w:r>
      <w:r>
        <w:rPr>
          <w:rFonts w:ascii="Arial" w:hAnsi="Arial"/>
          <w:i/>
          <w:spacing w:val="-19"/>
          <w:position w:val="-5"/>
          <w:sz w:val="14"/>
        </w:rPr>
        <w:t> </w:t>
      </w:r>
      <w:r>
        <w:rPr>
          <w:rFonts w:ascii="Symbol" w:hAnsi="Symbol"/>
          <w:position w:val="-2"/>
          <w:sz w:val="32"/>
        </w:rPr>
        <w:t></w:t>
      </w:r>
    </w:p>
    <w:p>
      <w:pPr>
        <w:pStyle w:val="BodyText"/>
        <w:spacing w:before="215"/>
        <w:ind w:left="606"/>
      </w:pPr>
      <w:r>
        <w:rPr/>
        <w:br w:type="column"/>
      </w:r>
      <w:r>
        <w:rPr/>
        <w:t>(Ec. A2)</w:t>
      </w:r>
    </w:p>
    <w:p>
      <w:pPr>
        <w:spacing w:after="0"/>
        <w:sectPr>
          <w:type w:val="continuous"/>
          <w:pgSz w:w="11900" w:h="16840"/>
          <w:pgMar w:top="1580" w:bottom="280" w:left="1340" w:right="1320"/>
          <w:cols w:num="3" w:equalWidth="0">
            <w:col w:w="3687" w:space="40"/>
            <w:col w:w="876" w:space="40"/>
            <w:col w:w="4597"/>
          </w:cols>
        </w:sectPr>
      </w:pPr>
    </w:p>
    <w:p>
      <w:pPr>
        <w:pStyle w:val="BodyText"/>
        <w:rPr>
          <w:sz w:val="20"/>
        </w:rPr>
      </w:pPr>
      <w:r>
        <w:rPr/>
        <w:pict>
          <v:line style="position:absolute;mso-position-horizontal-relative:page;mso-position-vertical-relative:page;z-index:2656" from="507.819977pt,763.656006pt" to="507.819977pt,792.936006pt" stroked="true" strokeweight=".47998pt" strokecolor="#bebebe">
            <w10:wrap type="none"/>
          </v:line>
        </w:pict>
      </w:r>
    </w:p>
    <w:p>
      <w:pPr>
        <w:pStyle w:val="BodyText"/>
        <w:spacing w:before="2"/>
      </w:pPr>
    </w:p>
    <w:p>
      <w:pPr>
        <w:pStyle w:val="BodyText"/>
        <w:spacing w:line="357" w:lineRule="auto" w:before="68"/>
        <w:ind w:left="100" w:right="107"/>
        <w:jc w:val="both"/>
      </w:pPr>
      <w:r>
        <w:rPr/>
        <w:pict>
          <v:shape style="position:absolute;margin-left:149.279999pt;margin-top:101.643112pt;width:297pt;height:246.75pt;mso-position-horizontal-relative:page;mso-position-vertical-relative:paragraph;z-index:-74848"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31"/>
                    </w:rPr>
                  </w:pPr>
                </w:p>
                <w:p>
                  <w:pPr>
                    <w:spacing w:before="0"/>
                    <w:ind w:left="3194" w:right="-5" w:firstLine="0"/>
                    <w:jc w:val="left"/>
                    <w:rPr>
                      <w:i/>
                      <w:sz w:val="24"/>
                    </w:rPr>
                  </w:pPr>
                  <w:r>
                    <w:rPr>
                      <w:i/>
                      <w:color w:val="585858"/>
                      <w:w w:val="90"/>
                      <w:sz w:val="24"/>
                    </w:rPr>
                    <w:t>Universidad Autónoma del</w:t>
                  </w:r>
                  <w:r>
                    <w:rPr>
                      <w:i/>
                      <w:color w:val="585858"/>
                      <w:spacing w:val="-35"/>
                      <w:w w:val="90"/>
                      <w:sz w:val="24"/>
                    </w:rPr>
                    <w:t> </w:t>
                  </w:r>
                  <w:r>
                    <w:rPr>
                      <w:i/>
                      <w:color w:val="585858"/>
                      <w:w w:val="90"/>
                      <w:sz w:val="24"/>
                    </w:rPr>
                    <w:t>Esta</w:t>
                  </w:r>
                </w:p>
              </w:txbxContent>
            </v:textbox>
            <w10:wrap type="none"/>
          </v:shape>
        </w:pict>
      </w:r>
      <w:r>
        <w:rPr>
          <w:position w:val="2"/>
        </w:rPr>
        <w:t>en donde Δ</w:t>
      </w:r>
      <w:r>
        <w:rPr>
          <w:i/>
          <w:position w:val="2"/>
        </w:rPr>
        <w:t>H</w:t>
      </w:r>
      <w:r>
        <w:rPr>
          <w:i/>
          <w:sz w:val="16"/>
        </w:rPr>
        <w:t>int </w:t>
      </w:r>
      <w:r>
        <w:rPr>
          <w:position w:val="2"/>
        </w:rPr>
        <w:t>es la entalpía integral (kJ/mol), ΔS</w:t>
      </w:r>
      <w:r>
        <w:rPr>
          <w:i/>
          <w:sz w:val="16"/>
        </w:rPr>
        <w:t>int </w:t>
      </w:r>
      <w:r>
        <w:rPr>
          <w:position w:val="2"/>
        </w:rPr>
        <w:t>es la entropía integral (kJ/mol K), Δ</w:t>
      </w:r>
      <w:r>
        <w:rPr>
          <w:i/>
          <w:position w:val="2"/>
        </w:rPr>
        <w:t>G </w:t>
      </w:r>
      <w:r>
        <w:rPr>
          <w:position w:val="2"/>
        </w:rPr>
        <w:t>es la energía libre a </w:t>
      </w:r>
      <w:r>
        <w:rPr>
          <w:i/>
          <w:position w:val="2"/>
        </w:rPr>
        <w:t>T</w:t>
      </w:r>
      <w:r>
        <w:rPr>
          <w:i/>
          <w:sz w:val="16"/>
        </w:rPr>
        <w:t>b </w:t>
      </w:r>
      <w:r>
        <w:rPr>
          <w:position w:val="2"/>
        </w:rPr>
        <w:t>(kJ/mol) y </w:t>
      </w:r>
      <w:r>
        <w:rPr>
          <w:i/>
          <w:position w:val="2"/>
        </w:rPr>
        <w:t>T</w:t>
      </w:r>
      <w:r>
        <w:rPr>
          <w:i/>
          <w:sz w:val="16"/>
        </w:rPr>
        <w:t>b </w:t>
      </w:r>
      <w:r>
        <w:rPr>
          <w:position w:val="2"/>
        </w:rPr>
        <w:t>es la temperatura isocinética (K); </w:t>
      </w:r>
      <w:r>
        <w:rPr>
          <w:i/>
          <w:position w:val="2"/>
        </w:rPr>
        <w:t>T</w:t>
      </w:r>
      <w:r>
        <w:rPr>
          <w:i/>
          <w:sz w:val="16"/>
        </w:rPr>
        <w:t>hm </w:t>
      </w:r>
      <w:r>
        <w:rPr>
          <w:position w:val="2"/>
        </w:rPr>
        <w:t>es la temperatura media armónica (K), </w:t>
      </w:r>
      <w:r>
        <w:rPr>
          <w:i/>
          <w:position w:val="2"/>
        </w:rPr>
        <w:t>n</w:t>
      </w:r>
      <w:r>
        <w:rPr>
          <w:i/>
          <w:sz w:val="16"/>
        </w:rPr>
        <w:t>i </w:t>
      </w:r>
      <w:r>
        <w:rPr>
          <w:position w:val="2"/>
        </w:rPr>
        <w:t>es el número de isotermas, y </w:t>
      </w:r>
      <w:r>
        <w:rPr>
          <w:i/>
          <w:position w:val="2"/>
        </w:rPr>
        <w:t>T</w:t>
      </w:r>
      <w:r>
        <w:rPr>
          <w:i/>
          <w:sz w:val="16"/>
        </w:rPr>
        <w:t>i </w:t>
      </w:r>
      <w:r>
        <w:rPr>
          <w:position w:val="2"/>
        </w:rPr>
        <w:t>es la temperatura del isoterma. Si </w:t>
      </w:r>
      <w:r>
        <w:rPr>
          <w:i/>
          <w:position w:val="2"/>
        </w:rPr>
        <w:t>T</w:t>
      </w:r>
      <w:r>
        <w:rPr>
          <w:i/>
          <w:sz w:val="16"/>
        </w:rPr>
        <w:t>b </w:t>
      </w:r>
      <w:r>
        <w:rPr>
          <w:position w:val="2"/>
        </w:rPr>
        <w:t>&gt; </w:t>
      </w:r>
      <w:r>
        <w:rPr>
          <w:i/>
          <w:position w:val="2"/>
        </w:rPr>
        <w:t>T</w:t>
      </w:r>
      <w:r>
        <w:rPr>
          <w:i/>
          <w:sz w:val="16"/>
        </w:rPr>
        <w:t>hm</w:t>
      </w:r>
      <w:r>
        <w:rPr>
          <w:position w:val="2"/>
        </w:rPr>
        <w:t>, el proceso es controlado entálpicamente; si </w:t>
      </w:r>
      <w:r>
        <w:rPr>
          <w:i/>
          <w:position w:val="2"/>
        </w:rPr>
        <w:t>T</w:t>
      </w:r>
      <w:r>
        <w:rPr>
          <w:i/>
          <w:sz w:val="16"/>
        </w:rPr>
        <w:t>b </w:t>
      </w:r>
      <w:r>
        <w:rPr>
          <w:position w:val="2"/>
        </w:rPr>
        <w:t>&lt; </w:t>
      </w:r>
      <w:r>
        <w:rPr>
          <w:i/>
          <w:position w:val="2"/>
        </w:rPr>
        <w:t>T</w:t>
      </w:r>
      <w:r>
        <w:rPr>
          <w:i/>
          <w:sz w:val="16"/>
        </w:rPr>
        <w:t>hm</w:t>
      </w:r>
      <w:r>
        <w:rPr>
          <w:position w:val="2"/>
        </w:rPr>
        <w:t>, es controlado entrópicamente.</w:t>
      </w:r>
    </w:p>
    <w:p>
      <w:pPr>
        <w:pStyle w:val="BodyText"/>
      </w:pPr>
      <w:r>
        <w:rPr/>
        <w:pict>
          <v:group style="position:absolute;margin-left:149.279999pt;margin-top:15.791869pt;width:296.4pt;height:246.75pt;mso-position-horizontal-relative:page;mso-position-vertical-relative:paragraph;z-index:2608;mso-wrap-distance-left:0;mso-wrap-distance-right:0" coordorigin="2986,316" coordsize="5928,4935">
            <v:shape style="position:absolute;left:2986;top:316;width:5928;height:4934" type="#_x0000_t75" stroked="false">
              <v:imagedata r:id="rId62" o:title=""/>
            </v:shape>
            <v:shape style="position:absolute;left:3715;top:2245;width:1411;height:1589" type="#_x0000_t75" stroked="false">
              <v:imagedata r:id="rId63" o:title=""/>
            </v:shape>
            <v:shape style="position:absolute;left:3960;top:2286;width:1095;height:1273" coordorigin="3960,2286" coordsize="1095,1273" path="m4003,3372l3993,3379,3991,3389,3960,3558,4007,3542,3999,3542,3970,3517,4016,3463,4029,3396,4030,3386,4024,3376,4013,3374,4003,3372xm4016,3463l3970,3517,3999,3542,4007,3533,4004,3533,3978,3511,4010,3500,4016,3463xm4120,3462l4110,3466,4046,3488,3999,3542,4007,3542,4122,3502,4132,3498,4138,3487,4134,3477,4131,3467,4120,3462xm4010,3500l3978,3511,4004,3533,4010,3500xm4046,3488l4010,3500,4004,3533,4007,3533,4046,3488xm5025,2286l4016,3463,4010,3500,4046,3488,5055,2311,5025,2286xe" filled="true" fillcolor="#4f81bc" stroked="false">
              <v:path arrowok="t"/>
              <v:fill type="solid"/>
            </v:shape>
            <v:shape style="position:absolute;left:4238;top:3700;width:1046;height:696" type="#_x0000_t75" stroked="false">
              <v:imagedata r:id="rId64" o:title=""/>
            </v:shape>
            <v:shape style="position:absolute;left:4311;top:3904;width:729;height:389" coordorigin="4311,3904" coordsize="729,389" path="m4934,3947l4311,4259,4329,4293,4951,3982,4972,3950,4934,3947xm5037,3916l4997,3916,5015,3950,4951,3982,4914,4039,4908,4047,4911,4059,4919,4065,4928,4071,4940,4068,4946,4059,5040,3916,5037,3916xm4972,3950l4951,3982,5011,3952,5005,3952,4972,3950xm4990,3922l4972,3950,5005,3952,4990,3922xm5001,3922l4990,3922,5005,3952,5011,3952,5015,3950,5001,3922xm4997,3916l4934,3947,4972,3950,4990,3922,5001,3922,4997,3916xm4858,3904l4849,3912,4848,3933,4856,3942,4934,3947,4997,3916,5037,3916,4869,3905,4858,3904xe" filled="true" fillcolor="#4f81bc" stroked="false">
              <v:path arrowok="t"/>
              <v:fill type="solid"/>
            </v:shape>
            <w10:wrap type="topAndBottom"/>
          </v:group>
        </w:pict>
      </w:r>
    </w:p>
    <w:p>
      <w:pPr>
        <w:spacing w:after="0"/>
        <w:sectPr>
          <w:type w:val="continuous"/>
          <w:pgSz w:w="11900" w:h="16840"/>
          <w:pgMar w:top="1580" w:bottom="280" w:left="1340" w:right="1320"/>
        </w:sectPr>
      </w:pPr>
    </w:p>
    <w:p>
      <w:pPr>
        <w:pStyle w:val="BodyText"/>
        <w:rPr>
          <w:sz w:val="20"/>
        </w:rPr>
      </w:pPr>
    </w:p>
    <w:p>
      <w:pPr>
        <w:pStyle w:val="BodyText"/>
        <w:rPr>
          <w:sz w:val="20"/>
        </w:rPr>
      </w:pPr>
    </w:p>
    <w:p>
      <w:pPr>
        <w:spacing w:before="199"/>
        <w:ind w:left="563" w:right="581" w:firstLine="0"/>
        <w:jc w:val="center"/>
        <w:rPr>
          <w:sz w:val="24"/>
        </w:rPr>
      </w:pPr>
      <w:r>
        <w:rPr>
          <w:b/>
          <w:sz w:val="24"/>
        </w:rPr>
        <w:t>Figura A3. </w:t>
      </w:r>
      <w:r>
        <w:rPr>
          <w:sz w:val="24"/>
        </w:rPr>
        <w:t>Compensación entalpía-entropía</w:t>
      </w:r>
    </w:p>
    <w:p>
      <w:pPr>
        <w:pStyle w:val="BodyText"/>
        <w:spacing w:line="360" w:lineRule="auto" w:before="142"/>
        <w:ind w:left="100" w:right="113"/>
        <w:jc w:val="both"/>
      </w:pPr>
      <w:r>
        <w:rPr/>
        <w:t>Del gráfico se observa que </w:t>
      </w:r>
      <w:r>
        <w:rPr>
          <w:spacing w:val="-5"/>
        </w:rPr>
        <w:t>la </w:t>
      </w:r>
      <w:r>
        <w:rPr/>
        <w:t>compensación se presenta en dos zonas; </w:t>
      </w:r>
      <w:r>
        <w:rPr>
          <w:spacing w:val="-5"/>
        </w:rPr>
        <w:t>la </w:t>
      </w:r>
      <w:r>
        <w:rPr/>
        <w:t>primera (Zona 1) se encuentra a bajos e intermedios contenidos de humedad, y </w:t>
      </w:r>
      <w:r>
        <w:rPr>
          <w:spacing w:val="-5"/>
        </w:rPr>
        <w:t>la </w:t>
      </w:r>
      <w:r>
        <w:rPr/>
        <w:t>segunda (Zona 2) a altos contenidos de humedad. De aquí, se intuye que </w:t>
      </w:r>
      <w:r>
        <w:rPr>
          <w:spacing w:val="-5"/>
        </w:rPr>
        <w:t>la </w:t>
      </w:r>
      <w:r>
        <w:rPr/>
        <w:t>adsorción de humedad en las  microcápsulas esté controlada por diferentes procesos que dependerán de </w:t>
      </w:r>
      <w:r>
        <w:rPr>
          <w:spacing w:val="-5"/>
        </w:rPr>
        <w:t>la </w:t>
      </w:r>
      <w:r>
        <w:rPr/>
        <w:t>cantidad de agua presente en las</w:t>
      </w:r>
      <w:r>
        <w:rPr>
          <w:spacing w:val="-12"/>
        </w:rPr>
        <w:t> </w:t>
      </w:r>
      <w:r>
        <w:rPr/>
        <w:t>microcápsulas.</w:t>
      </w:r>
    </w:p>
    <w:p>
      <w:pPr>
        <w:pStyle w:val="BodyText"/>
      </w:pPr>
    </w:p>
    <w:p>
      <w:pPr>
        <w:pStyle w:val="BodyText"/>
        <w:spacing w:line="360" w:lineRule="auto" w:before="140"/>
        <w:ind w:left="100" w:right="109"/>
        <w:jc w:val="both"/>
      </w:pPr>
      <w:r>
        <w:rPr/>
        <w:t>La Tabla </w:t>
      </w:r>
      <w:r>
        <w:rPr>
          <w:spacing w:val="-3"/>
        </w:rPr>
        <w:t>A2 </w:t>
      </w:r>
      <w:r>
        <w:rPr/>
        <w:t>muestra los valores de ajuste a </w:t>
      </w:r>
      <w:r>
        <w:rPr>
          <w:spacing w:val="-5"/>
        </w:rPr>
        <w:t>la </w:t>
      </w:r>
      <w:r>
        <w:rPr/>
        <w:t>teoría de compensación (Ec. A1). Puede observarse que </w:t>
      </w:r>
      <w:r>
        <w:rPr>
          <w:spacing w:val="-3"/>
        </w:rPr>
        <w:t>la </w:t>
      </w:r>
      <w:r>
        <w:rPr/>
        <w:t>relación lineal de los valores de entalpía y entropía se cumple, </w:t>
      </w:r>
      <w:r>
        <w:rPr>
          <w:spacing w:val="-5"/>
        </w:rPr>
        <w:t>ya </w:t>
      </w:r>
      <w:r>
        <w:rPr/>
        <w:t>que </w:t>
      </w:r>
      <w:r>
        <w:rPr>
          <w:spacing w:val="-3"/>
        </w:rPr>
        <w:t>la </w:t>
      </w:r>
      <w:r>
        <w:rPr/>
        <w:t>temperatura </w:t>
      </w:r>
      <w:r>
        <w:rPr>
          <w:spacing w:val="-3"/>
        </w:rPr>
        <w:t>media </w:t>
      </w:r>
      <w:r>
        <w:rPr/>
        <w:t>armónica (306 </w:t>
      </w:r>
      <w:r>
        <w:rPr>
          <w:spacing w:val="-3"/>
        </w:rPr>
        <w:t>K) </w:t>
      </w:r>
      <w:r>
        <w:rPr/>
        <w:t>difiere considerablemente de </w:t>
      </w:r>
      <w:r>
        <w:rPr>
          <w:spacing w:val="-3"/>
        </w:rPr>
        <w:t>la  </w:t>
      </w:r>
      <w:r>
        <w:rPr/>
        <w:t>isocinética (138 K y  </w:t>
      </w:r>
      <w:r>
        <w:rPr>
          <w:position w:val="2"/>
        </w:rPr>
        <w:t>385 K para </w:t>
      </w:r>
      <w:r>
        <w:rPr>
          <w:spacing w:val="-3"/>
          <w:position w:val="2"/>
        </w:rPr>
        <w:t>las </w:t>
      </w:r>
      <w:r>
        <w:rPr>
          <w:position w:val="2"/>
        </w:rPr>
        <w:t>Zonas 1 y 2, respectivamente). Para </w:t>
      </w:r>
      <w:r>
        <w:rPr>
          <w:spacing w:val="-3"/>
          <w:position w:val="2"/>
        </w:rPr>
        <w:t>la </w:t>
      </w:r>
      <w:r>
        <w:rPr>
          <w:position w:val="2"/>
        </w:rPr>
        <w:t>Zona 1 </w:t>
      </w:r>
      <w:r>
        <w:rPr>
          <w:i/>
          <w:position w:val="2"/>
        </w:rPr>
        <w:t>T</w:t>
      </w:r>
      <w:r>
        <w:rPr>
          <w:i/>
          <w:sz w:val="16"/>
        </w:rPr>
        <w:t>b </w:t>
      </w:r>
      <w:r>
        <w:rPr>
          <w:position w:val="2"/>
        </w:rPr>
        <w:t>&lt; </w:t>
      </w:r>
      <w:r>
        <w:rPr>
          <w:i/>
          <w:position w:val="2"/>
        </w:rPr>
        <w:t>T</w:t>
      </w:r>
      <w:r>
        <w:rPr>
          <w:i/>
          <w:sz w:val="16"/>
        </w:rPr>
        <w:t>hm</w:t>
      </w:r>
      <w:r>
        <w:rPr>
          <w:position w:val="2"/>
        </w:rPr>
        <w:t>, </w:t>
      </w:r>
      <w:r>
        <w:rPr>
          <w:spacing w:val="-5"/>
          <w:position w:val="2"/>
        </w:rPr>
        <w:t>lo </w:t>
      </w:r>
      <w:r>
        <w:rPr>
          <w:position w:val="2"/>
        </w:rPr>
        <w:t>que </w:t>
      </w:r>
      <w:r>
        <w:rPr>
          <w:spacing w:val="-2"/>
          <w:position w:val="2"/>
        </w:rPr>
        <w:t>indica </w:t>
      </w:r>
      <w:r>
        <w:rPr>
          <w:position w:val="2"/>
        </w:rPr>
        <w:t>que </w:t>
      </w:r>
      <w:r>
        <w:rPr>
          <w:spacing w:val="4"/>
          <w:position w:val="2"/>
        </w:rPr>
        <w:t>el </w:t>
      </w:r>
      <w:r>
        <w:rPr/>
        <w:t>proceso de adsorción es controlado entrópicamente (para valores de contenido de humedad &lt; </w:t>
      </w:r>
      <w:r>
        <w:rPr>
          <w:position w:val="2"/>
        </w:rPr>
        <w:t>13.751 kg H</w:t>
      </w:r>
      <w:r>
        <w:rPr>
          <w:sz w:val="16"/>
        </w:rPr>
        <w:t>2</w:t>
      </w:r>
      <w:r>
        <w:rPr>
          <w:position w:val="2"/>
        </w:rPr>
        <w:t>O/kg s.s.); mientras que en </w:t>
      </w:r>
      <w:r>
        <w:rPr>
          <w:spacing w:val="-4"/>
          <w:position w:val="2"/>
        </w:rPr>
        <w:t>la </w:t>
      </w:r>
      <w:r>
        <w:rPr>
          <w:position w:val="2"/>
        </w:rPr>
        <w:t>Zona 2 </w:t>
      </w:r>
      <w:r>
        <w:rPr>
          <w:i/>
          <w:position w:val="2"/>
        </w:rPr>
        <w:t>T</w:t>
      </w:r>
      <w:r>
        <w:rPr>
          <w:i/>
          <w:sz w:val="16"/>
        </w:rPr>
        <w:t>b </w:t>
      </w:r>
      <w:r>
        <w:rPr>
          <w:position w:val="2"/>
        </w:rPr>
        <w:t>&gt; </w:t>
      </w:r>
      <w:r>
        <w:rPr>
          <w:i/>
          <w:position w:val="2"/>
        </w:rPr>
        <w:t>T</w:t>
      </w:r>
      <w:r>
        <w:rPr>
          <w:i/>
          <w:sz w:val="16"/>
        </w:rPr>
        <w:t>hm</w:t>
      </w:r>
      <w:r>
        <w:rPr>
          <w:position w:val="2"/>
        </w:rPr>
        <w:t>, por </w:t>
      </w:r>
      <w:r>
        <w:rPr>
          <w:spacing w:val="-5"/>
          <w:position w:val="2"/>
        </w:rPr>
        <w:t>lo </w:t>
      </w:r>
      <w:r>
        <w:rPr>
          <w:position w:val="2"/>
        </w:rPr>
        <w:t>que </w:t>
      </w:r>
      <w:r>
        <w:rPr>
          <w:spacing w:val="-5"/>
          <w:position w:val="2"/>
        </w:rPr>
        <w:t>la </w:t>
      </w:r>
      <w:r>
        <w:rPr>
          <w:position w:val="2"/>
        </w:rPr>
        <w:t>adsorción está controlada entálpicamente (valores de contenido </w:t>
      </w:r>
      <w:r>
        <w:rPr>
          <w:spacing w:val="-3"/>
          <w:position w:val="2"/>
        </w:rPr>
        <w:t>de </w:t>
      </w:r>
      <w:r>
        <w:rPr>
          <w:position w:val="2"/>
        </w:rPr>
        <w:t>humedad ≥ 13.751 kg H</w:t>
      </w:r>
      <w:r>
        <w:rPr>
          <w:sz w:val="16"/>
        </w:rPr>
        <w:t>2</w:t>
      </w:r>
      <w:r>
        <w:rPr>
          <w:position w:val="2"/>
        </w:rPr>
        <w:t>O/kg</w:t>
      </w:r>
      <w:r>
        <w:rPr>
          <w:spacing w:val="-12"/>
          <w:position w:val="2"/>
        </w:rPr>
        <w:t> </w:t>
      </w:r>
      <w:r>
        <w:rPr>
          <w:position w:val="2"/>
        </w:rPr>
        <w:t>s.s.).</w:t>
      </w:r>
    </w:p>
    <w:p>
      <w:pPr>
        <w:pStyle w:val="BodyText"/>
        <w:spacing w:before="11"/>
        <w:rPr>
          <w:sz w:val="35"/>
        </w:rPr>
      </w:pPr>
    </w:p>
    <w:p>
      <w:pPr>
        <w:pStyle w:val="BodyText"/>
        <w:ind w:right="19"/>
        <w:jc w:val="center"/>
      </w:pPr>
      <w:r>
        <w:rPr>
          <w:b/>
        </w:rPr>
        <w:t>Tabla A2</w:t>
      </w:r>
      <w:r>
        <w:rPr>
          <w:b/>
          <w:i/>
        </w:rPr>
        <w:t>. </w:t>
      </w:r>
      <w:r>
        <w:rPr/>
        <w:t>Datos de ajuste a la teoría de compensación</w:t>
      </w:r>
    </w:p>
    <w:p>
      <w:pPr>
        <w:pStyle w:val="BodyText"/>
        <w:spacing w:before="6" w:after="1"/>
        <w:rPr>
          <w:sz w:val="12"/>
        </w:rPr>
      </w:pPr>
    </w:p>
    <w:tbl>
      <w:tblPr>
        <w:tblW w:w="0" w:type="auto"/>
        <w:jc w:val="left"/>
        <w:tblInd w:w="11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355"/>
        <w:gridCol w:w="2219"/>
        <w:gridCol w:w="2370"/>
      </w:tblGrid>
      <w:tr>
        <w:trPr>
          <w:trHeight w:val="365" w:hRule="exact"/>
        </w:trPr>
        <w:tc>
          <w:tcPr>
            <w:tcW w:w="2355" w:type="dxa"/>
            <w:tcBorders>
              <w:left w:val="nil"/>
              <w:right w:val="nil"/>
            </w:tcBorders>
          </w:tcPr>
          <w:p>
            <w:pPr>
              <w:pStyle w:val="TableParagraph"/>
              <w:spacing w:line="273" w:lineRule="exact" w:before="0"/>
              <w:ind w:left="632" w:right="695"/>
              <w:rPr>
                <w:sz w:val="24"/>
              </w:rPr>
            </w:pPr>
            <w:r>
              <w:rPr>
                <w:sz w:val="24"/>
              </w:rPr>
              <w:t>Parámetro</w:t>
            </w:r>
          </w:p>
        </w:tc>
        <w:tc>
          <w:tcPr>
            <w:tcW w:w="2219" w:type="dxa"/>
            <w:tcBorders>
              <w:left w:val="nil"/>
              <w:right w:val="nil"/>
            </w:tcBorders>
          </w:tcPr>
          <w:p>
            <w:pPr>
              <w:pStyle w:val="TableParagraph"/>
              <w:spacing w:before="30"/>
              <w:ind w:left="698" w:right="806"/>
              <w:rPr>
                <w:sz w:val="24"/>
              </w:rPr>
            </w:pPr>
            <w:r>
              <w:rPr>
                <w:sz w:val="24"/>
              </w:rPr>
              <w:t>Zona 1</w:t>
            </w:r>
          </w:p>
        </w:tc>
        <w:tc>
          <w:tcPr>
            <w:tcW w:w="2370" w:type="dxa"/>
            <w:tcBorders>
              <w:left w:val="nil"/>
              <w:right w:val="nil"/>
            </w:tcBorders>
          </w:tcPr>
          <w:p>
            <w:pPr>
              <w:pStyle w:val="TableParagraph"/>
              <w:spacing w:before="30"/>
              <w:ind w:left="809" w:right="847"/>
              <w:rPr>
                <w:sz w:val="24"/>
              </w:rPr>
            </w:pPr>
            <w:r>
              <w:rPr>
                <w:sz w:val="24"/>
              </w:rPr>
              <w:t>Zona 2</w:t>
            </w:r>
          </w:p>
        </w:tc>
      </w:tr>
      <w:tr>
        <w:trPr>
          <w:trHeight w:val="342" w:hRule="exact"/>
        </w:trPr>
        <w:tc>
          <w:tcPr>
            <w:tcW w:w="2355" w:type="dxa"/>
            <w:tcBorders>
              <w:left w:val="nil"/>
              <w:bottom w:val="nil"/>
              <w:right w:val="nil"/>
            </w:tcBorders>
          </w:tcPr>
          <w:p>
            <w:pPr>
              <w:pStyle w:val="TableParagraph"/>
              <w:spacing w:line="270" w:lineRule="exact" w:before="0"/>
              <w:ind w:left="632" w:right="692"/>
              <w:rPr>
                <w:i/>
                <w:sz w:val="16"/>
              </w:rPr>
            </w:pPr>
            <w:r>
              <w:rPr>
                <w:i/>
                <w:position w:val="2"/>
                <w:sz w:val="24"/>
              </w:rPr>
              <w:t>T</w:t>
            </w:r>
            <w:r>
              <w:rPr>
                <w:i/>
                <w:sz w:val="16"/>
              </w:rPr>
              <w:t>hm</w:t>
            </w:r>
          </w:p>
        </w:tc>
        <w:tc>
          <w:tcPr>
            <w:tcW w:w="4589" w:type="dxa"/>
            <w:gridSpan w:val="2"/>
            <w:tcBorders>
              <w:left w:val="nil"/>
              <w:bottom w:val="nil"/>
              <w:right w:val="nil"/>
            </w:tcBorders>
          </w:tcPr>
          <w:p>
            <w:pPr>
              <w:pStyle w:val="TableParagraph"/>
              <w:spacing w:before="25"/>
              <w:ind w:left="2053" w:right="2134"/>
              <w:rPr>
                <w:sz w:val="24"/>
              </w:rPr>
            </w:pPr>
            <w:r>
              <w:rPr>
                <w:sz w:val="24"/>
              </w:rPr>
              <w:t>306</w:t>
            </w:r>
          </w:p>
        </w:tc>
      </w:tr>
      <w:tr>
        <w:trPr>
          <w:trHeight w:val="336" w:hRule="exact"/>
        </w:trPr>
        <w:tc>
          <w:tcPr>
            <w:tcW w:w="2355" w:type="dxa"/>
            <w:tcBorders>
              <w:top w:val="nil"/>
              <w:left w:val="nil"/>
              <w:bottom w:val="nil"/>
              <w:right w:val="nil"/>
            </w:tcBorders>
          </w:tcPr>
          <w:p>
            <w:pPr>
              <w:pStyle w:val="TableParagraph"/>
              <w:spacing w:before="4"/>
              <w:ind w:left="632" w:right="687"/>
              <w:rPr>
                <w:i/>
                <w:sz w:val="16"/>
              </w:rPr>
            </w:pPr>
            <w:r>
              <w:rPr>
                <w:i/>
                <w:position w:val="2"/>
                <w:sz w:val="24"/>
              </w:rPr>
              <w:t>T</w:t>
            </w:r>
            <w:r>
              <w:rPr>
                <w:i/>
                <w:sz w:val="16"/>
              </w:rPr>
              <w:t>b</w:t>
            </w:r>
          </w:p>
        </w:tc>
        <w:tc>
          <w:tcPr>
            <w:tcW w:w="2219" w:type="dxa"/>
            <w:tcBorders>
              <w:top w:val="nil"/>
              <w:left w:val="nil"/>
              <w:bottom w:val="nil"/>
              <w:right w:val="nil"/>
            </w:tcBorders>
          </w:tcPr>
          <w:p>
            <w:pPr>
              <w:pStyle w:val="TableParagraph"/>
              <w:spacing w:before="34"/>
              <w:ind w:left="694" w:right="806"/>
              <w:rPr>
                <w:sz w:val="24"/>
              </w:rPr>
            </w:pPr>
            <w:r>
              <w:rPr>
                <w:sz w:val="24"/>
              </w:rPr>
              <w:t>138</w:t>
            </w:r>
          </w:p>
        </w:tc>
        <w:tc>
          <w:tcPr>
            <w:tcW w:w="2370" w:type="dxa"/>
            <w:tcBorders>
              <w:top w:val="nil"/>
              <w:left w:val="nil"/>
              <w:bottom w:val="nil"/>
              <w:right w:val="nil"/>
            </w:tcBorders>
          </w:tcPr>
          <w:p>
            <w:pPr>
              <w:pStyle w:val="TableParagraph"/>
              <w:spacing w:before="34"/>
              <w:ind w:left="804" w:right="847"/>
              <w:rPr>
                <w:sz w:val="24"/>
              </w:rPr>
            </w:pPr>
            <w:r>
              <w:rPr>
                <w:sz w:val="24"/>
              </w:rPr>
              <w:t>385</w:t>
            </w:r>
          </w:p>
        </w:tc>
      </w:tr>
      <w:tr>
        <w:trPr>
          <w:trHeight w:val="364" w:hRule="exact"/>
        </w:trPr>
        <w:tc>
          <w:tcPr>
            <w:tcW w:w="2355" w:type="dxa"/>
            <w:tcBorders>
              <w:top w:val="nil"/>
              <w:left w:val="nil"/>
              <w:right w:val="nil"/>
            </w:tcBorders>
          </w:tcPr>
          <w:p>
            <w:pPr>
              <w:pStyle w:val="TableParagraph"/>
              <w:spacing w:before="0"/>
              <w:ind w:left="632" w:right="689"/>
              <w:rPr>
                <w:i/>
                <w:sz w:val="24"/>
              </w:rPr>
            </w:pPr>
            <w:r>
              <w:rPr>
                <w:sz w:val="24"/>
              </w:rPr>
              <w:t>Δ</w:t>
            </w:r>
            <w:r>
              <w:rPr>
                <w:i/>
                <w:sz w:val="24"/>
              </w:rPr>
              <w:t>G</w:t>
            </w:r>
          </w:p>
        </w:tc>
        <w:tc>
          <w:tcPr>
            <w:tcW w:w="2219" w:type="dxa"/>
            <w:tcBorders>
              <w:top w:val="nil"/>
              <w:left w:val="nil"/>
              <w:right w:val="nil"/>
            </w:tcBorders>
          </w:tcPr>
          <w:p>
            <w:pPr>
              <w:pStyle w:val="TableParagraph"/>
              <w:spacing w:before="34"/>
              <w:ind w:left="698" w:right="805"/>
              <w:rPr>
                <w:sz w:val="24"/>
              </w:rPr>
            </w:pPr>
            <w:r>
              <w:rPr>
                <w:sz w:val="24"/>
              </w:rPr>
              <w:t>3.41</w:t>
            </w:r>
          </w:p>
        </w:tc>
        <w:tc>
          <w:tcPr>
            <w:tcW w:w="2370" w:type="dxa"/>
            <w:tcBorders>
              <w:top w:val="nil"/>
              <w:left w:val="nil"/>
              <w:right w:val="nil"/>
            </w:tcBorders>
          </w:tcPr>
          <w:p>
            <w:pPr>
              <w:pStyle w:val="TableParagraph"/>
              <w:spacing w:before="34"/>
              <w:ind w:left="809" w:right="842"/>
              <w:rPr>
                <w:sz w:val="24"/>
              </w:rPr>
            </w:pPr>
            <w:r>
              <w:rPr>
                <w:sz w:val="24"/>
              </w:rPr>
              <w:t>-1.23</w:t>
            </w:r>
          </w:p>
        </w:tc>
      </w:tr>
    </w:tbl>
    <w:sectPr>
      <w:pgSz w:w="11900" w:h="16840"/>
      <w:pgMar w:header="0" w:footer="1026" w:top="1580" w:bottom="1220" w:left="1340" w:right="13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ambria">
    <w:altName w:val="Cambria"/>
    <w:charset w:val="0"/>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71.024002pt;margin-top:779.900391pt;width:90.35pt;height:14pt;mso-position-horizontal-relative:page;mso-position-vertical-relative:page;z-index:-76456" type="#_x0000_t202" filled="false" stroked="false">
          <v:textbox inset="0,0,0,0">
            <w:txbxContent>
              <w:p>
                <w:pPr>
                  <w:spacing w:line="245" w:lineRule="exact" w:before="0"/>
                  <w:ind w:left="20" w:right="0" w:firstLine="0"/>
                  <w:jc w:val="left"/>
                  <w:rPr>
                    <w:i/>
                    <w:sz w:val="24"/>
                  </w:rPr>
                </w:pPr>
                <w:r>
                  <w:rPr>
                    <w:i/>
                    <w:w w:val="85"/>
                    <w:sz w:val="24"/>
                  </w:rPr>
                  <w:t>Facultad de Química</w:t>
                </w:r>
              </w:p>
            </w:txbxContent>
          </v:textbox>
          <w10:wrap type="none"/>
        </v:shape>
      </w:pict>
    </w:r>
    <w:r>
      <w:rPr/>
      <w:pict>
        <v:shape style="position:absolute;margin-left:290.239990pt;margin-top:779.639893pt;width:14.85pt;height:14pt;mso-position-horizontal-relative:page;mso-position-vertical-relative:page;z-index:-76432" type="#_x0000_t202" filled="false" stroked="false">
          <v:textbox inset="0,0,0,0">
            <w:txbxContent>
              <w:p>
                <w:pPr>
                  <w:pStyle w:val="BodyText"/>
                  <w:spacing w:line="265" w:lineRule="exact"/>
                  <w:ind w:left="20"/>
                </w:pPr>
                <w:r>
                  <w:rPr/>
                  <w:t>IV</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024002pt;margin-top:779.900391pt;width:90.35pt;height:14pt;mso-position-horizontal-relative:page;mso-position-vertical-relative:page;z-index:-75904" type="#_x0000_t202" filled="false" stroked="false">
          <v:textbox inset="0,0,0,0">
            <w:txbxContent>
              <w:p>
                <w:pPr>
                  <w:spacing w:line="245" w:lineRule="exact" w:before="0"/>
                  <w:ind w:left="20" w:right="0" w:firstLine="0"/>
                  <w:jc w:val="left"/>
                  <w:rPr>
                    <w:i/>
                    <w:sz w:val="24"/>
                  </w:rPr>
                </w:pPr>
                <w:r>
                  <w:rPr>
                    <w:i/>
                    <w:w w:val="85"/>
                    <w:sz w:val="24"/>
                  </w:rPr>
                  <w:t>Facultad de Química</w:t>
                </w:r>
              </w:p>
            </w:txbxContent>
          </v:textbox>
          <w10:wrap type="none"/>
        </v:shape>
      </w:pict>
    </w:r>
    <w:r>
      <w:rPr/>
      <w:pict>
        <v:shape style="position:absolute;margin-left:289.720001pt;margin-top:779.639893pt;width:16pt;height:14pt;mso-position-horizontal-relative:page;mso-position-vertical-relative:page;z-index:-758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24</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5856" from="507.819977pt,763.656006pt" to="507.819977pt,792.936006pt" stroked="true" strokeweight=".47998pt" strokecolor="#bebebe">
          <w10:wrap type="none"/>
        </v:line>
      </w:pict>
    </w:r>
    <w:r>
      <w:rPr/>
      <w:pict>
        <v:shape style="position:absolute;margin-left:308pt;margin-top:764.060364pt;width:195pt;height:14pt;mso-position-horizontal-relative:page;mso-position-vertical-relative:page;z-index:-75832" type="#_x0000_t202" filled="false" stroked="false">
          <v:textbox inset="0,0,0,0">
            <w:txbxContent>
              <w:p>
                <w:pPr>
                  <w:spacing w:line="245" w:lineRule="exact" w:before="0"/>
                  <w:ind w:left="20" w:right="0" w:firstLine="0"/>
                  <w:jc w:val="left"/>
                  <w:rPr>
                    <w:i/>
                    <w:sz w:val="24"/>
                  </w:rPr>
                </w:pPr>
                <w:r>
                  <w:rPr>
                    <w:i/>
                    <w:color w:val="585858"/>
                    <w:w w:val="90"/>
                    <w:sz w:val="24"/>
                  </w:rPr>
                  <w:t>Universidad</w:t>
                </w:r>
                <w:r>
                  <w:rPr>
                    <w:i/>
                    <w:color w:val="585858"/>
                    <w:spacing w:val="-18"/>
                    <w:w w:val="90"/>
                    <w:sz w:val="24"/>
                  </w:rPr>
                  <w:t> </w:t>
                </w:r>
                <w:r>
                  <w:rPr>
                    <w:i/>
                    <w:color w:val="585858"/>
                    <w:w w:val="90"/>
                    <w:sz w:val="24"/>
                  </w:rPr>
                  <w:t>Autónoma</w:t>
                </w:r>
                <w:r>
                  <w:rPr>
                    <w:i/>
                    <w:color w:val="585858"/>
                    <w:spacing w:val="-17"/>
                    <w:w w:val="90"/>
                    <w:sz w:val="24"/>
                  </w:rPr>
                  <w:t> </w:t>
                </w:r>
                <w:r>
                  <w:rPr>
                    <w:i/>
                    <w:color w:val="585858"/>
                    <w:w w:val="90"/>
                    <w:sz w:val="24"/>
                  </w:rPr>
                  <w:t>del</w:t>
                </w:r>
                <w:r>
                  <w:rPr>
                    <w:i/>
                    <w:color w:val="585858"/>
                    <w:spacing w:val="-18"/>
                    <w:w w:val="90"/>
                    <w:sz w:val="24"/>
                  </w:rPr>
                  <w:t> </w:t>
                </w:r>
                <w:r>
                  <w:rPr>
                    <w:i/>
                    <w:color w:val="585858"/>
                    <w:w w:val="90"/>
                    <w:sz w:val="24"/>
                  </w:rPr>
                  <w:t>Estado</w:t>
                </w:r>
                <w:r>
                  <w:rPr>
                    <w:i/>
                    <w:color w:val="585858"/>
                    <w:spacing w:val="-17"/>
                    <w:w w:val="90"/>
                    <w:sz w:val="24"/>
                  </w:rPr>
                  <w:t> </w:t>
                </w:r>
                <w:r>
                  <w:rPr>
                    <w:i/>
                    <w:color w:val="585858"/>
                    <w:w w:val="90"/>
                    <w:sz w:val="24"/>
                  </w:rPr>
                  <w:t>de</w:t>
                </w:r>
                <w:r>
                  <w:rPr>
                    <w:i/>
                    <w:color w:val="585858"/>
                    <w:spacing w:val="-18"/>
                    <w:w w:val="90"/>
                    <w:sz w:val="24"/>
                  </w:rPr>
                  <w:t> </w:t>
                </w:r>
                <w:r>
                  <w:rPr>
                    <w:i/>
                    <w:color w:val="585858"/>
                    <w:w w:val="90"/>
                    <w:sz w:val="24"/>
                  </w:rPr>
                  <w:t>México</w:t>
                </w:r>
              </w:p>
            </w:txbxContent>
          </v:textbox>
          <w10:wrap type="none"/>
        </v:shape>
      </w:pict>
    </w:r>
    <w:r>
      <w:rPr/>
      <w:pict>
        <v:shape style="position:absolute;margin-left:512.580017pt;margin-top:765.175964pt;width:8.1pt;height:28.65pt;mso-position-horizontal-relative:page;mso-position-vertical-relative:page;z-index:-75808" type="#_x0000_t202" filled="false" stroked="false">
          <v:textbox inset="0,0,0,0">
            <w:txbxContent>
              <w:p>
                <w:pPr>
                  <w:spacing w:line="264" w:lineRule="exact" w:before="0"/>
                  <w:ind w:left="20" w:right="0" w:firstLine="0"/>
                  <w:jc w:val="left"/>
                  <w:rPr>
                    <w:rFonts w:ascii="Calibri"/>
                    <w:b/>
                    <w:sz w:val="24"/>
                  </w:rPr>
                </w:pPr>
                <w:r>
                  <w:rPr>
                    <w:rFonts w:ascii="Calibri"/>
                    <w:b/>
                    <w:color w:val="585858"/>
                    <w:sz w:val="24"/>
                  </w:rPr>
                  <w:t>3</w:t>
                </w:r>
              </w:p>
              <w:p>
                <w:pPr>
                  <w:spacing w:before="0"/>
                  <w:ind w:left="20" w:right="0" w:firstLine="0"/>
                  <w:jc w:val="left"/>
                  <w:rPr>
                    <w:rFonts w:ascii="Calibri"/>
                    <w:b/>
                    <w:sz w:val="24"/>
                  </w:rPr>
                </w:pPr>
                <w:r>
                  <w:rPr>
                    <w:rFonts w:ascii="Calibri"/>
                    <w:b/>
                    <w:color w:val="585858"/>
                    <w:sz w:val="24"/>
                  </w:rPr>
                  <w:t>1</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024002pt;margin-top:779.900391pt;width:90.35pt;height:14pt;mso-position-horizontal-relative:page;mso-position-vertical-relative:page;z-index:-75784" type="#_x0000_t202" filled="false" stroked="false">
          <v:textbox inset="0,0,0,0">
            <w:txbxContent>
              <w:p>
                <w:pPr>
                  <w:spacing w:line="245" w:lineRule="exact" w:before="0"/>
                  <w:ind w:left="20" w:right="0" w:firstLine="0"/>
                  <w:jc w:val="left"/>
                  <w:rPr>
                    <w:i/>
                    <w:sz w:val="24"/>
                  </w:rPr>
                </w:pPr>
                <w:r>
                  <w:rPr>
                    <w:i/>
                    <w:w w:val="85"/>
                    <w:sz w:val="24"/>
                  </w:rPr>
                  <w:t>Facultad de Química</w:t>
                </w:r>
              </w:p>
            </w:txbxContent>
          </v:textbox>
          <w10:wrap type="none"/>
        </v:shape>
      </w:pict>
    </w:r>
    <w:r>
      <w:rPr/>
      <w:pict>
        <v:shape style="position:absolute;margin-left:289.720001pt;margin-top:779.639893pt;width:16pt;height:14pt;mso-position-horizontal-relative:page;mso-position-vertical-relative:page;z-index:-75760" type="#_x0000_t202" filled="false" stroked="false">
          <v:textbox inset="0,0,0,0">
            <w:txbxContent>
              <w:p>
                <w:pPr>
                  <w:pStyle w:val="BodyText"/>
                  <w:spacing w:line="265" w:lineRule="exact"/>
                  <w:ind w:left="40"/>
                </w:pPr>
                <w:r>
                  <w:rPr/>
                  <w:t>32</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5736" from="507.819977pt,763.656006pt" to="507.819977pt,792.936006pt" stroked="true" strokeweight=".47998pt" strokecolor="#bebebe">
          <w10:wrap type="none"/>
        </v:line>
      </w:pict>
    </w:r>
    <w:r>
      <w:rPr/>
      <w:pict>
        <v:shape style="position:absolute;margin-left:308pt;margin-top:764.060364pt;width:195pt;height:14pt;mso-position-horizontal-relative:page;mso-position-vertical-relative:page;z-index:-75712" type="#_x0000_t202" filled="false" stroked="false">
          <v:textbox inset="0,0,0,0">
            <w:txbxContent>
              <w:p>
                <w:pPr>
                  <w:spacing w:line="245" w:lineRule="exact" w:before="0"/>
                  <w:ind w:left="20" w:right="0" w:firstLine="0"/>
                  <w:jc w:val="left"/>
                  <w:rPr>
                    <w:i/>
                    <w:sz w:val="24"/>
                  </w:rPr>
                </w:pPr>
                <w:r>
                  <w:rPr>
                    <w:i/>
                    <w:color w:val="585858"/>
                    <w:w w:val="90"/>
                    <w:sz w:val="24"/>
                  </w:rPr>
                  <w:t>Universidad</w:t>
                </w:r>
                <w:r>
                  <w:rPr>
                    <w:i/>
                    <w:color w:val="585858"/>
                    <w:spacing w:val="-18"/>
                    <w:w w:val="90"/>
                    <w:sz w:val="24"/>
                  </w:rPr>
                  <w:t> </w:t>
                </w:r>
                <w:r>
                  <w:rPr>
                    <w:i/>
                    <w:color w:val="585858"/>
                    <w:w w:val="90"/>
                    <w:sz w:val="24"/>
                  </w:rPr>
                  <w:t>Autónoma</w:t>
                </w:r>
                <w:r>
                  <w:rPr>
                    <w:i/>
                    <w:color w:val="585858"/>
                    <w:spacing w:val="-17"/>
                    <w:w w:val="90"/>
                    <w:sz w:val="24"/>
                  </w:rPr>
                  <w:t> </w:t>
                </w:r>
                <w:r>
                  <w:rPr>
                    <w:i/>
                    <w:color w:val="585858"/>
                    <w:w w:val="90"/>
                    <w:sz w:val="24"/>
                  </w:rPr>
                  <w:t>del</w:t>
                </w:r>
                <w:r>
                  <w:rPr>
                    <w:i/>
                    <w:color w:val="585858"/>
                    <w:spacing w:val="-18"/>
                    <w:w w:val="90"/>
                    <w:sz w:val="24"/>
                  </w:rPr>
                  <w:t> </w:t>
                </w:r>
                <w:r>
                  <w:rPr>
                    <w:i/>
                    <w:color w:val="585858"/>
                    <w:w w:val="90"/>
                    <w:sz w:val="24"/>
                  </w:rPr>
                  <w:t>Estado</w:t>
                </w:r>
                <w:r>
                  <w:rPr>
                    <w:i/>
                    <w:color w:val="585858"/>
                    <w:spacing w:val="-17"/>
                    <w:w w:val="90"/>
                    <w:sz w:val="24"/>
                  </w:rPr>
                  <w:t> </w:t>
                </w:r>
                <w:r>
                  <w:rPr>
                    <w:i/>
                    <w:color w:val="585858"/>
                    <w:w w:val="90"/>
                    <w:sz w:val="24"/>
                  </w:rPr>
                  <w:t>de</w:t>
                </w:r>
                <w:r>
                  <w:rPr>
                    <w:i/>
                    <w:color w:val="585858"/>
                    <w:spacing w:val="-18"/>
                    <w:w w:val="90"/>
                    <w:sz w:val="24"/>
                  </w:rPr>
                  <w:t> </w:t>
                </w:r>
                <w:r>
                  <w:rPr>
                    <w:i/>
                    <w:color w:val="585858"/>
                    <w:w w:val="90"/>
                    <w:sz w:val="24"/>
                  </w:rPr>
                  <w:t>México</w:t>
                </w:r>
              </w:p>
            </w:txbxContent>
          </v:textbox>
          <w10:wrap type="none"/>
        </v:shape>
      </w:pict>
    </w:r>
    <w:r>
      <w:rPr/>
      <w:pict>
        <v:shape style="position:absolute;margin-left:511.579987pt;margin-top:765.175964pt;width:10.1pt;height:28.65pt;mso-position-horizontal-relative:page;mso-position-vertical-relative:page;z-index:-75688" type="#_x0000_t202" filled="false" stroked="false">
          <v:textbox inset="0,0,0,0">
            <w:txbxContent>
              <w:p>
                <w:pPr>
                  <w:spacing w:line="264" w:lineRule="exact" w:before="0"/>
                  <w:ind w:left="40" w:right="0" w:firstLine="0"/>
                  <w:jc w:val="left"/>
                  <w:rPr>
                    <w:rFonts w:ascii="Calibri"/>
                    <w:b/>
                    <w:sz w:val="24"/>
                  </w:rPr>
                </w:pPr>
                <w:r>
                  <w:rPr>
                    <w:rFonts w:ascii="Calibri"/>
                    <w:b/>
                    <w:color w:val="585858"/>
                    <w:sz w:val="24"/>
                  </w:rPr>
                  <w:t>3</w:t>
                </w:r>
              </w:p>
              <w:p>
                <w:pPr>
                  <w:spacing w:before="0"/>
                  <w:ind w:left="40" w:right="0" w:firstLine="0"/>
                  <w:jc w:val="left"/>
                  <w:rPr>
                    <w:rFonts w:ascii="Calibri"/>
                    <w:b/>
                    <w:sz w:val="24"/>
                  </w:rPr>
                </w:pPr>
                <w:r>
                  <w:rPr/>
                  <w:fldChar w:fldCharType="begin"/>
                </w:r>
                <w:r>
                  <w:rPr>
                    <w:rFonts w:ascii="Calibri"/>
                    <w:b/>
                    <w:color w:val="585858"/>
                    <w:sz w:val="24"/>
                  </w:rPr>
                  <w:instrText> PAGE </w:instrText>
                </w:r>
                <w:r>
                  <w:rPr/>
                  <w:fldChar w:fldCharType="separate"/>
                </w:r>
                <w:r>
                  <w:rPr/>
                  <w:t>3</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024002pt;margin-top:779.900391pt;width:90.35pt;height:14pt;mso-position-horizontal-relative:page;mso-position-vertical-relative:page;z-index:-75664" type="#_x0000_t202" filled="false" stroked="false">
          <v:textbox inset="0,0,0,0">
            <w:txbxContent>
              <w:p>
                <w:pPr>
                  <w:spacing w:line="245" w:lineRule="exact" w:before="0"/>
                  <w:ind w:left="20" w:right="0" w:firstLine="0"/>
                  <w:jc w:val="left"/>
                  <w:rPr>
                    <w:i/>
                    <w:sz w:val="24"/>
                  </w:rPr>
                </w:pPr>
                <w:r>
                  <w:rPr>
                    <w:i/>
                    <w:w w:val="85"/>
                    <w:sz w:val="24"/>
                  </w:rPr>
                  <w:t>Facultad de Química</w:t>
                </w:r>
              </w:p>
            </w:txbxContent>
          </v:textbox>
          <w10:wrap type="none"/>
        </v:shape>
      </w:pict>
    </w:r>
    <w:r>
      <w:rPr/>
      <w:pict>
        <v:shape style="position:absolute;margin-left:289.720001pt;margin-top:779.639893pt;width:16pt;height:14pt;mso-position-horizontal-relative:page;mso-position-vertical-relative:page;z-index:-756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34</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5616" from="507.819977pt,763.656006pt" to="507.819977pt,792.936006pt" stroked="true" strokeweight=".47998pt" strokecolor="#bebebe">
          <w10:wrap type="none"/>
        </v:line>
      </w:pict>
    </w:r>
    <w:r>
      <w:rPr/>
      <w:pict>
        <v:shape style="position:absolute;margin-left:308pt;margin-top:764.060364pt;width:195pt;height:14pt;mso-position-horizontal-relative:page;mso-position-vertical-relative:page;z-index:-75592" type="#_x0000_t202" filled="false" stroked="false">
          <v:textbox inset="0,0,0,0">
            <w:txbxContent>
              <w:p>
                <w:pPr>
                  <w:spacing w:line="245" w:lineRule="exact" w:before="0"/>
                  <w:ind w:left="20" w:right="0" w:firstLine="0"/>
                  <w:jc w:val="left"/>
                  <w:rPr>
                    <w:i/>
                    <w:sz w:val="24"/>
                  </w:rPr>
                </w:pPr>
                <w:r>
                  <w:rPr>
                    <w:i/>
                    <w:color w:val="585858"/>
                    <w:w w:val="90"/>
                    <w:sz w:val="24"/>
                  </w:rPr>
                  <w:t>Universidad</w:t>
                </w:r>
                <w:r>
                  <w:rPr>
                    <w:i/>
                    <w:color w:val="585858"/>
                    <w:spacing w:val="-18"/>
                    <w:w w:val="90"/>
                    <w:sz w:val="24"/>
                  </w:rPr>
                  <w:t> </w:t>
                </w:r>
                <w:r>
                  <w:rPr>
                    <w:i/>
                    <w:color w:val="585858"/>
                    <w:w w:val="90"/>
                    <w:sz w:val="24"/>
                  </w:rPr>
                  <w:t>Autónoma</w:t>
                </w:r>
                <w:r>
                  <w:rPr>
                    <w:i/>
                    <w:color w:val="585858"/>
                    <w:spacing w:val="-17"/>
                    <w:w w:val="90"/>
                    <w:sz w:val="24"/>
                  </w:rPr>
                  <w:t> </w:t>
                </w:r>
                <w:r>
                  <w:rPr>
                    <w:i/>
                    <w:color w:val="585858"/>
                    <w:w w:val="90"/>
                    <w:sz w:val="24"/>
                  </w:rPr>
                  <w:t>del</w:t>
                </w:r>
                <w:r>
                  <w:rPr>
                    <w:i/>
                    <w:color w:val="585858"/>
                    <w:spacing w:val="-18"/>
                    <w:w w:val="90"/>
                    <w:sz w:val="24"/>
                  </w:rPr>
                  <w:t> </w:t>
                </w:r>
                <w:r>
                  <w:rPr>
                    <w:i/>
                    <w:color w:val="585858"/>
                    <w:w w:val="90"/>
                    <w:sz w:val="24"/>
                  </w:rPr>
                  <w:t>Estado</w:t>
                </w:r>
                <w:r>
                  <w:rPr>
                    <w:i/>
                    <w:color w:val="585858"/>
                    <w:spacing w:val="-17"/>
                    <w:w w:val="90"/>
                    <w:sz w:val="24"/>
                  </w:rPr>
                  <w:t> </w:t>
                </w:r>
                <w:r>
                  <w:rPr>
                    <w:i/>
                    <w:color w:val="585858"/>
                    <w:w w:val="90"/>
                    <w:sz w:val="24"/>
                  </w:rPr>
                  <w:t>de</w:t>
                </w:r>
                <w:r>
                  <w:rPr>
                    <w:i/>
                    <w:color w:val="585858"/>
                    <w:spacing w:val="-18"/>
                    <w:w w:val="90"/>
                    <w:sz w:val="24"/>
                  </w:rPr>
                  <w:t> </w:t>
                </w:r>
                <w:r>
                  <w:rPr>
                    <w:i/>
                    <w:color w:val="585858"/>
                    <w:w w:val="90"/>
                    <w:sz w:val="24"/>
                  </w:rPr>
                  <w:t>México</w:t>
                </w:r>
              </w:p>
            </w:txbxContent>
          </v:textbox>
          <w10:wrap type="none"/>
        </v:shape>
      </w:pict>
    </w:r>
    <w:r>
      <w:rPr/>
      <w:pict>
        <v:shape style="position:absolute;margin-left:512.580017pt;margin-top:765.175964pt;width:8.1pt;height:28.65pt;mso-position-horizontal-relative:page;mso-position-vertical-relative:page;z-index:-75568" type="#_x0000_t202" filled="false" stroked="false">
          <v:textbox inset="0,0,0,0">
            <w:txbxContent>
              <w:p>
                <w:pPr>
                  <w:spacing w:line="264" w:lineRule="exact" w:before="0"/>
                  <w:ind w:left="20" w:right="0" w:firstLine="0"/>
                  <w:jc w:val="left"/>
                  <w:rPr>
                    <w:rFonts w:ascii="Calibri"/>
                    <w:b/>
                    <w:sz w:val="24"/>
                  </w:rPr>
                </w:pPr>
                <w:r>
                  <w:rPr>
                    <w:rFonts w:ascii="Calibri"/>
                    <w:b/>
                    <w:color w:val="585858"/>
                    <w:sz w:val="24"/>
                  </w:rPr>
                  <w:t>4</w:t>
                </w:r>
              </w:p>
              <w:p>
                <w:pPr>
                  <w:spacing w:before="0"/>
                  <w:ind w:left="20" w:right="0" w:firstLine="0"/>
                  <w:jc w:val="left"/>
                  <w:rPr>
                    <w:rFonts w:ascii="Calibri"/>
                    <w:b/>
                    <w:sz w:val="24"/>
                  </w:rPr>
                </w:pPr>
                <w:r>
                  <w:rPr>
                    <w:rFonts w:ascii="Calibri"/>
                    <w:b/>
                    <w:color w:val="585858"/>
                    <w:sz w:val="24"/>
                  </w:rPr>
                  <w:t>1</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024002pt;margin-top:779.900391pt;width:90.35pt;height:14pt;mso-position-horizontal-relative:page;mso-position-vertical-relative:page;z-index:-75544" type="#_x0000_t202" filled="false" stroked="false">
          <v:textbox inset="0,0,0,0">
            <w:txbxContent>
              <w:p>
                <w:pPr>
                  <w:spacing w:line="245" w:lineRule="exact" w:before="0"/>
                  <w:ind w:left="20" w:right="0" w:firstLine="0"/>
                  <w:jc w:val="left"/>
                  <w:rPr>
                    <w:i/>
                    <w:sz w:val="24"/>
                  </w:rPr>
                </w:pPr>
                <w:r>
                  <w:rPr>
                    <w:i/>
                    <w:w w:val="85"/>
                    <w:sz w:val="24"/>
                  </w:rPr>
                  <w:t>Facultad de Química</w:t>
                </w:r>
              </w:p>
            </w:txbxContent>
          </v:textbox>
          <w10:wrap type="none"/>
        </v:shape>
      </w:pict>
    </w:r>
    <w:r>
      <w:rPr/>
      <w:pict>
        <v:shape style="position:absolute;margin-left:289.720001pt;margin-top:779.639893pt;width:16pt;height:14pt;mso-position-horizontal-relative:page;mso-position-vertical-relative:page;z-index:-75520" type="#_x0000_t202" filled="false" stroked="false">
          <v:textbox inset="0,0,0,0">
            <w:txbxContent>
              <w:p>
                <w:pPr>
                  <w:pStyle w:val="BodyText"/>
                  <w:spacing w:line="265" w:lineRule="exact"/>
                  <w:ind w:left="40"/>
                </w:pPr>
                <w:r>
                  <w:rPr/>
                  <w:t>42</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5496" from="507.819977pt,763.656006pt" to="507.819977pt,792.936006pt" stroked="true" strokeweight=".47998pt" strokecolor="#bebebe">
          <w10:wrap type="none"/>
        </v:line>
      </w:pict>
    </w:r>
    <w:r>
      <w:rPr/>
      <w:pict>
        <v:shape style="position:absolute;margin-left:308pt;margin-top:764.060364pt;width:195pt;height:14pt;mso-position-horizontal-relative:page;mso-position-vertical-relative:page;z-index:-75472" type="#_x0000_t202" filled="false" stroked="false">
          <v:textbox inset="0,0,0,0">
            <w:txbxContent>
              <w:p>
                <w:pPr>
                  <w:spacing w:line="245" w:lineRule="exact" w:before="0"/>
                  <w:ind w:left="20" w:right="0" w:firstLine="0"/>
                  <w:jc w:val="left"/>
                  <w:rPr>
                    <w:i/>
                    <w:sz w:val="24"/>
                  </w:rPr>
                </w:pPr>
                <w:r>
                  <w:rPr>
                    <w:i/>
                    <w:color w:val="585858"/>
                    <w:w w:val="90"/>
                    <w:sz w:val="24"/>
                  </w:rPr>
                  <w:t>Universidad</w:t>
                </w:r>
                <w:r>
                  <w:rPr>
                    <w:i/>
                    <w:color w:val="585858"/>
                    <w:spacing w:val="-18"/>
                    <w:w w:val="90"/>
                    <w:sz w:val="24"/>
                  </w:rPr>
                  <w:t> </w:t>
                </w:r>
                <w:r>
                  <w:rPr>
                    <w:i/>
                    <w:color w:val="585858"/>
                    <w:w w:val="90"/>
                    <w:sz w:val="24"/>
                  </w:rPr>
                  <w:t>Autónoma</w:t>
                </w:r>
                <w:r>
                  <w:rPr>
                    <w:i/>
                    <w:color w:val="585858"/>
                    <w:spacing w:val="-17"/>
                    <w:w w:val="90"/>
                    <w:sz w:val="24"/>
                  </w:rPr>
                  <w:t> </w:t>
                </w:r>
                <w:r>
                  <w:rPr>
                    <w:i/>
                    <w:color w:val="585858"/>
                    <w:w w:val="90"/>
                    <w:sz w:val="24"/>
                  </w:rPr>
                  <w:t>del</w:t>
                </w:r>
                <w:r>
                  <w:rPr>
                    <w:i/>
                    <w:color w:val="585858"/>
                    <w:spacing w:val="-18"/>
                    <w:w w:val="90"/>
                    <w:sz w:val="24"/>
                  </w:rPr>
                  <w:t> </w:t>
                </w:r>
                <w:r>
                  <w:rPr>
                    <w:i/>
                    <w:color w:val="585858"/>
                    <w:w w:val="90"/>
                    <w:sz w:val="24"/>
                  </w:rPr>
                  <w:t>Estado</w:t>
                </w:r>
                <w:r>
                  <w:rPr>
                    <w:i/>
                    <w:color w:val="585858"/>
                    <w:spacing w:val="-17"/>
                    <w:w w:val="90"/>
                    <w:sz w:val="24"/>
                  </w:rPr>
                  <w:t> </w:t>
                </w:r>
                <w:r>
                  <w:rPr>
                    <w:i/>
                    <w:color w:val="585858"/>
                    <w:w w:val="90"/>
                    <w:sz w:val="24"/>
                  </w:rPr>
                  <w:t>de</w:t>
                </w:r>
                <w:r>
                  <w:rPr>
                    <w:i/>
                    <w:color w:val="585858"/>
                    <w:spacing w:val="-18"/>
                    <w:w w:val="90"/>
                    <w:sz w:val="24"/>
                  </w:rPr>
                  <w:t> </w:t>
                </w:r>
                <w:r>
                  <w:rPr>
                    <w:i/>
                    <w:color w:val="585858"/>
                    <w:w w:val="90"/>
                    <w:sz w:val="24"/>
                  </w:rPr>
                  <w:t>México</w:t>
                </w:r>
              </w:p>
            </w:txbxContent>
          </v:textbox>
          <w10:wrap type="none"/>
        </v:shape>
      </w:pict>
    </w:r>
    <w:r>
      <w:rPr/>
      <w:pict>
        <v:shape style="position:absolute;margin-left:511.579987pt;margin-top:765.175964pt;width:10.1pt;height:28.65pt;mso-position-horizontal-relative:page;mso-position-vertical-relative:page;z-index:-75448" type="#_x0000_t202" filled="false" stroked="false">
          <v:textbox inset="0,0,0,0">
            <w:txbxContent>
              <w:p>
                <w:pPr>
                  <w:spacing w:line="264" w:lineRule="exact" w:before="0"/>
                  <w:ind w:left="40" w:right="0" w:firstLine="0"/>
                  <w:jc w:val="left"/>
                  <w:rPr>
                    <w:rFonts w:ascii="Calibri"/>
                    <w:b/>
                    <w:sz w:val="24"/>
                  </w:rPr>
                </w:pPr>
                <w:r>
                  <w:rPr>
                    <w:rFonts w:ascii="Calibri"/>
                    <w:b/>
                    <w:color w:val="585858"/>
                    <w:sz w:val="24"/>
                  </w:rPr>
                  <w:t>4</w:t>
                </w:r>
              </w:p>
              <w:p>
                <w:pPr>
                  <w:spacing w:before="0"/>
                  <w:ind w:left="40" w:right="0" w:firstLine="0"/>
                  <w:jc w:val="left"/>
                  <w:rPr>
                    <w:rFonts w:ascii="Calibri"/>
                    <w:b/>
                    <w:sz w:val="24"/>
                  </w:rPr>
                </w:pPr>
                <w:r>
                  <w:rPr/>
                  <w:fldChar w:fldCharType="begin"/>
                </w:r>
                <w:r>
                  <w:rPr>
                    <w:rFonts w:ascii="Calibri"/>
                    <w:b/>
                    <w:color w:val="585858"/>
                    <w:sz w:val="24"/>
                  </w:rPr>
                  <w:instrText> PAGE </w:instrText>
                </w:r>
                <w:r>
                  <w:rPr/>
                  <w:fldChar w:fldCharType="separate"/>
                </w:r>
                <w:r>
                  <w:rPr/>
                  <w:t>3</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024002pt;margin-top:779.900391pt;width:90.35pt;height:14pt;mso-position-horizontal-relative:page;mso-position-vertical-relative:page;z-index:-75424" type="#_x0000_t202" filled="false" stroked="false">
          <v:textbox inset="0,0,0,0">
            <w:txbxContent>
              <w:p>
                <w:pPr>
                  <w:spacing w:line="245" w:lineRule="exact" w:before="0"/>
                  <w:ind w:left="20" w:right="0" w:firstLine="0"/>
                  <w:jc w:val="left"/>
                  <w:rPr>
                    <w:i/>
                    <w:sz w:val="24"/>
                  </w:rPr>
                </w:pPr>
                <w:r>
                  <w:rPr>
                    <w:i/>
                    <w:w w:val="85"/>
                    <w:sz w:val="24"/>
                  </w:rPr>
                  <w:t>Facultad de Química</w:t>
                </w:r>
              </w:p>
            </w:txbxContent>
          </v:textbox>
          <w10:wrap type="none"/>
        </v:shape>
      </w:pict>
    </w:r>
    <w:r>
      <w:rPr/>
      <w:pict>
        <v:shape style="position:absolute;margin-left:289.720001pt;margin-top:779.639893pt;width:16pt;height:14pt;mso-position-horizontal-relative:page;mso-position-vertical-relative:page;z-index:-7540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44</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5376" from="507.819977pt,763.656006pt" to="507.819977pt,792.936006pt" stroked="true" strokeweight=".47998pt" strokecolor="#bebebe">
          <w10:wrap type="none"/>
        </v:line>
      </w:pict>
    </w:r>
    <w:r>
      <w:rPr/>
      <w:pict>
        <v:shape style="position:absolute;margin-left:308pt;margin-top:764.060364pt;width:195pt;height:14pt;mso-position-horizontal-relative:page;mso-position-vertical-relative:page;z-index:-75352" type="#_x0000_t202" filled="false" stroked="false">
          <v:textbox inset="0,0,0,0">
            <w:txbxContent>
              <w:p>
                <w:pPr>
                  <w:spacing w:line="245" w:lineRule="exact" w:before="0"/>
                  <w:ind w:left="20" w:right="0" w:firstLine="0"/>
                  <w:jc w:val="left"/>
                  <w:rPr>
                    <w:i/>
                    <w:sz w:val="24"/>
                  </w:rPr>
                </w:pPr>
                <w:r>
                  <w:rPr>
                    <w:i/>
                    <w:color w:val="585858"/>
                    <w:w w:val="90"/>
                    <w:sz w:val="24"/>
                  </w:rPr>
                  <w:t>Universidad</w:t>
                </w:r>
                <w:r>
                  <w:rPr>
                    <w:i/>
                    <w:color w:val="585858"/>
                    <w:spacing w:val="-18"/>
                    <w:w w:val="90"/>
                    <w:sz w:val="24"/>
                  </w:rPr>
                  <w:t> </w:t>
                </w:r>
                <w:r>
                  <w:rPr>
                    <w:i/>
                    <w:color w:val="585858"/>
                    <w:w w:val="90"/>
                    <w:sz w:val="24"/>
                  </w:rPr>
                  <w:t>Autónoma</w:t>
                </w:r>
                <w:r>
                  <w:rPr>
                    <w:i/>
                    <w:color w:val="585858"/>
                    <w:spacing w:val="-17"/>
                    <w:w w:val="90"/>
                    <w:sz w:val="24"/>
                  </w:rPr>
                  <w:t> </w:t>
                </w:r>
                <w:r>
                  <w:rPr>
                    <w:i/>
                    <w:color w:val="585858"/>
                    <w:w w:val="90"/>
                    <w:sz w:val="24"/>
                  </w:rPr>
                  <w:t>del</w:t>
                </w:r>
                <w:r>
                  <w:rPr>
                    <w:i/>
                    <w:color w:val="585858"/>
                    <w:spacing w:val="-18"/>
                    <w:w w:val="90"/>
                    <w:sz w:val="24"/>
                  </w:rPr>
                  <w:t> </w:t>
                </w:r>
                <w:r>
                  <w:rPr>
                    <w:i/>
                    <w:color w:val="585858"/>
                    <w:w w:val="90"/>
                    <w:sz w:val="24"/>
                  </w:rPr>
                  <w:t>Estado</w:t>
                </w:r>
                <w:r>
                  <w:rPr>
                    <w:i/>
                    <w:color w:val="585858"/>
                    <w:spacing w:val="-17"/>
                    <w:w w:val="90"/>
                    <w:sz w:val="24"/>
                  </w:rPr>
                  <w:t> </w:t>
                </w:r>
                <w:r>
                  <w:rPr>
                    <w:i/>
                    <w:color w:val="585858"/>
                    <w:w w:val="90"/>
                    <w:sz w:val="24"/>
                  </w:rPr>
                  <w:t>de</w:t>
                </w:r>
                <w:r>
                  <w:rPr>
                    <w:i/>
                    <w:color w:val="585858"/>
                    <w:spacing w:val="-18"/>
                    <w:w w:val="90"/>
                    <w:sz w:val="24"/>
                  </w:rPr>
                  <w:t> </w:t>
                </w:r>
                <w:r>
                  <w:rPr>
                    <w:i/>
                    <w:color w:val="585858"/>
                    <w:w w:val="90"/>
                    <w:sz w:val="24"/>
                  </w:rPr>
                  <w:t>México</w:t>
                </w:r>
              </w:p>
            </w:txbxContent>
          </v:textbox>
          <w10:wrap type="none"/>
        </v:shape>
      </w:pict>
    </w:r>
    <w:r>
      <w:rPr/>
      <w:pict>
        <v:shape style="position:absolute;margin-left:512.580017pt;margin-top:765.175964pt;width:8.1pt;height:28.65pt;mso-position-horizontal-relative:page;mso-position-vertical-relative:page;z-index:-75328" type="#_x0000_t202" filled="false" stroked="false">
          <v:textbox inset="0,0,0,0">
            <w:txbxContent>
              <w:p>
                <w:pPr>
                  <w:spacing w:line="264" w:lineRule="exact" w:before="0"/>
                  <w:ind w:left="20" w:right="0" w:firstLine="0"/>
                  <w:jc w:val="left"/>
                  <w:rPr>
                    <w:rFonts w:ascii="Calibri"/>
                    <w:b/>
                    <w:sz w:val="24"/>
                  </w:rPr>
                </w:pPr>
                <w:r>
                  <w:rPr>
                    <w:rFonts w:ascii="Calibri"/>
                    <w:b/>
                    <w:color w:val="585858"/>
                    <w:sz w:val="24"/>
                  </w:rPr>
                  <w:t>5</w:t>
                </w:r>
              </w:p>
              <w:p>
                <w:pPr>
                  <w:spacing w:before="0"/>
                  <w:ind w:left="20" w:right="0" w:firstLine="0"/>
                  <w:jc w:val="left"/>
                  <w:rPr>
                    <w:rFonts w:ascii="Calibri"/>
                    <w:b/>
                    <w:sz w:val="24"/>
                  </w:rPr>
                </w:pPr>
                <w:r>
                  <w:rPr>
                    <w:rFonts w:ascii="Calibri"/>
                    <w:b/>
                    <w:color w:val="585858"/>
                    <w:sz w:val="24"/>
                  </w:rPr>
                  <w:t>1</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6408" from="507.819977pt,778.295959pt" to="507.819977pt,792.935959pt" stroked="true" strokeweight=".47998pt" strokecolor="#bebebe">
          <w10:wrap type="none"/>
        </v:line>
      </w:pict>
    </w:r>
    <w:r>
      <w:rPr/>
      <w:pict>
        <v:shape style="position:absolute;margin-left:308pt;margin-top:778.700378pt;width:195pt;height:14pt;mso-position-horizontal-relative:page;mso-position-vertical-relative:page;z-index:-76384" type="#_x0000_t202" filled="false" stroked="false">
          <v:textbox inset="0,0,0,0">
            <w:txbxContent>
              <w:p>
                <w:pPr>
                  <w:spacing w:line="245" w:lineRule="exact" w:before="0"/>
                  <w:ind w:left="20" w:right="0" w:firstLine="0"/>
                  <w:jc w:val="left"/>
                  <w:rPr>
                    <w:i/>
                    <w:sz w:val="24"/>
                  </w:rPr>
                </w:pPr>
                <w:r>
                  <w:rPr>
                    <w:i/>
                    <w:color w:val="585858"/>
                    <w:w w:val="90"/>
                    <w:sz w:val="24"/>
                  </w:rPr>
                  <w:t>Universidad</w:t>
                </w:r>
                <w:r>
                  <w:rPr>
                    <w:i/>
                    <w:color w:val="585858"/>
                    <w:spacing w:val="-18"/>
                    <w:w w:val="90"/>
                    <w:sz w:val="24"/>
                  </w:rPr>
                  <w:t> </w:t>
                </w:r>
                <w:r>
                  <w:rPr>
                    <w:i/>
                    <w:color w:val="585858"/>
                    <w:w w:val="90"/>
                    <w:sz w:val="24"/>
                  </w:rPr>
                  <w:t>Autónoma</w:t>
                </w:r>
                <w:r>
                  <w:rPr>
                    <w:i/>
                    <w:color w:val="585858"/>
                    <w:spacing w:val="-17"/>
                    <w:w w:val="90"/>
                    <w:sz w:val="24"/>
                  </w:rPr>
                  <w:t> </w:t>
                </w:r>
                <w:r>
                  <w:rPr>
                    <w:i/>
                    <w:color w:val="585858"/>
                    <w:w w:val="90"/>
                    <w:sz w:val="24"/>
                  </w:rPr>
                  <w:t>del</w:t>
                </w:r>
                <w:r>
                  <w:rPr>
                    <w:i/>
                    <w:color w:val="585858"/>
                    <w:spacing w:val="-18"/>
                    <w:w w:val="90"/>
                    <w:sz w:val="24"/>
                  </w:rPr>
                  <w:t> </w:t>
                </w:r>
                <w:r>
                  <w:rPr>
                    <w:i/>
                    <w:color w:val="585858"/>
                    <w:w w:val="90"/>
                    <w:sz w:val="24"/>
                  </w:rPr>
                  <w:t>Estado</w:t>
                </w:r>
                <w:r>
                  <w:rPr>
                    <w:i/>
                    <w:color w:val="585858"/>
                    <w:spacing w:val="-17"/>
                    <w:w w:val="90"/>
                    <w:sz w:val="24"/>
                  </w:rPr>
                  <w:t> </w:t>
                </w:r>
                <w:r>
                  <w:rPr>
                    <w:i/>
                    <w:color w:val="585858"/>
                    <w:w w:val="90"/>
                    <w:sz w:val="24"/>
                  </w:rPr>
                  <w:t>de</w:t>
                </w:r>
                <w:r>
                  <w:rPr>
                    <w:i/>
                    <w:color w:val="585858"/>
                    <w:spacing w:val="-18"/>
                    <w:w w:val="90"/>
                    <w:sz w:val="24"/>
                  </w:rPr>
                  <w:t> </w:t>
                </w:r>
                <w:r>
                  <w:rPr>
                    <w:i/>
                    <w:color w:val="585858"/>
                    <w:w w:val="90"/>
                    <w:sz w:val="24"/>
                  </w:rPr>
                  <w:t>México</w:t>
                </w:r>
              </w:p>
            </w:txbxContent>
          </v:textbox>
          <w10:wrap type="none"/>
        </v:shape>
      </w:pict>
    </w:r>
    <w:r>
      <w:rPr/>
      <w:pict>
        <v:shape style="position:absolute;margin-left:511.579987pt;margin-top:779.815979pt;width:10.1pt;height:14pt;mso-position-horizontal-relative:page;mso-position-vertical-relative:page;z-index:-76360" type="#_x0000_t202" filled="false" stroked="false">
          <v:textbox inset="0,0,0,0">
            <w:txbxContent>
              <w:p>
                <w:pPr>
                  <w:spacing w:line="264" w:lineRule="exact" w:before="0"/>
                  <w:ind w:left="40" w:right="0" w:firstLine="0"/>
                  <w:jc w:val="left"/>
                  <w:rPr>
                    <w:rFonts w:ascii="Calibri"/>
                    <w:b/>
                    <w:sz w:val="24"/>
                  </w:rPr>
                </w:pPr>
                <w:r>
                  <w:rPr>
                    <w:rFonts w:ascii="Calibri"/>
                    <w:b/>
                    <w:color w:val="585858"/>
                    <w:sz w:val="24"/>
                  </w:rPr>
                  <w:t>1</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024002pt;margin-top:779.900391pt;width:90.35pt;height:14pt;mso-position-horizontal-relative:page;mso-position-vertical-relative:page;z-index:-75304" type="#_x0000_t202" filled="false" stroked="false">
          <v:textbox inset="0,0,0,0">
            <w:txbxContent>
              <w:p>
                <w:pPr>
                  <w:spacing w:line="245" w:lineRule="exact" w:before="0"/>
                  <w:ind w:left="20" w:right="0" w:firstLine="0"/>
                  <w:jc w:val="left"/>
                  <w:rPr>
                    <w:i/>
                    <w:sz w:val="24"/>
                  </w:rPr>
                </w:pPr>
                <w:r>
                  <w:rPr>
                    <w:i/>
                    <w:w w:val="85"/>
                    <w:sz w:val="24"/>
                  </w:rPr>
                  <w:t>Facultad de Química</w:t>
                </w:r>
              </w:p>
            </w:txbxContent>
          </v:textbox>
          <w10:wrap type="none"/>
        </v:shape>
      </w:pict>
    </w:r>
    <w:r>
      <w:rPr/>
      <w:pict>
        <v:shape style="position:absolute;margin-left:289.720001pt;margin-top:779.639893pt;width:16pt;height:14pt;mso-position-horizontal-relative:page;mso-position-vertical-relative:page;z-index:-75280" type="#_x0000_t202" filled="false" stroked="false">
          <v:textbox inset="0,0,0,0">
            <w:txbxContent>
              <w:p>
                <w:pPr>
                  <w:pStyle w:val="BodyText"/>
                  <w:spacing w:line="265" w:lineRule="exact"/>
                  <w:ind w:left="40"/>
                </w:pPr>
                <w:r>
                  <w:rPr/>
                  <w:t>52</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5256" from="507.819977pt,763.656006pt" to="507.819977pt,792.936006pt" stroked="true" strokeweight=".47998pt" strokecolor="#bebebe">
          <w10:wrap type="none"/>
        </v:line>
      </w:pict>
    </w:r>
    <w:r>
      <w:rPr/>
      <w:pict>
        <v:shape style="position:absolute;margin-left:308pt;margin-top:764.060364pt;width:195pt;height:14pt;mso-position-horizontal-relative:page;mso-position-vertical-relative:page;z-index:-75232" type="#_x0000_t202" filled="false" stroked="false">
          <v:textbox inset="0,0,0,0">
            <w:txbxContent>
              <w:p>
                <w:pPr>
                  <w:spacing w:line="245" w:lineRule="exact" w:before="0"/>
                  <w:ind w:left="20" w:right="0" w:firstLine="0"/>
                  <w:jc w:val="left"/>
                  <w:rPr>
                    <w:i/>
                    <w:sz w:val="24"/>
                  </w:rPr>
                </w:pPr>
                <w:r>
                  <w:rPr>
                    <w:i/>
                    <w:color w:val="585858"/>
                    <w:w w:val="90"/>
                    <w:sz w:val="24"/>
                  </w:rPr>
                  <w:t>Universidad</w:t>
                </w:r>
                <w:r>
                  <w:rPr>
                    <w:i/>
                    <w:color w:val="585858"/>
                    <w:spacing w:val="-18"/>
                    <w:w w:val="90"/>
                    <w:sz w:val="24"/>
                  </w:rPr>
                  <w:t> </w:t>
                </w:r>
                <w:r>
                  <w:rPr>
                    <w:i/>
                    <w:color w:val="585858"/>
                    <w:w w:val="90"/>
                    <w:sz w:val="24"/>
                  </w:rPr>
                  <w:t>Autónoma</w:t>
                </w:r>
                <w:r>
                  <w:rPr>
                    <w:i/>
                    <w:color w:val="585858"/>
                    <w:spacing w:val="-17"/>
                    <w:w w:val="90"/>
                    <w:sz w:val="24"/>
                  </w:rPr>
                  <w:t> </w:t>
                </w:r>
                <w:r>
                  <w:rPr>
                    <w:i/>
                    <w:color w:val="585858"/>
                    <w:w w:val="90"/>
                    <w:sz w:val="24"/>
                  </w:rPr>
                  <w:t>del</w:t>
                </w:r>
                <w:r>
                  <w:rPr>
                    <w:i/>
                    <w:color w:val="585858"/>
                    <w:spacing w:val="-18"/>
                    <w:w w:val="90"/>
                    <w:sz w:val="24"/>
                  </w:rPr>
                  <w:t> </w:t>
                </w:r>
                <w:r>
                  <w:rPr>
                    <w:i/>
                    <w:color w:val="585858"/>
                    <w:w w:val="90"/>
                    <w:sz w:val="24"/>
                  </w:rPr>
                  <w:t>Estado</w:t>
                </w:r>
                <w:r>
                  <w:rPr>
                    <w:i/>
                    <w:color w:val="585858"/>
                    <w:spacing w:val="-17"/>
                    <w:w w:val="90"/>
                    <w:sz w:val="24"/>
                  </w:rPr>
                  <w:t> </w:t>
                </w:r>
                <w:r>
                  <w:rPr>
                    <w:i/>
                    <w:color w:val="585858"/>
                    <w:w w:val="90"/>
                    <w:sz w:val="24"/>
                  </w:rPr>
                  <w:t>de</w:t>
                </w:r>
                <w:r>
                  <w:rPr>
                    <w:i/>
                    <w:color w:val="585858"/>
                    <w:spacing w:val="-18"/>
                    <w:w w:val="90"/>
                    <w:sz w:val="24"/>
                  </w:rPr>
                  <w:t> </w:t>
                </w:r>
                <w:r>
                  <w:rPr>
                    <w:i/>
                    <w:color w:val="585858"/>
                    <w:w w:val="90"/>
                    <w:sz w:val="24"/>
                  </w:rPr>
                  <w:t>México</w:t>
                </w:r>
              </w:p>
            </w:txbxContent>
          </v:textbox>
          <w10:wrap type="none"/>
        </v:shape>
      </w:pict>
    </w:r>
    <w:r>
      <w:rPr/>
      <w:pict>
        <v:shape style="position:absolute;margin-left:511.579987pt;margin-top:765.175964pt;width:10.1pt;height:28.65pt;mso-position-horizontal-relative:page;mso-position-vertical-relative:page;z-index:-75208" type="#_x0000_t202" filled="false" stroked="false">
          <v:textbox inset="0,0,0,0">
            <w:txbxContent>
              <w:p>
                <w:pPr>
                  <w:spacing w:line="264" w:lineRule="exact" w:before="0"/>
                  <w:ind w:left="40" w:right="0" w:firstLine="0"/>
                  <w:jc w:val="left"/>
                  <w:rPr>
                    <w:rFonts w:ascii="Calibri"/>
                    <w:b/>
                    <w:sz w:val="24"/>
                  </w:rPr>
                </w:pPr>
                <w:r>
                  <w:rPr>
                    <w:rFonts w:ascii="Calibri"/>
                    <w:b/>
                    <w:color w:val="585858"/>
                    <w:sz w:val="24"/>
                  </w:rPr>
                  <w:t>5</w:t>
                </w:r>
              </w:p>
              <w:p>
                <w:pPr>
                  <w:spacing w:before="0"/>
                  <w:ind w:left="40" w:right="0" w:firstLine="0"/>
                  <w:jc w:val="left"/>
                  <w:rPr>
                    <w:rFonts w:ascii="Calibri"/>
                    <w:b/>
                    <w:sz w:val="24"/>
                  </w:rPr>
                </w:pPr>
                <w:r>
                  <w:rPr/>
                  <w:fldChar w:fldCharType="begin"/>
                </w:r>
                <w:r>
                  <w:rPr>
                    <w:rFonts w:ascii="Calibri"/>
                    <w:b/>
                    <w:color w:val="585858"/>
                    <w:sz w:val="24"/>
                  </w:rPr>
                  <w:instrText> PAGE </w:instrText>
                </w:r>
                <w:r>
                  <w:rPr/>
                  <w:fldChar w:fldCharType="separate"/>
                </w:r>
                <w:r>
                  <w:rPr/>
                  <w:t>3</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024002pt;margin-top:779.900391pt;width:90.35pt;height:14pt;mso-position-horizontal-relative:page;mso-position-vertical-relative:page;z-index:-75184" type="#_x0000_t202" filled="false" stroked="false">
          <v:textbox inset="0,0,0,0">
            <w:txbxContent>
              <w:p>
                <w:pPr>
                  <w:spacing w:line="245" w:lineRule="exact" w:before="0"/>
                  <w:ind w:left="20" w:right="0" w:firstLine="0"/>
                  <w:jc w:val="left"/>
                  <w:rPr>
                    <w:i/>
                    <w:sz w:val="24"/>
                  </w:rPr>
                </w:pPr>
                <w:r>
                  <w:rPr>
                    <w:i/>
                    <w:w w:val="85"/>
                    <w:sz w:val="24"/>
                  </w:rPr>
                  <w:t>Facultad de Química</w:t>
                </w:r>
              </w:p>
            </w:txbxContent>
          </v:textbox>
          <w10:wrap type="none"/>
        </v:shape>
      </w:pict>
    </w:r>
    <w:r>
      <w:rPr/>
      <w:pict>
        <v:shape style="position:absolute;margin-left:289.720001pt;margin-top:779.639893pt;width:16pt;height:14pt;mso-position-horizontal-relative:page;mso-position-vertical-relative:page;z-index:-751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54</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5136" from="507.819977pt,763.656006pt" to="507.819977pt,792.936006pt" stroked="true" strokeweight=".47998pt" strokecolor="#bebebe">
          <w10:wrap type="none"/>
        </v:line>
      </w:pict>
    </w:r>
    <w:r>
      <w:rPr/>
      <w:pict>
        <v:shape style="position:absolute;margin-left:308pt;margin-top:764.060364pt;width:195pt;height:14pt;mso-position-horizontal-relative:page;mso-position-vertical-relative:page;z-index:-75112" type="#_x0000_t202" filled="false" stroked="false">
          <v:textbox inset="0,0,0,0">
            <w:txbxContent>
              <w:p>
                <w:pPr>
                  <w:spacing w:line="245" w:lineRule="exact" w:before="0"/>
                  <w:ind w:left="20" w:right="0" w:firstLine="0"/>
                  <w:jc w:val="left"/>
                  <w:rPr>
                    <w:i/>
                    <w:sz w:val="24"/>
                  </w:rPr>
                </w:pPr>
                <w:r>
                  <w:rPr>
                    <w:i/>
                    <w:color w:val="585858"/>
                    <w:w w:val="90"/>
                    <w:sz w:val="24"/>
                  </w:rPr>
                  <w:t>Universidad</w:t>
                </w:r>
                <w:r>
                  <w:rPr>
                    <w:i/>
                    <w:color w:val="585858"/>
                    <w:spacing w:val="-18"/>
                    <w:w w:val="90"/>
                    <w:sz w:val="24"/>
                  </w:rPr>
                  <w:t> </w:t>
                </w:r>
                <w:r>
                  <w:rPr>
                    <w:i/>
                    <w:color w:val="585858"/>
                    <w:w w:val="90"/>
                    <w:sz w:val="24"/>
                  </w:rPr>
                  <w:t>Autónoma</w:t>
                </w:r>
                <w:r>
                  <w:rPr>
                    <w:i/>
                    <w:color w:val="585858"/>
                    <w:spacing w:val="-17"/>
                    <w:w w:val="90"/>
                    <w:sz w:val="24"/>
                  </w:rPr>
                  <w:t> </w:t>
                </w:r>
                <w:r>
                  <w:rPr>
                    <w:i/>
                    <w:color w:val="585858"/>
                    <w:w w:val="90"/>
                    <w:sz w:val="24"/>
                  </w:rPr>
                  <w:t>del</w:t>
                </w:r>
                <w:r>
                  <w:rPr>
                    <w:i/>
                    <w:color w:val="585858"/>
                    <w:spacing w:val="-18"/>
                    <w:w w:val="90"/>
                    <w:sz w:val="24"/>
                  </w:rPr>
                  <w:t> </w:t>
                </w:r>
                <w:r>
                  <w:rPr>
                    <w:i/>
                    <w:color w:val="585858"/>
                    <w:w w:val="90"/>
                    <w:sz w:val="24"/>
                  </w:rPr>
                  <w:t>Estado</w:t>
                </w:r>
                <w:r>
                  <w:rPr>
                    <w:i/>
                    <w:color w:val="585858"/>
                    <w:spacing w:val="-17"/>
                    <w:w w:val="90"/>
                    <w:sz w:val="24"/>
                  </w:rPr>
                  <w:t> </w:t>
                </w:r>
                <w:r>
                  <w:rPr>
                    <w:i/>
                    <w:color w:val="585858"/>
                    <w:w w:val="90"/>
                    <w:sz w:val="24"/>
                  </w:rPr>
                  <w:t>de</w:t>
                </w:r>
                <w:r>
                  <w:rPr>
                    <w:i/>
                    <w:color w:val="585858"/>
                    <w:spacing w:val="-18"/>
                    <w:w w:val="90"/>
                    <w:sz w:val="24"/>
                  </w:rPr>
                  <w:t> </w:t>
                </w:r>
                <w:r>
                  <w:rPr>
                    <w:i/>
                    <w:color w:val="585858"/>
                    <w:w w:val="90"/>
                    <w:sz w:val="24"/>
                  </w:rPr>
                  <w:t>México</w:t>
                </w:r>
              </w:p>
            </w:txbxContent>
          </v:textbox>
          <w10:wrap type="none"/>
        </v:shape>
      </w:pict>
    </w:r>
    <w:r>
      <w:rPr/>
      <w:pict>
        <v:shape style="position:absolute;margin-left:512.580017pt;margin-top:765.175964pt;width:8.1pt;height:28.65pt;mso-position-horizontal-relative:page;mso-position-vertical-relative:page;z-index:-75088" type="#_x0000_t202" filled="false" stroked="false">
          <v:textbox inset="0,0,0,0">
            <w:txbxContent>
              <w:p>
                <w:pPr>
                  <w:spacing w:line="264" w:lineRule="exact" w:before="0"/>
                  <w:ind w:left="20" w:right="0" w:firstLine="0"/>
                  <w:jc w:val="left"/>
                  <w:rPr>
                    <w:rFonts w:ascii="Calibri"/>
                    <w:b/>
                    <w:sz w:val="24"/>
                  </w:rPr>
                </w:pPr>
                <w:r>
                  <w:rPr>
                    <w:rFonts w:ascii="Calibri"/>
                    <w:b/>
                    <w:color w:val="585858"/>
                    <w:sz w:val="24"/>
                  </w:rPr>
                  <w:t>6</w:t>
                </w:r>
              </w:p>
              <w:p>
                <w:pPr>
                  <w:spacing w:before="0"/>
                  <w:ind w:left="20" w:right="0" w:firstLine="0"/>
                  <w:jc w:val="left"/>
                  <w:rPr>
                    <w:rFonts w:ascii="Calibri"/>
                    <w:b/>
                    <w:sz w:val="24"/>
                  </w:rPr>
                </w:pPr>
                <w:r>
                  <w:rPr>
                    <w:rFonts w:ascii="Calibri"/>
                    <w:b/>
                    <w:color w:val="585858"/>
                    <w:sz w:val="24"/>
                  </w:rPr>
                  <w:t>1</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024002pt;margin-top:779.900391pt;width:90.35pt;height:14pt;mso-position-horizontal-relative:page;mso-position-vertical-relative:page;z-index:-75064" type="#_x0000_t202" filled="false" stroked="false">
          <v:textbox inset="0,0,0,0">
            <w:txbxContent>
              <w:p>
                <w:pPr>
                  <w:spacing w:line="245" w:lineRule="exact" w:before="0"/>
                  <w:ind w:left="20" w:right="0" w:firstLine="0"/>
                  <w:jc w:val="left"/>
                  <w:rPr>
                    <w:i/>
                    <w:sz w:val="24"/>
                  </w:rPr>
                </w:pPr>
                <w:r>
                  <w:rPr>
                    <w:i/>
                    <w:w w:val="85"/>
                    <w:sz w:val="24"/>
                  </w:rPr>
                  <w:t>Facultad de Química</w:t>
                </w:r>
              </w:p>
            </w:txbxContent>
          </v:textbox>
          <w10:wrap type="none"/>
        </v:shape>
      </w:pict>
    </w:r>
    <w:r>
      <w:rPr/>
      <w:pict>
        <v:shape style="position:absolute;margin-left:289.720001pt;margin-top:779.639893pt;width:16pt;height:14pt;mso-position-horizontal-relative:page;mso-position-vertical-relative:page;z-index:-75040" type="#_x0000_t202" filled="false" stroked="false">
          <v:textbox inset="0,0,0,0">
            <w:txbxContent>
              <w:p>
                <w:pPr>
                  <w:pStyle w:val="BodyText"/>
                  <w:spacing w:line="265" w:lineRule="exact"/>
                  <w:ind w:left="40"/>
                </w:pPr>
                <w:r>
                  <w:rPr/>
                  <w:t>62</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5016" from="507.819977pt,763.656006pt" to="507.819977pt,792.936006pt" stroked="true" strokeweight=".47998pt" strokecolor="#bebebe">
          <w10:wrap type="none"/>
        </v:line>
      </w:pict>
    </w:r>
    <w:r>
      <w:rPr/>
      <w:pict>
        <v:shape style="position:absolute;margin-left:308pt;margin-top:764.060364pt;width:195pt;height:14pt;mso-position-horizontal-relative:page;mso-position-vertical-relative:page;z-index:-74992" type="#_x0000_t202" filled="false" stroked="false">
          <v:textbox inset="0,0,0,0">
            <w:txbxContent>
              <w:p>
                <w:pPr>
                  <w:spacing w:line="245" w:lineRule="exact" w:before="0"/>
                  <w:ind w:left="20" w:right="0" w:firstLine="0"/>
                  <w:jc w:val="left"/>
                  <w:rPr>
                    <w:i/>
                    <w:sz w:val="24"/>
                  </w:rPr>
                </w:pPr>
                <w:r>
                  <w:rPr>
                    <w:i/>
                    <w:color w:val="585858"/>
                    <w:w w:val="90"/>
                    <w:sz w:val="24"/>
                  </w:rPr>
                  <w:t>Universidad</w:t>
                </w:r>
                <w:r>
                  <w:rPr>
                    <w:i/>
                    <w:color w:val="585858"/>
                    <w:spacing w:val="-18"/>
                    <w:w w:val="90"/>
                    <w:sz w:val="24"/>
                  </w:rPr>
                  <w:t> </w:t>
                </w:r>
                <w:r>
                  <w:rPr>
                    <w:i/>
                    <w:color w:val="585858"/>
                    <w:w w:val="90"/>
                    <w:sz w:val="24"/>
                  </w:rPr>
                  <w:t>Autónoma</w:t>
                </w:r>
                <w:r>
                  <w:rPr>
                    <w:i/>
                    <w:color w:val="585858"/>
                    <w:spacing w:val="-17"/>
                    <w:w w:val="90"/>
                    <w:sz w:val="24"/>
                  </w:rPr>
                  <w:t> </w:t>
                </w:r>
                <w:r>
                  <w:rPr>
                    <w:i/>
                    <w:color w:val="585858"/>
                    <w:w w:val="90"/>
                    <w:sz w:val="24"/>
                  </w:rPr>
                  <w:t>del</w:t>
                </w:r>
                <w:r>
                  <w:rPr>
                    <w:i/>
                    <w:color w:val="585858"/>
                    <w:spacing w:val="-18"/>
                    <w:w w:val="90"/>
                    <w:sz w:val="24"/>
                  </w:rPr>
                  <w:t> </w:t>
                </w:r>
                <w:r>
                  <w:rPr>
                    <w:i/>
                    <w:color w:val="585858"/>
                    <w:w w:val="90"/>
                    <w:sz w:val="24"/>
                  </w:rPr>
                  <w:t>Estado</w:t>
                </w:r>
                <w:r>
                  <w:rPr>
                    <w:i/>
                    <w:color w:val="585858"/>
                    <w:spacing w:val="-17"/>
                    <w:w w:val="90"/>
                    <w:sz w:val="24"/>
                  </w:rPr>
                  <w:t> </w:t>
                </w:r>
                <w:r>
                  <w:rPr>
                    <w:i/>
                    <w:color w:val="585858"/>
                    <w:w w:val="90"/>
                    <w:sz w:val="24"/>
                  </w:rPr>
                  <w:t>de</w:t>
                </w:r>
                <w:r>
                  <w:rPr>
                    <w:i/>
                    <w:color w:val="585858"/>
                    <w:spacing w:val="-18"/>
                    <w:w w:val="90"/>
                    <w:sz w:val="24"/>
                  </w:rPr>
                  <w:t> </w:t>
                </w:r>
                <w:r>
                  <w:rPr>
                    <w:i/>
                    <w:color w:val="585858"/>
                    <w:w w:val="90"/>
                    <w:sz w:val="24"/>
                  </w:rPr>
                  <w:t>México</w:t>
                </w:r>
              </w:p>
            </w:txbxContent>
          </v:textbox>
          <w10:wrap type="none"/>
        </v:shape>
      </w:pict>
    </w:r>
    <w:r>
      <w:rPr/>
      <w:pict>
        <v:shape style="position:absolute;margin-left:511.579987pt;margin-top:765.175964pt;width:10.1pt;height:28.65pt;mso-position-horizontal-relative:page;mso-position-vertical-relative:page;z-index:-74968" type="#_x0000_t202" filled="false" stroked="false">
          <v:textbox inset="0,0,0,0">
            <w:txbxContent>
              <w:p>
                <w:pPr>
                  <w:spacing w:line="264" w:lineRule="exact" w:before="0"/>
                  <w:ind w:left="40" w:right="0" w:firstLine="0"/>
                  <w:jc w:val="left"/>
                  <w:rPr>
                    <w:rFonts w:ascii="Calibri"/>
                    <w:b/>
                    <w:sz w:val="24"/>
                  </w:rPr>
                </w:pPr>
                <w:r>
                  <w:rPr>
                    <w:rFonts w:ascii="Calibri"/>
                    <w:b/>
                    <w:color w:val="585858"/>
                    <w:sz w:val="24"/>
                  </w:rPr>
                  <w:t>6</w:t>
                </w:r>
              </w:p>
              <w:p>
                <w:pPr>
                  <w:spacing w:before="0"/>
                  <w:ind w:left="40" w:right="0" w:firstLine="0"/>
                  <w:jc w:val="left"/>
                  <w:rPr>
                    <w:rFonts w:ascii="Calibri"/>
                    <w:b/>
                    <w:sz w:val="24"/>
                  </w:rPr>
                </w:pPr>
                <w:r>
                  <w:rPr/>
                  <w:fldChar w:fldCharType="begin"/>
                </w:r>
                <w:r>
                  <w:rPr>
                    <w:rFonts w:ascii="Calibri"/>
                    <w:b/>
                    <w:color w:val="585858"/>
                    <w:sz w:val="24"/>
                  </w:rPr>
                  <w:instrText> PAGE </w:instrText>
                </w:r>
                <w:r>
                  <w:rPr/>
                  <w:fldChar w:fldCharType="separate"/>
                </w:r>
                <w:r>
                  <w:rPr/>
                  <w:t>3</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024002pt;margin-top:779.900391pt;width:90.35pt;height:14pt;mso-position-horizontal-relative:page;mso-position-vertical-relative:page;z-index:-74944" type="#_x0000_t202" filled="false" stroked="false">
          <v:textbox inset="0,0,0,0">
            <w:txbxContent>
              <w:p>
                <w:pPr>
                  <w:spacing w:line="245" w:lineRule="exact" w:before="0"/>
                  <w:ind w:left="20" w:right="0" w:firstLine="0"/>
                  <w:jc w:val="left"/>
                  <w:rPr>
                    <w:i/>
                    <w:sz w:val="24"/>
                  </w:rPr>
                </w:pPr>
                <w:r>
                  <w:rPr>
                    <w:i/>
                    <w:w w:val="85"/>
                    <w:sz w:val="24"/>
                  </w:rPr>
                  <w:t>Facultad de Química</w:t>
                </w:r>
              </w:p>
            </w:txbxContent>
          </v:textbox>
          <w10:wrap type="none"/>
        </v:shape>
      </w:pict>
    </w:r>
    <w:r>
      <w:rPr/>
      <w:pict>
        <v:shape style="position:absolute;margin-left:289.720001pt;margin-top:779.639893pt;width:16pt;height:14pt;mso-position-horizontal-relative:page;mso-position-vertical-relative:page;z-index:-749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64</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896" from="507.819977pt,763.656006pt" to="507.819977pt,792.936006pt" stroked="true" strokeweight=".47998pt" strokecolor="#bebebe">
          <w10:wrap type="none"/>
        </v:line>
      </w:pict>
    </w:r>
    <w:r>
      <w:rPr/>
      <w:pict>
        <v:shape style="position:absolute;margin-left:308pt;margin-top:764.060364pt;width:195pt;height:14pt;mso-position-horizontal-relative:page;mso-position-vertical-relative:page;z-index:-74872" type="#_x0000_t202" filled="false" stroked="false">
          <v:textbox inset="0,0,0,0">
            <w:txbxContent>
              <w:p>
                <w:pPr>
                  <w:spacing w:line="245" w:lineRule="exact" w:before="0"/>
                  <w:ind w:left="20" w:right="0" w:firstLine="0"/>
                  <w:jc w:val="left"/>
                  <w:rPr>
                    <w:i/>
                    <w:sz w:val="24"/>
                  </w:rPr>
                </w:pPr>
                <w:r>
                  <w:rPr>
                    <w:i/>
                    <w:color w:val="585858"/>
                    <w:w w:val="90"/>
                    <w:sz w:val="24"/>
                  </w:rPr>
                  <w:t>Universidad</w:t>
                </w:r>
                <w:r>
                  <w:rPr>
                    <w:i/>
                    <w:color w:val="585858"/>
                    <w:spacing w:val="-18"/>
                    <w:w w:val="90"/>
                    <w:sz w:val="24"/>
                  </w:rPr>
                  <w:t> </w:t>
                </w:r>
                <w:r>
                  <w:rPr>
                    <w:i/>
                    <w:color w:val="585858"/>
                    <w:w w:val="90"/>
                    <w:sz w:val="24"/>
                  </w:rPr>
                  <w:t>Autónoma</w:t>
                </w:r>
                <w:r>
                  <w:rPr>
                    <w:i/>
                    <w:color w:val="585858"/>
                    <w:spacing w:val="-17"/>
                    <w:w w:val="90"/>
                    <w:sz w:val="24"/>
                  </w:rPr>
                  <w:t> </w:t>
                </w:r>
                <w:r>
                  <w:rPr>
                    <w:i/>
                    <w:color w:val="585858"/>
                    <w:w w:val="90"/>
                    <w:sz w:val="24"/>
                  </w:rPr>
                  <w:t>del</w:t>
                </w:r>
                <w:r>
                  <w:rPr>
                    <w:i/>
                    <w:color w:val="585858"/>
                    <w:spacing w:val="-18"/>
                    <w:w w:val="90"/>
                    <w:sz w:val="24"/>
                  </w:rPr>
                  <w:t> </w:t>
                </w:r>
                <w:r>
                  <w:rPr>
                    <w:i/>
                    <w:color w:val="585858"/>
                    <w:w w:val="90"/>
                    <w:sz w:val="24"/>
                  </w:rPr>
                  <w:t>Estado</w:t>
                </w:r>
                <w:r>
                  <w:rPr>
                    <w:i/>
                    <w:color w:val="585858"/>
                    <w:spacing w:val="-17"/>
                    <w:w w:val="90"/>
                    <w:sz w:val="24"/>
                  </w:rPr>
                  <w:t> </w:t>
                </w:r>
                <w:r>
                  <w:rPr>
                    <w:i/>
                    <w:color w:val="585858"/>
                    <w:w w:val="90"/>
                    <w:sz w:val="24"/>
                  </w:rPr>
                  <w:t>de</w:t>
                </w:r>
                <w:r>
                  <w:rPr>
                    <w:i/>
                    <w:color w:val="585858"/>
                    <w:spacing w:val="-18"/>
                    <w:w w:val="90"/>
                    <w:sz w:val="24"/>
                  </w:rPr>
                  <w:t> </w:t>
                </w:r>
                <w:r>
                  <w:rPr>
                    <w:i/>
                    <w:color w:val="585858"/>
                    <w:w w:val="90"/>
                    <w:sz w:val="24"/>
                  </w:rPr>
                  <w:t>México</w:t>
                </w:r>
              </w:p>
            </w:txbxContent>
          </v:textbox>
          <w10:wrap type="none"/>
        </v:shape>
      </w:pict>
    </w:r>
    <w:r>
      <w:rPr/>
      <w:pict>
        <v:shape style="position:absolute;margin-left:512.580017pt;margin-top:765.175964pt;width:8.1pt;height:28.65pt;mso-position-horizontal-relative:page;mso-position-vertical-relative:page;z-index:-74848" type="#_x0000_t202" filled="false" stroked="false">
          <v:textbox inset="0,0,0,0">
            <w:txbxContent>
              <w:p>
                <w:pPr>
                  <w:spacing w:line="264" w:lineRule="exact" w:before="0"/>
                  <w:ind w:left="20" w:right="0" w:firstLine="0"/>
                  <w:jc w:val="left"/>
                  <w:rPr>
                    <w:rFonts w:ascii="Calibri"/>
                    <w:b/>
                    <w:sz w:val="24"/>
                  </w:rPr>
                </w:pPr>
                <w:r>
                  <w:rPr>
                    <w:rFonts w:ascii="Calibri"/>
                    <w:b/>
                    <w:color w:val="585858"/>
                    <w:sz w:val="24"/>
                  </w:rPr>
                  <w:t>7</w:t>
                </w:r>
              </w:p>
              <w:p>
                <w:pPr>
                  <w:spacing w:before="0"/>
                  <w:ind w:left="20" w:right="0" w:firstLine="0"/>
                  <w:jc w:val="left"/>
                  <w:rPr>
                    <w:rFonts w:ascii="Calibri"/>
                    <w:b/>
                    <w:sz w:val="24"/>
                  </w:rPr>
                </w:pPr>
                <w:r>
                  <w:rPr>
                    <w:rFonts w:ascii="Calibri"/>
                    <w:b/>
                    <w:color w:val="585858"/>
                    <w:sz w:val="24"/>
                  </w:rPr>
                  <w:t>1</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024002pt;margin-top:779.900391pt;width:90.35pt;height:14pt;mso-position-horizontal-relative:page;mso-position-vertical-relative:page;z-index:-74824" type="#_x0000_t202" filled="false" stroked="false">
          <v:textbox inset="0,0,0,0">
            <w:txbxContent>
              <w:p>
                <w:pPr>
                  <w:spacing w:line="245" w:lineRule="exact" w:before="0"/>
                  <w:ind w:left="20" w:right="0" w:firstLine="0"/>
                  <w:jc w:val="left"/>
                  <w:rPr>
                    <w:i/>
                    <w:sz w:val="24"/>
                  </w:rPr>
                </w:pPr>
                <w:r>
                  <w:rPr>
                    <w:i/>
                    <w:w w:val="85"/>
                    <w:sz w:val="24"/>
                  </w:rPr>
                  <w:t>Facultad de Química</w:t>
                </w:r>
              </w:p>
            </w:txbxContent>
          </v:textbox>
          <w10:wrap type="none"/>
        </v:shape>
      </w:pict>
    </w:r>
    <w:r>
      <w:rPr/>
      <w:pict>
        <v:shape style="position:absolute;margin-left:289.720001pt;margin-top:779.639893pt;width:16pt;height:14pt;mso-position-horizontal-relative:page;mso-position-vertical-relative:page;z-index:-74800" type="#_x0000_t202" filled="false" stroked="false">
          <v:textbox inset="0,0,0,0">
            <w:txbxContent>
              <w:p>
                <w:pPr>
                  <w:pStyle w:val="BodyText"/>
                  <w:spacing w:line="265" w:lineRule="exact"/>
                  <w:ind w:left="40"/>
                </w:pPr>
                <w:r>
                  <w:rPr/>
                  <w:t>72</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776" from="507.819977pt,763.656006pt" to="507.819977pt,792.936006pt" stroked="true" strokeweight=".47998pt" strokecolor="#bebebe">
          <w10:wrap type="none"/>
        </v:line>
      </w:pict>
    </w:r>
    <w:r>
      <w:rPr/>
      <w:pict>
        <v:shape style="position:absolute;margin-left:308pt;margin-top:764.060364pt;width:195pt;height:14pt;mso-position-horizontal-relative:page;mso-position-vertical-relative:page;z-index:-74752" type="#_x0000_t202" filled="false" stroked="false">
          <v:textbox inset="0,0,0,0">
            <w:txbxContent>
              <w:p>
                <w:pPr>
                  <w:spacing w:line="245" w:lineRule="exact" w:before="0"/>
                  <w:ind w:left="20" w:right="0" w:firstLine="0"/>
                  <w:jc w:val="left"/>
                  <w:rPr>
                    <w:i/>
                    <w:sz w:val="24"/>
                  </w:rPr>
                </w:pPr>
                <w:r>
                  <w:rPr>
                    <w:i/>
                    <w:color w:val="585858"/>
                    <w:w w:val="90"/>
                    <w:sz w:val="24"/>
                  </w:rPr>
                  <w:t>Universidad</w:t>
                </w:r>
                <w:r>
                  <w:rPr>
                    <w:i/>
                    <w:color w:val="585858"/>
                    <w:spacing w:val="-18"/>
                    <w:w w:val="90"/>
                    <w:sz w:val="24"/>
                  </w:rPr>
                  <w:t> </w:t>
                </w:r>
                <w:r>
                  <w:rPr>
                    <w:i/>
                    <w:color w:val="585858"/>
                    <w:w w:val="90"/>
                    <w:sz w:val="24"/>
                  </w:rPr>
                  <w:t>Autónoma</w:t>
                </w:r>
                <w:r>
                  <w:rPr>
                    <w:i/>
                    <w:color w:val="585858"/>
                    <w:spacing w:val="-17"/>
                    <w:w w:val="90"/>
                    <w:sz w:val="24"/>
                  </w:rPr>
                  <w:t> </w:t>
                </w:r>
                <w:r>
                  <w:rPr>
                    <w:i/>
                    <w:color w:val="585858"/>
                    <w:w w:val="90"/>
                    <w:sz w:val="24"/>
                  </w:rPr>
                  <w:t>del</w:t>
                </w:r>
                <w:r>
                  <w:rPr>
                    <w:i/>
                    <w:color w:val="585858"/>
                    <w:spacing w:val="-18"/>
                    <w:w w:val="90"/>
                    <w:sz w:val="24"/>
                  </w:rPr>
                  <w:t> </w:t>
                </w:r>
                <w:r>
                  <w:rPr>
                    <w:i/>
                    <w:color w:val="585858"/>
                    <w:w w:val="90"/>
                    <w:sz w:val="24"/>
                  </w:rPr>
                  <w:t>Estado</w:t>
                </w:r>
                <w:r>
                  <w:rPr>
                    <w:i/>
                    <w:color w:val="585858"/>
                    <w:spacing w:val="-17"/>
                    <w:w w:val="90"/>
                    <w:sz w:val="24"/>
                  </w:rPr>
                  <w:t> </w:t>
                </w:r>
                <w:r>
                  <w:rPr>
                    <w:i/>
                    <w:color w:val="585858"/>
                    <w:w w:val="90"/>
                    <w:sz w:val="24"/>
                  </w:rPr>
                  <w:t>de</w:t>
                </w:r>
                <w:r>
                  <w:rPr>
                    <w:i/>
                    <w:color w:val="585858"/>
                    <w:spacing w:val="-18"/>
                    <w:w w:val="90"/>
                    <w:sz w:val="24"/>
                  </w:rPr>
                  <w:t> </w:t>
                </w:r>
                <w:r>
                  <w:rPr>
                    <w:i/>
                    <w:color w:val="585858"/>
                    <w:w w:val="90"/>
                    <w:sz w:val="24"/>
                  </w:rPr>
                  <w:t>México</w:t>
                </w:r>
              </w:p>
            </w:txbxContent>
          </v:textbox>
          <w10:wrap type="none"/>
        </v:shape>
      </w:pict>
    </w:r>
    <w:r>
      <w:rPr/>
      <w:pict>
        <v:shape style="position:absolute;margin-left:512.580017pt;margin-top:765.175964pt;width:8.1pt;height:28.65pt;mso-position-horizontal-relative:page;mso-position-vertical-relative:page;z-index:-74728" type="#_x0000_t202" filled="false" stroked="false">
          <v:textbox inset="0,0,0,0">
            <w:txbxContent>
              <w:p>
                <w:pPr>
                  <w:spacing w:line="264" w:lineRule="exact" w:before="0"/>
                  <w:ind w:left="20" w:right="0" w:firstLine="0"/>
                  <w:jc w:val="left"/>
                  <w:rPr>
                    <w:rFonts w:ascii="Calibri"/>
                    <w:b/>
                    <w:sz w:val="24"/>
                  </w:rPr>
                </w:pPr>
                <w:r>
                  <w:rPr>
                    <w:rFonts w:ascii="Calibri"/>
                    <w:b/>
                    <w:color w:val="585858"/>
                    <w:sz w:val="24"/>
                  </w:rPr>
                  <w:t>7</w:t>
                </w:r>
              </w:p>
              <w:p>
                <w:pPr>
                  <w:spacing w:before="0"/>
                  <w:ind w:left="20" w:right="0" w:firstLine="0"/>
                  <w:jc w:val="left"/>
                  <w:rPr>
                    <w:rFonts w:ascii="Calibri"/>
                    <w:b/>
                    <w:sz w:val="24"/>
                  </w:rPr>
                </w:pPr>
                <w:r>
                  <w:rPr>
                    <w:rFonts w:ascii="Calibri"/>
                    <w:b/>
                    <w:color w:val="585858"/>
                    <w:sz w:val="24"/>
                  </w:rPr>
                  <w:t>3</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024002pt;margin-top:779.900391pt;width:90.35pt;height:14pt;mso-position-horizontal-relative:page;mso-position-vertical-relative:page;z-index:-76336" type="#_x0000_t202" filled="false" stroked="false">
          <v:textbox inset="0,0,0,0">
            <w:txbxContent>
              <w:p>
                <w:pPr>
                  <w:spacing w:line="245" w:lineRule="exact" w:before="0"/>
                  <w:ind w:left="20" w:right="0" w:firstLine="0"/>
                  <w:jc w:val="left"/>
                  <w:rPr>
                    <w:i/>
                    <w:sz w:val="24"/>
                  </w:rPr>
                </w:pPr>
                <w:r>
                  <w:rPr>
                    <w:i/>
                    <w:w w:val="85"/>
                    <w:sz w:val="24"/>
                  </w:rPr>
                  <w:t>Facultad de Química</w:t>
                </w:r>
              </w:p>
            </w:txbxContent>
          </v:textbox>
          <w10:wrap type="none"/>
        </v:shape>
      </w:pict>
    </w:r>
    <w:r>
      <w:rPr/>
      <w:pict>
        <v:shape style="position:absolute;margin-left:289.720001pt;margin-top:779.639893pt;width:16pt;height:14pt;mso-position-horizontal-relative:page;mso-position-vertical-relative:page;z-index:-763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024002pt;margin-top:779.900391pt;width:90.35pt;height:14pt;mso-position-horizontal-relative:page;mso-position-vertical-relative:page;z-index:-74704" type="#_x0000_t202" filled="false" stroked="false">
          <v:textbox inset="0,0,0,0">
            <w:txbxContent>
              <w:p>
                <w:pPr>
                  <w:spacing w:line="245" w:lineRule="exact" w:before="0"/>
                  <w:ind w:left="20" w:right="0" w:firstLine="0"/>
                  <w:jc w:val="left"/>
                  <w:rPr>
                    <w:i/>
                    <w:sz w:val="24"/>
                  </w:rPr>
                </w:pPr>
                <w:r>
                  <w:rPr>
                    <w:i/>
                    <w:w w:val="85"/>
                    <w:sz w:val="24"/>
                  </w:rPr>
                  <w:t>Facultad de Química</w:t>
                </w:r>
              </w:p>
            </w:txbxContent>
          </v:textbox>
          <w10:wrap type="none"/>
        </v:shape>
      </w:pict>
    </w:r>
    <w:r>
      <w:rPr/>
      <w:pict>
        <v:shape style="position:absolute;margin-left:289.720001pt;margin-top:779.639893pt;width:16pt;height:14pt;mso-position-horizontal-relative:page;mso-position-vertical-relative:page;z-index:-74680" type="#_x0000_t202" filled="false" stroked="false">
          <v:textbox inset="0,0,0,0">
            <w:txbxContent>
              <w:p>
                <w:pPr>
                  <w:pStyle w:val="BodyText"/>
                  <w:spacing w:line="265" w:lineRule="exact"/>
                  <w:ind w:left="40"/>
                </w:pPr>
                <w:r>
                  <w:rPr/>
                  <w:t>74</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5.268768pt;margin-top:764.060364pt;width:57.7pt;height:14pt;mso-position-horizontal-relative:page;mso-position-vertical-relative:page;z-index:-74656" type="#_x0000_t202" filled="false" stroked="false">
          <v:textbox inset="0,0,0,0">
            <w:txbxContent>
              <w:p>
                <w:pPr>
                  <w:spacing w:line="245" w:lineRule="exact" w:before="0"/>
                  <w:ind w:left="20" w:right="0" w:firstLine="0"/>
                  <w:jc w:val="left"/>
                  <w:rPr>
                    <w:i/>
                    <w:sz w:val="24"/>
                  </w:rPr>
                </w:pPr>
                <w:r>
                  <w:rPr>
                    <w:i/>
                    <w:color w:val="585858"/>
                    <w:w w:val="90"/>
                    <w:sz w:val="24"/>
                  </w:rPr>
                  <w:t>do</w:t>
                </w:r>
                <w:r>
                  <w:rPr>
                    <w:i/>
                    <w:color w:val="585858"/>
                    <w:spacing w:val="-26"/>
                    <w:w w:val="90"/>
                    <w:sz w:val="24"/>
                  </w:rPr>
                  <w:t> </w:t>
                </w:r>
                <w:r>
                  <w:rPr>
                    <w:i/>
                    <w:color w:val="585858"/>
                    <w:w w:val="90"/>
                    <w:sz w:val="24"/>
                  </w:rPr>
                  <w:t>de</w:t>
                </w:r>
                <w:r>
                  <w:rPr>
                    <w:i/>
                    <w:color w:val="585858"/>
                    <w:spacing w:val="-27"/>
                    <w:w w:val="90"/>
                    <w:sz w:val="24"/>
                  </w:rPr>
                  <w:t> </w:t>
                </w:r>
                <w:r>
                  <w:rPr>
                    <w:i/>
                    <w:color w:val="585858"/>
                    <w:w w:val="90"/>
                    <w:sz w:val="24"/>
                  </w:rPr>
                  <w:t>México</w:t>
                </w:r>
              </w:p>
            </w:txbxContent>
          </v:textbox>
          <w10:wrap type="none"/>
        </v:shape>
      </w:pict>
    </w:r>
    <w:r>
      <w:rPr/>
      <w:pict>
        <v:shape style="position:absolute;margin-left:512.580017pt;margin-top:765.175964pt;width:8.1pt;height:28.65pt;mso-position-horizontal-relative:page;mso-position-vertical-relative:page;z-index:-74632" type="#_x0000_t202" filled="false" stroked="false">
          <v:textbox inset="0,0,0,0">
            <w:txbxContent>
              <w:p>
                <w:pPr>
                  <w:spacing w:line="264" w:lineRule="exact" w:before="0"/>
                  <w:ind w:left="20" w:right="0" w:firstLine="0"/>
                  <w:jc w:val="left"/>
                  <w:rPr>
                    <w:rFonts w:ascii="Calibri"/>
                    <w:b/>
                    <w:sz w:val="24"/>
                  </w:rPr>
                </w:pPr>
                <w:r>
                  <w:rPr>
                    <w:rFonts w:ascii="Calibri"/>
                    <w:b/>
                    <w:color w:val="585858"/>
                    <w:sz w:val="24"/>
                  </w:rPr>
                  <w:t>7</w:t>
                </w:r>
              </w:p>
              <w:p>
                <w:pPr>
                  <w:spacing w:before="0"/>
                  <w:ind w:left="20" w:right="0" w:firstLine="0"/>
                  <w:jc w:val="left"/>
                  <w:rPr>
                    <w:rFonts w:ascii="Calibri"/>
                    <w:b/>
                    <w:sz w:val="24"/>
                  </w:rPr>
                </w:pPr>
                <w:r>
                  <w:rPr>
                    <w:rFonts w:ascii="Calibri"/>
                    <w:b/>
                    <w:color w:val="585858"/>
                    <w:sz w:val="24"/>
                  </w:rPr>
                  <w:t>5</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024002pt;margin-top:779.900391pt;width:90.35pt;height:14pt;mso-position-horizontal-relative:page;mso-position-vertical-relative:page;z-index:-74608" type="#_x0000_t202" filled="false" stroked="false">
          <v:textbox inset="0,0,0,0">
            <w:txbxContent>
              <w:p>
                <w:pPr>
                  <w:spacing w:line="245" w:lineRule="exact" w:before="0"/>
                  <w:ind w:left="20" w:right="0" w:firstLine="0"/>
                  <w:jc w:val="left"/>
                  <w:rPr>
                    <w:i/>
                    <w:sz w:val="24"/>
                  </w:rPr>
                </w:pPr>
                <w:r>
                  <w:rPr>
                    <w:i/>
                    <w:w w:val="85"/>
                    <w:sz w:val="24"/>
                  </w:rPr>
                  <w:t>Facultad de Química</w:t>
                </w:r>
              </w:p>
            </w:txbxContent>
          </v:textbox>
          <w10:wrap type="none"/>
        </v:shape>
      </w:pict>
    </w:r>
    <w:r>
      <w:rPr/>
      <w:pict>
        <v:shape style="position:absolute;margin-left:289.720001pt;margin-top:779.639893pt;width:16pt;height:14pt;mso-position-horizontal-relative:page;mso-position-vertical-relative:page;z-index:-74584" type="#_x0000_t202" filled="false" stroked="false">
          <v:textbox inset="0,0,0,0">
            <w:txbxContent>
              <w:p>
                <w:pPr>
                  <w:pStyle w:val="BodyText"/>
                  <w:spacing w:line="265" w:lineRule="exact"/>
                  <w:ind w:left="40"/>
                </w:pPr>
                <w:r>
                  <w:rPr/>
                  <w:t>76</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6288" from="507.819977pt,778.295959pt" to="507.819977pt,792.935959pt" stroked="true" strokeweight=".47998pt" strokecolor="#bebebe">
          <w10:wrap type="none"/>
        </v:line>
      </w:pict>
    </w:r>
    <w:r>
      <w:rPr/>
      <w:pict>
        <v:shape style="position:absolute;margin-left:308pt;margin-top:778.700378pt;width:195pt;height:14pt;mso-position-horizontal-relative:page;mso-position-vertical-relative:page;z-index:-76264" type="#_x0000_t202" filled="false" stroked="false">
          <v:textbox inset="0,0,0,0">
            <w:txbxContent>
              <w:p>
                <w:pPr>
                  <w:spacing w:line="245" w:lineRule="exact" w:before="0"/>
                  <w:ind w:left="20" w:right="0" w:firstLine="0"/>
                  <w:jc w:val="left"/>
                  <w:rPr>
                    <w:i/>
                    <w:sz w:val="24"/>
                  </w:rPr>
                </w:pPr>
                <w:r>
                  <w:rPr>
                    <w:i/>
                    <w:color w:val="585858"/>
                    <w:w w:val="90"/>
                    <w:sz w:val="24"/>
                  </w:rPr>
                  <w:t>Universidad</w:t>
                </w:r>
                <w:r>
                  <w:rPr>
                    <w:i/>
                    <w:color w:val="585858"/>
                    <w:spacing w:val="-18"/>
                    <w:w w:val="90"/>
                    <w:sz w:val="24"/>
                  </w:rPr>
                  <w:t> </w:t>
                </w:r>
                <w:r>
                  <w:rPr>
                    <w:i/>
                    <w:color w:val="585858"/>
                    <w:w w:val="90"/>
                    <w:sz w:val="24"/>
                  </w:rPr>
                  <w:t>Autónoma</w:t>
                </w:r>
                <w:r>
                  <w:rPr>
                    <w:i/>
                    <w:color w:val="585858"/>
                    <w:spacing w:val="-17"/>
                    <w:w w:val="90"/>
                    <w:sz w:val="24"/>
                  </w:rPr>
                  <w:t> </w:t>
                </w:r>
                <w:r>
                  <w:rPr>
                    <w:i/>
                    <w:color w:val="585858"/>
                    <w:w w:val="90"/>
                    <w:sz w:val="24"/>
                  </w:rPr>
                  <w:t>del</w:t>
                </w:r>
                <w:r>
                  <w:rPr>
                    <w:i/>
                    <w:color w:val="585858"/>
                    <w:spacing w:val="-18"/>
                    <w:w w:val="90"/>
                    <w:sz w:val="24"/>
                  </w:rPr>
                  <w:t> </w:t>
                </w:r>
                <w:r>
                  <w:rPr>
                    <w:i/>
                    <w:color w:val="585858"/>
                    <w:w w:val="90"/>
                    <w:sz w:val="24"/>
                  </w:rPr>
                  <w:t>Estado</w:t>
                </w:r>
                <w:r>
                  <w:rPr>
                    <w:i/>
                    <w:color w:val="585858"/>
                    <w:spacing w:val="-17"/>
                    <w:w w:val="90"/>
                    <w:sz w:val="24"/>
                  </w:rPr>
                  <w:t> </w:t>
                </w:r>
                <w:r>
                  <w:rPr>
                    <w:i/>
                    <w:color w:val="585858"/>
                    <w:w w:val="90"/>
                    <w:sz w:val="24"/>
                  </w:rPr>
                  <w:t>de</w:t>
                </w:r>
                <w:r>
                  <w:rPr>
                    <w:i/>
                    <w:color w:val="585858"/>
                    <w:spacing w:val="-18"/>
                    <w:w w:val="90"/>
                    <w:sz w:val="24"/>
                  </w:rPr>
                  <w:t> </w:t>
                </w:r>
                <w:r>
                  <w:rPr>
                    <w:i/>
                    <w:color w:val="585858"/>
                    <w:w w:val="90"/>
                    <w:sz w:val="24"/>
                  </w:rPr>
                  <w:t>México</w:t>
                </w:r>
              </w:p>
            </w:txbxContent>
          </v:textbox>
          <w10:wrap type="none"/>
        </v:shape>
      </w:pict>
    </w:r>
    <w:r>
      <w:rPr/>
      <w:pict>
        <v:shape style="position:absolute;margin-left:511.579987pt;margin-top:779.815979pt;width:10.1pt;height:14pt;mso-position-horizontal-relative:page;mso-position-vertical-relative:page;z-index:-76240" type="#_x0000_t202" filled="false" stroked="false">
          <v:textbox inset="0,0,0,0">
            <w:txbxContent>
              <w:p>
                <w:pPr>
                  <w:spacing w:line="264" w:lineRule="exact" w:before="0"/>
                  <w:ind w:left="40" w:right="0" w:firstLine="0"/>
                  <w:jc w:val="left"/>
                  <w:rPr>
                    <w:rFonts w:ascii="Calibri"/>
                    <w:b/>
                    <w:sz w:val="24"/>
                  </w:rPr>
                </w:pPr>
                <w:r>
                  <w:rPr/>
                  <w:fldChar w:fldCharType="begin"/>
                </w:r>
                <w:r>
                  <w:rPr>
                    <w:rFonts w:ascii="Calibri"/>
                    <w:b/>
                    <w:color w:val="585858"/>
                    <w:sz w:val="24"/>
                  </w:rPr>
                  <w:instrText> PAGE </w:instrText>
                </w:r>
                <w:r>
                  <w:rPr/>
                  <w:fldChar w:fldCharType="separate"/>
                </w:r>
                <w:r>
                  <w:rPr/>
                  <w:t>3</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6216" from="507.819977pt,763.656006pt" to="507.819977pt,792.936006pt" stroked="true" strokeweight=".47998pt" strokecolor="#bebebe">
          <w10:wrap type="none"/>
        </v:line>
      </w:pict>
    </w:r>
    <w:r>
      <w:rPr/>
      <w:pict>
        <v:shape style="position:absolute;margin-left:308pt;margin-top:764.060364pt;width:195pt;height:14pt;mso-position-horizontal-relative:page;mso-position-vertical-relative:page;z-index:-76192" type="#_x0000_t202" filled="false" stroked="false">
          <v:textbox inset="0,0,0,0">
            <w:txbxContent>
              <w:p>
                <w:pPr>
                  <w:spacing w:line="245" w:lineRule="exact" w:before="0"/>
                  <w:ind w:left="20" w:right="0" w:firstLine="0"/>
                  <w:jc w:val="left"/>
                  <w:rPr>
                    <w:i/>
                    <w:sz w:val="24"/>
                  </w:rPr>
                </w:pPr>
                <w:r>
                  <w:rPr>
                    <w:i/>
                    <w:color w:val="585858"/>
                    <w:w w:val="90"/>
                    <w:sz w:val="24"/>
                  </w:rPr>
                  <w:t>Universidad</w:t>
                </w:r>
                <w:r>
                  <w:rPr>
                    <w:i/>
                    <w:color w:val="585858"/>
                    <w:spacing w:val="-18"/>
                    <w:w w:val="90"/>
                    <w:sz w:val="24"/>
                  </w:rPr>
                  <w:t> </w:t>
                </w:r>
                <w:r>
                  <w:rPr>
                    <w:i/>
                    <w:color w:val="585858"/>
                    <w:w w:val="90"/>
                    <w:sz w:val="24"/>
                  </w:rPr>
                  <w:t>Autónoma</w:t>
                </w:r>
                <w:r>
                  <w:rPr>
                    <w:i/>
                    <w:color w:val="585858"/>
                    <w:spacing w:val="-17"/>
                    <w:w w:val="90"/>
                    <w:sz w:val="24"/>
                  </w:rPr>
                  <w:t> </w:t>
                </w:r>
                <w:r>
                  <w:rPr>
                    <w:i/>
                    <w:color w:val="585858"/>
                    <w:w w:val="90"/>
                    <w:sz w:val="24"/>
                  </w:rPr>
                  <w:t>del</w:t>
                </w:r>
                <w:r>
                  <w:rPr>
                    <w:i/>
                    <w:color w:val="585858"/>
                    <w:spacing w:val="-18"/>
                    <w:w w:val="90"/>
                    <w:sz w:val="24"/>
                  </w:rPr>
                  <w:t> </w:t>
                </w:r>
                <w:r>
                  <w:rPr>
                    <w:i/>
                    <w:color w:val="585858"/>
                    <w:w w:val="90"/>
                    <w:sz w:val="24"/>
                  </w:rPr>
                  <w:t>Estado</w:t>
                </w:r>
                <w:r>
                  <w:rPr>
                    <w:i/>
                    <w:color w:val="585858"/>
                    <w:spacing w:val="-17"/>
                    <w:w w:val="90"/>
                    <w:sz w:val="24"/>
                  </w:rPr>
                  <w:t> </w:t>
                </w:r>
                <w:r>
                  <w:rPr>
                    <w:i/>
                    <w:color w:val="585858"/>
                    <w:w w:val="90"/>
                    <w:sz w:val="24"/>
                  </w:rPr>
                  <w:t>de</w:t>
                </w:r>
                <w:r>
                  <w:rPr>
                    <w:i/>
                    <w:color w:val="585858"/>
                    <w:spacing w:val="-18"/>
                    <w:w w:val="90"/>
                    <w:sz w:val="24"/>
                  </w:rPr>
                  <w:t> </w:t>
                </w:r>
                <w:r>
                  <w:rPr>
                    <w:i/>
                    <w:color w:val="585858"/>
                    <w:w w:val="90"/>
                    <w:sz w:val="24"/>
                  </w:rPr>
                  <w:t>México</w:t>
                </w:r>
              </w:p>
            </w:txbxContent>
          </v:textbox>
          <w10:wrap type="none"/>
        </v:shape>
      </w:pict>
    </w:r>
    <w:r>
      <w:rPr/>
      <w:pict>
        <v:shape style="position:absolute;margin-left:511.579987pt;margin-top:765.175964pt;width:10.1pt;height:28.65pt;mso-position-horizontal-relative:page;mso-position-vertical-relative:page;z-index:-76168" type="#_x0000_t202" filled="false" stroked="false">
          <v:textbox inset="0,0,0,0">
            <w:txbxContent>
              <w:p>
                <w:pPr>
                  <w:spacing w:line="264" w:lineRule="exact" w:before="0"/>
                  <w:ind w:left="40" w:right="0" w:firstLine="0"/>
                  <w:jc w:val="left"/>
                  <w:rPr>
                    <w:rFonts w:ascii="Calibri"/>
                    <w:b/>
                    <w:sz w:val="24"/>
                  </w:rPr>
                </w:pPr>
                <w:r>
                  <w:rPr>
                    <w:rFonts w:ascii="Calibri"/>
                    <w:b/>
                    <w:color w:val="585858"/>
                    <w:sz w:val="24"/>
                  </w:rPr>
                  <w:t>1</w:t>
                </w:r>
              </w:p>
              <w:p>
                <w:pPr>
                  <w:spacing w:before="0"/>
                  <w:ind w:left="40" w:right="0" w:firstLine="0"/>
                  <w:jc w:val="left"/>
                  <w:rPr>
                    <w:rFonts w:ascii="Calibri"/>
                    <w:b/>
                    <w:sz w:val="24"/>
                  </w:rPr>
                </w:pPr>
                <w:r>
                  <w:rPr/>
                  <w:fldChar w:fldCharType="begin"/>
                </w:r>
                <w:r>
                  <w:rPr>
                    <w:rFonts w:ascii="Calibri"/>
                    <w:b/>
                    <w:color w:val="585858"/>
                    <w:sz w:val="24"/>
                  </w:rPr>
                  <w:instrText> PAGE </w:instrText>
                </w:r>
                <w:r>
                  <w:rPr/>
                  <w:fldChar w:fldCharType="separate"/>
                </w:r>
                <w:r>
                  <w:rPr/>
                  <w:t>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024002pt;margin-top:779.900391pt;width:90.35pt;height:14pt;mso-position-horizontal-relative:page;mso-position-vertical-relative:page;z-index:-76144" type="#_x0000_t202" filled="false" stroked="false">
          <v:textbox inset="0,0,0,0">
            <w:txbxContent>
              <w:p>
                <w:pPr>
                  <w:spacing w:line="245" w:lineRule="exact" w:before="0"/>
                  <w:ind w:left="20" w:right="0" w:firstLine="0"/>
                  <w:jc w:val="left"/>
                  <w:rPr>
                    <w:i/>
                    <w:sz w:val="24"/>
                  </w:rPr>
                </w:pPr>
                <w:r>
                  <w:rPr>
                    <w:i/>
                    <w:w w:val="85"/>
                    <w:sz w:val="24"/>
                  </w:rPr>
                  <w:t>Facultad de Química</w:t>
                </w:r>
              </w:p>
            </w:txbxContent>
          </v:textbox>
          <w10:wrap type="none"/>
        </v:shape>
      </w:pict>
    </w:r>
    <w:r>
      <w:rPr/>
      <w:pict>
        <v:shape style="position:absolute;margin-left:289.720001pt;margin-top:779.639893pt;width:16pt;height:14pt;mso-position-horizontal-relative:page;mso-position-vertical-relative:page;z-index:-761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12</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6096" from="507.819977pt,763.656006pt" to="507.819977pt,792.936006pt" stroked="true" strokeweight=".47998pt" strokecolor="#bebebe">
          <w10:wrap type="none"/>
        </v:line>
      </w:pict>
    </w:r>
    <w:r>
      <w:rPr/>
      <w:pict>
        <v:shape style="position:absolute;margin-left:308pt;margin-top:764.060364pt;width:195pt;height:14pt;mso-position-horizontal-relative:page;mso-position-vertical-relative:page;z-index:-76072" type="#_x0000_t202" filled="false" stroked="false">
          <v:textbox inset="0,0,0,0">
            <w:txbxContent>
              <w:p>
                <w:pPr>
                  <w:spacing w:line="245" w:lineRule="exact" w:before="0"/>
                  <w:ind w:left="20" w:right="0" w:firstLine="0"/>
                  <w:jc w:val="left"/>
                  <w:rPr>
                    <w:i/>
                    <w:sz w:val="24"/>
                  </w:rPr>
                </w:pPr>
                <w:r>
                  <w:rPr>
                    <w:i/>
                    <w:color w:val="585858"/>
                    <w:w w:val="90"/>
                    <w:sz w:val="24"/>
                  </w:rPr>
                  <w:t>Universidad</w:t>
                </w:r>
                <w:r>
                  <w:rPr>
                    <w:i/>
                    <w:color w:val="585858"/>
                    <w:spacing w:val="-18"/>
                    <w:w w:val="90"/>
                    <w:sz w:val="24"/>
                  </w:rPr>
                  <w:t> </w:t>
                </w:r>
                <w:r>
                  <w:rPr>
                    <w:i/>
                    <w:color w:val="585858"/>
                    <w:w w:val="90"/>
                    <w:sz w:val="24"/>
                  </w:rPr>
                  <w:t>Autónoma</w:t>
                </w:r>
                <w:r>
                  <w:rPr>
                    <w:i/>
                    <w:color w:val="585858"/>
                    <w:spacing w:val="-17"/>
                    <w:w w:val="90"/>
                    <w:sz w:val="24"/>
                  </w:rPr>
                  <w:t> </w:t>
                </w:r>
                <w:r>
                  <w:rPr>
                    <w:i/>
                    <w:color w:val="585858"/>
                    <w:w w:val="90"/>
                    <w:sz w:val="24"/>
                  </w:rPr>
                  <w:t>del</w:t>
                </w:r>
                <w:r>
                  <w:rPr>
                    <w:i/>
                    <w:color w:val="585858"/>
                    <w:spacing w:val="-18"/>
                    <w:w w:val="90"/>
                    <w:sz w:val="24"/>
                  </w:rPr>
                  <w:t> </w:t>
                </w:r>
                <w:r>
                  <w:rPr>
                    <w:i/>
                    <w:color w:val="585858"/>
                    <w:w w:val="90"/>
                    <w:sz w:val="24"/>
                  </w:rPr>
                  <w:t>Estado</w:t>
                </w:r>
                <w:r>
                  <w:rPr>
                    <w:i/>
                    <w:color w:val="585858"/>
                    <w:spacing w:val="-17"/>
                    <w:w w:val="90"/>
                    <w:sz w:val="24"/>
                  </w:rPr>
                  <w:t> </w:t>
                </w:r>
                <w:r>
                  <w:rPr>
                    <w:i/>
                    <w:color w:val="585858"/>
                    <w:w w:val="90"/>
                    <w:sz w:val="24"/>
                  </w:rPr>
                  <w:t>de</w:t>
                </w:r>
                <w:r>
                  <w:rPr>
                    <w:i/>
                    <w:color w:val="585858"/>
                    <w:spacing w:val="-18"/>
                    <w:w w:val="90"/>
                    <w:sz w:val="24"/>
                  </w:rPr>
                  <w:t> </w:t>
                </w:r>
                <w:r>
                  <w:rPr>
                    <w:i/>
                    <w:color w:val="585858"/>
                    <w:w w:val="90"/>
                    <w:sz w:val="24"/>
                  </w:rPr>
                  <w:t>México</w:t>
                </w:r>
              </w:p>
            </w:txbxContent>
          </v:textbox>
          <w10:wrap type="none"/>
        </v:shape>
      </w:pict>
    </w:r>
    <w:r>
      <w:rPr/>
      <w:pict>
        <v:shape style="position:absolute;margin-left:512.580017pt;margin-top:765.175964pt;width:8.1pt;height:28.65pt;mso-position-horizontal-relative:page;mso-position-vertical-relative:page;z-index:-76048" type="#_x0000_t202" filled="false" stroked="false">
          <v:textbox inset="0,0,0,0">
            <w:txbxContent>
              <w:p>
                <w:pPr>
                  <w:spacing w:line="264" w:lineRule="exact" w:before="0"/>
                  <w:ind w:left="20" w:right="0" w:firstLine="0"/>
                  <w:jc w:val="left"/>
                  <w:rPr>
                    <w:rFonts w:ascii="Calibri"/>
                    <w:b/>
                    <w:sz w:val="24"/>
                  </w:rPr>
                </w:pPr>
                <w:r>
                  <w:rPr>
                    <w:rFonts w:ascii="Calibri"/>
                    <w:b/>
                    <w:color w:val="585858"/>
                    <w:sz w:val="24"/>
                  </w:rPr>
                  <w:t>2</w:t>
                </w:r>
              </w:p>
              <w:p>
                <w:pPr>
                  <w:spacing w:before="0"/>
                  <w:ind w:left="20" w:right="0" w:firstLine="0"/>
                  <w:jc w:val="left"/>
                  <w:rPr>
                    <w:rFonts w:ascii="Calibri"/>
                    <w:b/>
                    <w:sz w:val="24"/>
                  </w:rPr>
                </w:pPr>
                <w:r>
                  <w:rPr>
                    <w:rFonts w:ascii="Calibri"/>
                    <w:b/>
                    <w:color w:val="585858"/>
                    <w:sz w:val="24"/>
                  </w:rPr>
                  <w:t>1</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024002pt;margin-top:779.900391pt;width:90.35pt;height:14pt;mso-position-horizontal-relative:page;mso-position-vertical-relative:page;z-index:-76024" type="#_x0000_t202" filled="false" stroked="false">
          <v:textbox inset="0,0,0,0">
            <w:txbxContent>
              <w:p>
                <w:pPr>
                  <w:spacing w:line="245" w:lineRule="exact" w:before="0"/>
                  <w:ind w:left="20" w:right="0" w:firstLine="0"/>
                  <w:jc w:val="left"/>
                  <w:rPr>
                    <w:i/>
                    <w:sz w:val="24"/>
                  </w:rPr>
                </w:pPr>
                <w:r>
                  <w:rPr>
                    <w:i/>
                    <w:w w:val="85"/>
                    <w:sz w:val="24"/>
                  </w:rPr>
                  <w:t>Facultad de Química</w:t>
                </w:r>
              </w:p>
            </w:txbxContent>
          </v:textbox>
          <w10:wrap type="none"/>
        </v:shape>
      </w:pict>
    </w:r>
    <w:r>
      <w:rPr/>
      <w:pict>
        <v:shape style="position:absolute;margin-left:289.720001pt;margin-top:779.639893pt;width:16pt;height:14pt;mso-position-horizontal-relative:page;mso-position-vertical-relative:page;z-index:-76000" type="#_x0000_t202" filled="false" stroked="false">
          <v:textbox inset="0,0,0,0">
            <w:txbxContent>
              <w:p>
                <w:pPr>
                  <w:pStyle w:val="BodyText"/>
                  <w:spacing w:line="265" w:lineRule="exact"/>
                  <w:ind w:left="40"/>
                </w:pPr>
                <w:r>
                  <w:rPr/>
                  <w:t>22</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5976" from="507.819977pt,763.656006pt" to="507.819977pt,792.936006pt" stroked="true" strokeweight=".47998pt" strokecolor="#bebebe">
          <w10:wrap type="none"/>
        </v:line>
      </w:pict>
    </w:r>
    <w:r>
      <w:rPr/>
      <w:pict>
        <v:shape style="position:absolute;margin-left:308pt;margin-top:764.060364pt;width:195pt;height:14pt;mso-position-horizontal-relative:page;mso-position-vertical-relative:page;z-index:-75952" type="#_x0000_t202" filled="false" stroked="false">
          <v:textbox inset="0,0,0,0">
            <w:txbxContent>
              <w:p>
                <w:pPr>
                  <w:spacing w:line="245" w:lineRule="exact" w:before="0"/>
                  <w:ind w:left="20" w:right="0" w:firstLine="0"/>
                  <w:jc w:val="left"/>
                  <w:rPr>
                    <w:i/>
                    <w:sz w:val="24"/>
                  </w:rPr>
                </w:pPr>
                <w:r>
                  <w:rPr>
                    <w:i/>
                    <w:color w:val="585858"/>
                    <w:w w:val="90"/>
                    <w:sz w:val="24"/>
                  </w:rPr>
                  <w:t>Universidad</w:t>
                </w:r>
                <w:r>
                  <w:rPr>
                    <w:i/>
                    <w:color w:val="585858"/>
                    <w:spacing w:val="-18"/>
                    <w:w w:val="90"/>
                    <w:sz w:val="24"/>
                  </w:rPr>
                  <w:t> </w:t>
                </w:r>
                <w:r>
                  <w:rPr>
                    <w:i/>
                    <w:color w:val="585858"/>
                    <w:w w:val="90"/>
                    <w:sz w:val="24"/>
                  </w:rPr>
                  <w:t>Autónoma</w:t>
                </w:r>
                <w:r>
                  <w:rPr>
                    <w:i/>
                    <w:color w:val="585858"/>
                    <w:spacing w:val="-17"/>
                    <w:w w:val="90"/>
                    <w:sz w:val="24"/>
                  </w:rPr>
                  <w:t> </w:t>
                </w:r>
                <w:r>
                  <w:rPr>
                    <w:i/>
                    <w:color w:val="585858"/>
                    <w:w w:val="90"/>
                    <w:sz w:val="24"/>
                  </w:rPr>
                  <w:t>del</w:t>
                </w:r>
                <w:r>
                  <w:rPr>
                    <w:i/>
                    <w:color w:val="585858"/>
                    <w:spacing w:val="-18"/>
                    <w:w w:val="90"/>
                    <w:sz w:val="24"/>
                  </w:rPr>
                  <w:t> </w:t>
                </w:r>
                <w:r>
                  <w:rPr>
                    <w:i/>
                    <w:color w:val="585858"/>
                    <w:w w:val="90"/>
                    <w:sz w:val="24"/>
                  </w:rPr>
                  <w:t>Estado</w:t>
                </w:r>
                <w:r>
                  <w:rPr>
                    <w:i/>
                    <w:color w:val="585858"/>
                    <w:spacing w:val="-17"/>
                    <w:w w:val="90"/>
                    <w:sz w:val="24"/>
                  </w:rPr>
                  <w:t> </w:t>
                </w:r>
                <w:r>
                  <w:rPr>
                    <w:i/>
                    <w:color w:val="585858"/>
                    <w:w w:val="90"/>
                    <w:sz w:val="24"/>
                  </w:rPr>
                  <w:t>de</w:t>
                </w:r>
                <w:r>
                  <w:rPr>
                    <w:i/>
                    <w:color w:val="585858"/>
                    <w:spacing w:val="-18"/>
                    <w:w w:val="90"/>
                    <w:sz w:val="24"/>
                  </w:rPr>
                  <w:t> </w:t>
                </w:r>
                <w:r>
                  <w:rPr>
                    <w:i/>
                    <w:color w:val="585858"/>
                    <w:w w:val="90"/>
                    <w:sz w:val="24"/>
                  </w:rPr>
                  <w:t>México</w:t>
                </w:r>
              </w:p>
            </w:txbxContent>
          </v:textbox>
          <w10:wrap type="none"/>
        </v:shape>
      </w:pict>
    </w:r>
    <w:r>
      <w:rPr/>
      <w:pict>
        <v:shape style="position:absolute;margin-left:511.579987pt;margin-top:765.175964pt;width:10.1pt;height:28.65pt;mso-position-horizontal-relative:page;mso-position-vertical-relative:page;z-index:-75928" type="#_x0000_t202" filled="false" stroked="false">
          <v:textbox inset="0,0,0,0">
            <w:txbxContent>
              <w:p>
                <w:pPr>
                  <w:spacing w:line="264" w:lineRule="exact" w:before="0"/>
                  <w:ind w:left="40" w:right="0" w:firstLine="0"/>
                  <w:jc w:val="left"/>
                  <w:rPr>
                    <w:rFonts w:ascii="Calibri"/>
                    <w:b/>
                    <w:sz w:val="24"/>
                  </w:rPr>
                </w:pPr>
                <w:r>
                  <w:rPr>
                    <w:rFonts w:ascii="Calibri"/>
                    <w:b/>
                    <w:color w:val="585858"/>
                    <w:sz w:val="24"/>
                  </w:rPr>
                  <w:t>2</w:t>
                </w:r>
              </w:p>
              <w:p>
                <w:pPr>
                  <w:spacing w:before="0"/>
                  <w:ind w:left="40" w:right="0" w:firstLine="0"/>
                  <w:jc w:val="left"/>
                  <w:rPr>
                    <w:rFonts w:ascii="Calibri"/>
                    <w:b/>
                    <w:sz w:val="24"/>
                  </w:rPr>
                </w:pPr>
                <w:r>
                  <w:rPr/>
                  <w:fldChar w:fldCharType="begin"/>
                </w:r>
                <w:r>
                  <w:rPr>
                    <w:rFonts w:ascii="Calibri"/>
                    <w:b/>
                    <w:color w:val="585858"/>
                    <w:sz w:val="24"/>
                  </w:rPr>
                  <w:instrText> PAGE </w:instrText>
                </w:r>
                <w:r>
                  <w:rPr/>
                  <w:fldChar w:fldCharType="separate"/>
                </w:r>
                <w:r>
                  <w:rPr/>
                  <w:t>3</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1"/>
      <w:numFmt w:val="bullet"/>
      <w:lvlText w:val=""/>
      <w:lvlJc w:val="left"/>
      <w:pPr>
        <w:ind w:left="821" w:hanging="361"/>
      </w:pPr>
      <w:rPr>
        <w:rFonts w:hint="default" w:ascii="Symbol" w:hAnsi="Symbol" w:eastAsia="Symbol" w:cs="Symbol"/>
        <w:w w:val="100"/>
        <w:sz w:val="24"/>
        <w:szCs w:val="24"/>
      </w:rPr>
    </w:lvl>
    <w:lvl w:ilvl="1">
      <w:start w:val="1"/>
      <w:numFmt w:val="bullet"/>
      <w:lvlText w:val="•"/>
      <w:lvlJc w:val="left"/>
      <w:pPr>
        <w:ind w:left="1661" w:hanging="361"/>
      </w:pPr>
      <w:rPr>
        <w:rFonts w:hint="default"/>
      </w:rPr>
    </w:lvl>
    <w:lvl w:ilvl="2">
      <w:start w:val="1"/>
      <w:numFmt w:val="bullet"/>
      <w:lvlText w:val="•"/>
      <w:lvlJc w:val="left"/>
      <w:pPr>
        <w:ind w:left="2503" w:hanging="361"/>
      </w:pPr>
      <w:rPr>
        <w:rFonts w:hint="default"/>
      </w:rPr>
    </w:lvl>
    <w:lvl w:ilvl="3">
      <w:start w:val="1"/>
      <w:numFmt w:val="bullet"/>
      <w:lvlText w:val="•"/>
      <w:lvlJc w:val="left"/>
      <w:pPr>
        <w:ind w:left="3345" w:hanging="361"/>
      </w:pPr>
      <w:rPr>
        <w:rFonts w:hint="default"/>
      </w:rPr>
    </w:lvl>
    <w:lvl w:ilvl="4">
      <w:start w:val="1"/>
      <w:numFmt w:val="bullet"/>
      <w:lvlText w:val="•"/>
      <w:lvlJc w:val="left"/>
      <w:pPr>
        <w:ind w:left="4187" w:hanging="361"/>
      </w:pPr>
      <w:rPr>
        <w:rFonts w:hint="default"/>
      </w:rPr>
    </w:lvl>
    <w:lvl w:ilvl="5">
      <w:start w:val="1"/>
      <w:numFmt w:val="bullet"/>
      <w:lvlText w:val="•"/>
      <w:lvlJc w:val="left"/>
      <w:pPr>
        <w:ind w:left="5029" w:hanging="361"/>
      </w:pPr>
      <w:rPr>
        <w:rFonts w:hint="default"/>
      </w:rPr>
    </w:lvl>
    <w:lvl w:ilvl="6">
      <w:start w:val="1"/>
      <w:numFmt w:val="bullet"/>
      <w:lvlText w:val="•"/>
      <w:lvlJc w:val="left"/>
      <w:pPr>
        <w:ind w:left="5871" w:hanging="361"/>
      </w:pPr>
      <w:rPr>
        <w:rFonts w:hint="default"/>
      </w:rPr>
    </w:lvl>
    <w:lvl w:ilvl="7">
      <w:start w:val="1"/>
      <w:numFmt w:val="bullet"/>
      <w:lvlText w:val="•"/>
      <w:lvlJc w:val="left"/>
      <w:pPr>
        <w:ind w:left="6713" w:hanging="361"/>
      </w:pPr>
      <w:rPr>
        <w:rFonts w:hint="default"/>
      </w:rPr>
    </w:lvl>
    <w:lvl w:ilvl="8">
      <w:start w:val="1"/>
      <w:numFmt w:val="bullet"/>
      <w:lvlText w:val="•"/>
      <w:lvlJc w:val="left"/>
      <w:pPr>
        <w:ind w:left="7555" w:hanging="361"/>
      </w:pPr>
      <w:rPr>
        <w:rFonts w:hint="default"/>
      </w:rPr>
    </w:lvl>
  </w:abstractNum>
  <w:abstractNum w:abstractNumId="10">
    <w:multiLevelType w:val="hybridMultilevel"/>
    <w:lvl w:ilvl="0">
      <w:start w:val="1"/>
      <w:numFmt w:val="bullet"/>
      <w:lvlText w:val=""/>
      <w:lvlJc w:val="left"/>
      <w:pPr>
        <w:ind w:left="210" w:hanging="173"/>
      </w:pPr>
      <w:rPr>
        <w:rFonts w:hint="default" w:ascii="Symbol" w:hAnsi="Symbol" w:eastAsia="Symbol" w:cs="Symbol"/>
        <w:w w:val="101"/>
        <w:sz w:val="25"/>
        <w:szCs w:val="25"/>
      </w:rPr>
    </w:lvl>
    <w:lvl w:ilvl="1">
      <w:start w:val="1"/>
      <w:numFmt w:val="bullet"/>
      <w:lvlText w:val="•"/>
      <w:lvlJc w:val="left"/>
      <w:pPr>
        <w:ind w:left="256" w:hanging="173"/>
      </w:pPr>
      <w:rPr>
        <w:rFonts w:hint="default"/>
      </w:rPr>
    </w:lvl>
    <w:lvl w:ilvl="2">
      <w:start w:val="1"/>
      <w:numFmt w:val="bullet"/>
      <w:lvlText w:val="•"/>
      <w:lvlJc w:val="left"/>
      <w:pPr>
        <w:ind w:left="293" w:hanging="173"/>
      </w:pPr>
      <w:rPr>
        <w:rFonts w:hint="default"/>
      </w:rPr>
    </w:lvl>
    <w:lvl w:ilvl="3">
      <w:start w:val="1"/>
      <w:numFmt w:val="bullet"/>
      <w:lvlText w:val="•"/>
      <w:lvlJc w:val="left"/>
      <w:pPr>
        <w:ind w:left="330" w:hanging="173"/>
      </w:pPr>
      <w:rPr>
        <w:rFonts w:hint="default"/>
      </w:rPr>
    </w:lvl>
    <w:lvl w:ilvl="4">
      <w:start w:val="1"/>
      <w:numFmt w:val="bullet"/>
      <w:lvlText w:val="•"/>
      <w:lvlJc w:val="left"/>
      <w:pPr>
        <w:ind w:left="367" w:hanging="173"/>
      </w:pPr>
      <w:rPr>
        <w:rFonts w:hint="default"/>
      </w:rPr>
    </w:lvl>
    <w:lvl w:ilvl="5">
      <w:start w:val="1"/>
      <w:numFmt w:val="bullet"/>
      <w:lvlText w:val="•"/>
      <w:lvlJc w:val="left"/>
      <w:pPr>
        <w:ind w:left="404" w:hanging="173"/>
      </w:pPr>
      <w:rPr>
        <w:rFonts w:hint="default"/>
      </w:rPr>
    </w:lvl>
    <w:lvl w:ilvl="6">
      <w:start w:val="1"/>
      <w:numFmt w:val="bullet"/>
      <w:lvlText w:val="•"/>
      <w:lvlJc w:val="left"/>
      <w:pPr>
        <w:ind w:left="441" w:hanging="173"/>
      </w:pPr>
      <w:rPr>
        <w:rFonts w:hint="default"/>
      </w:rPr>
    </w:lvl>
    <w:lvl w:ilvl="7">
      <w:start w:val="1"/>
      <w:numFmt w:val="bullet"/>
      <w:lvlText w:val="•"/>
      <w:lvlJc w:val="left"/>
      <w:pPr>
        <w:ind w:left="478" w:hanging="173"/>
      </w:pPr>
      <w:rPr>
        <w:rFonts w:hint="default"/>
      </w:rPr>
    </w:lvl>
    <w:lvl w:ilvl="8">
      <w:start w:val="1"/>
      <w:numFmt w:val="bullet"/>
      <w:lvlText w:val="•"/>
      <w:lvlJc w:val="left"/>
      <w:pPr>
        <w:ind w:left="515" w:hanging="173"/>
      </w:pPr>
      <w:rPr>
        <w:rFonts w:hint="default"/>
      </w:rPr>
    </w:lvl>
  </w:abstractNum>
  <w:abstractNum w:abstractNumId="9">
    <w:multiLevelType w:val="hybridMultilevel"/>
    <w:lvl w:ilvl="0">
      <w:start w:val="1"/>
      <w:numFmt w:val="decimal"/>
      <w:lvlText w:val="%1."/>
      <w:lvlJc w:val="left"/>
      <w:pPr>
        <w:ind w:left="387" w:hanging="288"/>
        <w:jc w:val="left"/>
      </w:pPr>
      <w:rPr>
        <w:rFonts w:hint="default" w:ascii="Times New Roman" w:hAnsi="Times New Roman" w:eastAsia="Times New Roman" w:cs="Times New Roman"/>
        <w:b/>
        <w:bCs/>
        <w:spacing w:val="-27"/>
        <w:w w:val="99"/>
        <w:sz w:val="24"/>
        <w:szCs w:val="24"/>
      </w:rPr>
    </w:lvl>
    <w:lvl w:ilvl="1">
      <w:start w:val="1"/>
      <w:numFmt w:val="decimal"/>
      <w:lvlText w:val="%1.%2."/>
      <w:lvlJc w:val="left"/>
      <w:pPr>
        <w:ind w:left="618" w:hanging="498"/>
        <w:jc w:val="left"/>
      </w:pPr>
      <w:rPr>
        <w:rFonts w:hint="default" w:ascii="Times New Roman" w:hAnsi="Times New Roman" w:eastAsia="Times New Roman" w:cs="Times New Roman"/>
        <w:i/>
        <w:spacing w:val="-27"/>
        <w:w w:val="99"/>
        <w:sz w:val="24"/>
        <w:szCs w:val="24"/>
      </w:rPr>
    </w:lvl>
    <w:lvl w:ilvl="2">
      <w:start w:val="1"/>
      <w:numFmt w:val="decimal"/>
      <w:lvlText w:val="%1.%2.%3."/>
      <w:lvlJc w:val="left"/>
      <w:pPr>
        <w:ind w:left="724" w:hanging="604"/>
        <w:jc w:val="left"/>
      </w:pPr>
      <w:rPr>
        <w:rFonts w:hint="default" w:ascii="Times New Roman" w:hAnsi="Times New Roman" w:eastAsia="Times New Roman" w:cs="Times New Roman"/>
        <w:i/>
        <w:spacing w:val="-5"/>
        <w:w w:val="100"/>
        <w:sz w:val="24"/>
        <w:szCs w:val="24"/>
      </w:rPr>
    </w:lvl>
    <w:lvl w:ilvl="3">
      <w:start w:val="1"/>
      <w:numFmt w:val="bullet"/>
      <w:lvlText w:val="•"/>
      <w:lvlJc w:val="left"/>
      <w:pPr>
        <w:ind w:left="720" w:hanging="604"/>
      </w:pPr>
      <w:rPr>
        <w:rFonts w:hint="default"/>
      </w:rPr>
    </w:lvl>
    <w:lvl w:ilvl="4">
      <w:start w:val="1"/>
      <w:numFmt w:val="bullet"/>
      <w:lvlText w:val="•"/>
      <w:lvlJc w:val="left"/>
      <w:pPr>
        <w:ind w:left="1937" w:hanging="604"/>
      </w:pPr>
      <w:rPr>
        <w:rFonts w:hint="default"/>
      </w:rPr>
    </w:lvl>
    <w:lvl w:ilvl="5">
      <w:start w:val="1"/>
      <w:numFmt w:val="bullet"/>
      <w:lvlText w:val="•"/>
      <w:lvlJc w:val="left"/>
      <w:pPr>
        <w:ind w:left="3154" w:hanging="604"/>
      </w:pPr>
      <w:rPr>
        <w:rFonts w:hint="default"/>
      </w:rPr>
    </w:lvl>
    <w:lvl w:ilvl="6">
      <w:start w:val="1"/>
      <w:numFmt w:val="bullet"/>
      <w:lvlText w:val="•"/>
      <w:lvlJc w:val="left"/>
      <w:pPr>
        <w:ind w:left="4371" w:hanging="604"/>
      </w:pPr>
      <w:rPr>
        <w:rFonts w:hint="default"/>
      </w:rPr>
    </w:lvl>
    <w:lvl w:ilvl="7">
      <w:start w:val="1"/>
      <w:numFmt w:val="bullet"/>
      <w:lvlText w:val="•"/>
      <w:lvlJc w:val="left"/>
      <w:pPr>
        <w:ind w:left="5588" w:hanging="604"/>
      </w:pPr>
      <w:rPr>
        <w:rFonts w:hint="default"/>
      </w:rPr>
    </w:lvl>
    <w:lvl w:ilvl="8">
      <w:start w:val="1"/>
      <w:numFmt w:val="bullet"/>
      <w:lvlText w:val="•"/>
      <w:lvlJc w:val="left"/>
      <w:pPr>
        <w:ind w:left="6805" w:hanging="604"/>
      </w:pPr>
      <w:rPr>
        <w:rFonts w:hint="default"/>
      </w:rPr>
    </w:lvl>
  </w:abstractNum>
  <w:abstractNum w:abstractNumId="8">
    <w:multiLevelType w:val="hybridMultilevel"/>
    <w:lvl w:ilvl="0">
      <w:start w:val="5"/>
      <w:numFmt w:val="decimal"/>
      <w:lvlText w:val="%1"/>
      <w:lvlJc w:val="left"/>
      <w:pPr>
        <w:ind w:left="677" w:hanging="577"/>
        <w:jc w:val="left"/>
      </w:pPr>
      <w:rPr>
        <w:rFonts w:hint="default"/>
      </w:rPr>
    </w:lvl>
    <w:lvl w:ilvl="1">
      <w:start w:val="1"/>
      <w:numFmt w:val="decimal"/>
      <w:lvlText w:val="%1.%2"/>
      <w:lvlJc w:val="left"/>
      <w:pPr>
        <w:ind w:left="677" w:hanging="577"/>
        <w:jc w:val="left"/>
      </w:pPr>
      <w:rPr>
        <w:rFonts w:hint="default" w:ascii="Times New Roman" w:hAnsi="Times New Roman" w:eastAsia="Times New Roman" w:cs="Times New Roman"/>
        <w:b/>
        <w:bCs/>
        <w:spacing w:val="-26"/>
        <w:w w:val="99"/>
        <w:sz w:val="24"/>
        <w:szCs w:val="24"/>
      </w:rPr>
    </w:lvl>
    <w:lvl w:ilvl="2">
      <w:start w:val="1"/>
      <w:numFmt w:val="decimal"/>
      <w:lvlText w:val="%1.%2.%3"/>
      <w:lvlJc w:val="left"/>
      <w:pPr>
        <w:ind w:left="821" w:hanging="721"/>
        <w:jc w:val="left"/>
      </w:pPr>
      <w:rPr>
        <w:rFonts w:hint="default" w:ascii="Times New Roman" w:hAnsi="Times New Roman" w:eastAsia="Times New Roman" w:cs="Times New Roman"/>
        <w:b/>
        <w:bCs/>
        <w:spacing w:val="-6"/>
        <w:w w:val="99"/>
        <w:sz w:val="24"/>
        <w:szCs w:val="24"/>
      </w:rPr>
    </w:lvl>
    <w:lvl w:ilvl="3">
      <w:start w:val="1"/>
      <w:numFmt w:val="bullet"/>
      <w:lvlText w:val="•"/>
      <w:lvlJc w:val="left"/>
      <w:pPr>
        <w:ind w:left="2690" w:hanging="721"/>
      </w:pPr>
      <w:rPr>
        <w:rFonts w:hint="default"/>
      </w:rPr>
    </w:lvl>
    <w:lvl w:ilvl="4">
      <w:start w:val="1"/>
      <w:numFmt w:val="bullet"/>
      <w:lvlText w:val="•"/>
      <w:lvlJc w:val="left"/>
      <w:pPr>
        <w:ind w:left="3626" w:hanging="721"/>
      </w:pPr>
      <w:rPr>
        <w:rFonts w:hint="default"/>
      </w:rPr>
    </w:lvl>
    <w:lvl w:ilvl="5">
      <w:start w:val="1"/>
      <w:numFmt w:val="bullet"/>
      <w:lvlText w:val="•"/>
      <w:lvlJc w:val="left"/>
      <w:pPr>
        <w:ind w:left="4561" w:hanging="721"/>
      </w:pPr>
      <w:rPr>
        <w:rFonts w:hint="default"/>
      </w:rPr>
    </w:lvl>
    <w:lvl w:ilvl="6">
      <w:start w:val="1"/>
      <w:numFmt w:val="bullet"/>
      <w:lvlText w:val="•"/>
      <w:lvlJc w:val="left"/>
      <w:pPr>
        <w:ind w:left="5497" w:hanging="721"/>
      </w:pPr>
      <w:rPr>
        <w:rFonts w:hint="default"/>
      </w:rPr>
    </w:lvl>
    <w:lvl w:ilvl="7">
      <w:start w:val="1"/>
      <w:numFmt w:val="bullet"/>
      <w:lvlText w:val="•"/>
      <w:lvlJc w:val="left"/>
      <w:pPr>
        <w:ind w:left="6432" w:hanging="721"/>
      </w:pPr>
      <w:rPr>
        <w:rFonts w:hint="default"/>
      </w:rPr>
    </w:lvl>
    <w:lvl w:ilvl="8">
      <w:start w:val="1"/>
      <w:numFmt w:val="bullet"/>
      <w:lvlText w:val="•"/>
      <w:lvlJc w:val="left"/>
      <w:pPr>
        <w:ind w:left="7368" w:hanging="721"/>
      </w:pPr>
      <w:rPr>
        <w:rFonts w:hint="default"/>
      </w:rPr>
    </w:lvl>
  </w:abstractNum>
  <w:abstractNum w:abstractNumId="7">
    <w:multiLevelType w:val="hybridMultilevel"/>
    <w:lvl w:ilvl="0">
      <w:start w:val="4"/>
      <w:numFmt w:val="decimal"/>
      <w:lvlText w:val="%1"/>
      <w:lvlJc w:val="left"/>
      <w:pPr>
        <w:ind w:left="677" w:hanging="577"/>
        <w:jc w:val="right"/>
      </w:pPr>
      <w:rPr>
        <w:rFonts w:hint="default"/>
      </w:rPr>
    </w:lvl>
    <w:lvl w:ilvl="1">
      <w:start w:val="1"/>
      <w:numFmt w:val="decimal"/>
      <w:lvlText w:val="%1.%2"/>
      <w:lvlJc w:val="left"/>
      <w:pPr>
        <w:ind w:left="677" w:hanging="577"/>
        <w:jc w:val="left"/>
      </w:pPr>
      <w:rPr>
        <w:rFonts w:hint="default" w:ascii="Times New Roman" w:hAnsi="Times New Roman" w:eastAsia="Times New Roman" w:cs="Times New Roman"/>
        <w:b/>
        <w:bCs/>
        <w:spacing w:val="-3"/>
        <w:w w:val="99"/>
        <w:sz w:val="24"/>
        <w:szCs w:val="24"/>
      </w:rPr>
    </w:lvl>
    <w:lvl w:ilvl="2">
      <w:start w:val="1"/>
      <w:numFmt w:val="bullet"/>
      <w:lvlText w:val=""/>
      <w:lvlJc w:val="left"/>
      <w:pPr>
        <w:ind w:left="821" w:hanging="361"/>
      </w:pPr>
      <w:rPr>
        <w:rFonts w:hint="default" w:ascii="Symbol" w:hAnsi="Symbol" w:eastAsia="Symbol" w:cs="Symbol"/>
        <w:w w:val="100"/>
        <w:sz w:val="24"/>
        <w:szCs w:val="24"/>
      </w:rPr>
    </w:lvl>
    <w:lvl w:ilvl="3">
      <w:start w:val="1"/>
      <w:numFmt w:val="bullet"/>
      <w:lvlText w:val="•"/>
      <w:lvlJc w:val="left"/>
      <w:pPr>
        <w:ind w:left="2690" w:hanging="361"/>
      </w:pPr>
      <w:rPr>
        <w:rFonts w:hint="default"/>
      </w:rPr>
    </w:lvl>
    <w:lvl w:ilvl="4">
      <w:start w:val="1"/>
      <w:numFmt w:val="bullet"/>
      <w:lvlText w:val="•"/>
      <w:lvlJc w:val="left"/>
      <w:pPr>
        <w:ind w:left="3626" w:hanging="361"/>
      </w:pPr>
      <w:rPr>
        <w:rFonts w:hint="default"/>
      </w:rPr>
    </w:lvl>
    <w:lvl w:ilvl="5">
      <w:start w:val="1"/>
      <w:numFmt w:val="bullet"/>
      <w:lvlText w:val="•"/>
      <w:lvlJc w:val="left"/>
      <w:pPr>
        <w:ind w:left="4561" w:hanging="361"/>
      </w:pPr>
      <w:rPr>
        <w:rFonts w:hint="default"/>
      </w:rPr>
    </w:lvl>
    <w:lvl w:ilvl="6">
      <w:start w:val="1"/>
      <w:numFmt w:val="bullet"/>
      <w:lvlText w:val="•"/>
      <w:lvlJc w:val="left"/>
      <w:pPr>
        <w:ind w:left="5497" w:hanging="361"/>
      </w:pPr>
      <w:rPr>
        <w:rFonts w:hint="default"/>
      </w:rPr>
    </w:lvl>
    <w:lvl w:ilvl="7">
      <w:start w:val="1"/>
      <w:numFmt w:val="bullet"/>
      <w:lvlText w:val="•"/>
      <w:lvlJc w:val="left"/>
      <w:pPr>
        <w:ind w:left="6432" w:hanging="361"/>
      </w:pPr>
      <w:rPr>
        <w:rFonts w:hint="default"/>
      </w:rPr>
    </w:lvl>
    <w:lvl w:ilvl="8">
      <w:start w:val="1"/>
      <w:numFmt w:val="bullet"/>
      <w:lvlText w:val="•"/>
      <w:lvlJc w:val="left"/>
      <w:pPr>
        <w:ind w:left="7368" w:hanging="361"/>
      </w:pPr>
      <w:rPr>
        <w:rFonts w:hint="default"/>
      </w:rPr>
    </w:lvl>
  </w:abstractNum>
  <w:abstractNum w:abstractNumId="6">
    <w:multiLevelType w:val="hybridMultilevel"/>
    <w:lvl w:ilvl="0">
      <w:start w:val="1"/>
      <w:numFmt w:val="bullet"/>
      <w:lvlText w:val=""/>
      <w:lvlJc w:val="left"/>
      <w:pPr>
        <w:ind w:left="821" w:hanging="361"/>
      </w:pPr>
      <w:rPr>
        <w:rFonts w:hint="default" w:ascii="Symbol" w:hAnsi="Symbol" w:eastAsia="Symbol" w:cs="Symbol"/>
        <w:w w:val="100"/>
        <w:sz w:val="24"/>
        <w:szCs w:val="24"/>
      </w:rPr>
    </w:lvl>
    <w:lvl w:ilvl="1">
      <w:start w:val="1"/>
      <w:numFmt w:val="bullet"/>
      <w:lvlText w:val="•"/>
      <w:lvlJc w:val="left"/>
      <w:pPr>
        <w:ind w:left="1661" w:hanging="361"/>
      </w:pPr>
      <w:rPr>
        <w:rFonts w:hint="default"/>
      </w:rPr>
    </w:lvl>
    <w:lvl w:ilvl="2">
      <w:start w:val="1"/>
      <w:numFmt w:val="bullet"/>
      <w:lvlText w:val="•"/>
      <w:lvlJc w:val="left"/>
      <w:pPr>
        <w:ind w:left="2503" w:hanging="361"/>
      </w:pPr>
      <w:rPr>
        <w:rFonts w:hint="default"/>
      </w:rPr>
    </w:lvl>
    <w:lvl w:ilvl="3">
      <w:start w:val="1"/>
      <w:numFmt w:val="bullet"/>
      <w:lvlText w:val="•"/>
      <w:lvlJc w:val="left"/>
      <w:pPr>
        <w:ind w:left="3345" w:hanging="361"/>
      </w:pPr>
      <w:rPr>
        <w:rFonts w:hint="default"/>
      </w:rPr>
    </w:lvl>
    <w:lvl w:ilvl="4">
      <w:start w:val="1"/>
      <w:numFmt w:val="bullet"/>
      <w:lvlText w:val="•"/>
      <w:lvlJc w:val="left"/>
      <w:pPr>
        <w:ind w:left="4187" w:hanging="361"/>
      </w:pPr>
      <w:rPr>
        <w:rFonts w:hint="default"/>
      </w:rPr>
    </w:lvl>
    <w:lvl w:ilvl="5">
      <w:start w:val="1"/>
      <w:numFmt w:val="bullet"/>
      <w:lvlText w:val="•"/>
      <w:lvlJc w:val="left"/>
      <w:pPr>
        <w:ind w:left="5029" w:hanging="361"/>
      </w:pPr>
      <w:rPr>
        <w:rFonts w:hint="default"/>
      </w:rPr>
    </w:lvl>
    <w:lvl w:ilvl="6">
      <w:start w:val="1"/>
      <w:numFmt w:val="bullet"/>
      <w:lvlText w:val="•"/>
      <w:lvlJc w:val="left"/>
      <w:pPr>
        <w:ind w:left="5871" w:hanging="361"/>
      </w:pPr>
      <w:rPr>
        <w:rFonts w:hint="default"/>
      </w:rPr>
    </w:lvl>
    <w:lvl w:ilvl="7">
      <w:start w:val="1"/>
      <w:numFmt w:val="bullet"/>
      <w:lvlText w:val="•"/>
      <w:lvlJc w:val="left"/>
      <w:pPr>
        <w:ind w:left="6713" w:hanging="361"/>
      </w:pPr>
      <w:rPr>
        <w:rFonts w:hint="default"/>
      </w:rPr>
    </w:lvl>
    <w:lvl w:ilvl="8">
      <w:start w:val="1"/>
      <w:numFmt w:val="bullet"/>
      <w:lvlText w:val="•"/>
      <w:lvlJc w:val="left"/>
      <w:pPr>
        <w:ind w:left="7555" w:hanging="361"/>
      </w:pPr>
      <w:rPr>
        <w:rFonts w:hint="default"/>
      </w:rPr>
    </w:lvl>
  </w:abstractNum>
  <w:abstractNum w:abstractNumId="5">
    <w:multiLevelType w:val="hybridMultilevel"/>
    <w:lvl w:ilvl="0">
      <w:start w:val="1"/>
      <w:numFmt w:val="decimal"/>
      <w:lvlText w:val="%1"/>
      <w:lvlJc w:val="left"/>
      <w:pPr>
        <w:ind w:left="677" w:hanging="577"/>
        <w:jc w:val="right"/>
      </w:pPr>
      <w:rPr>
        <w:rFonts w:hint="default"/>
      </w:rPr>
    </w:lvl>
    <w:lvl w:ilvl="1">
      <w:start w:val="4"/>
      <w:numFmt w:val="decimal"/>
      <w:lvlText w:val="%1.%2"/>
      <w:lvlJc w:val="left"/>
      <w:pPr>
        <w:ind w:left="677" w:hanging="577"/>
        <w:jc w:val="left"/>
      </w:pPr>
      <w:rPr>
        <w:rFonts w:hint="default" w:ascii="Times New Roman" w:hAnsi="Times New Roman" w:eastAsia="Times New Roman" w:cs="Times New Roman"/>
        <w:b/>
        <w:bCs/>
        <w:spacing w:val="-26"/>
        <w:w w:val="99"/>
        <w:sz w:val="24"/>
        <w:szCs w:val="24"/>
      </w:rPr>
    </w:lvl>
    <w:lvl w:ilvl="2">
      <w:start w:val="1"/>
      <w:numFmt w:val="decimal"/>
      <w:lvlText w:val="%1.%2.%3"/>
      <w:lvlJc w:val="left"/>
      <w:pPr>
        <w:ind w:left="821" w:hanging="721"/>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2690" w:hanging="721"/>
      </w:pPr>
      <w:rPr>
        <w:rFonts w:hint="default"/>
      </w:rPr>
    </w:lvl>
    <w:lvl w:ilvl="4">
      <w:start w:val="1"/>
      <w:numFmt w:val="bullet"/>
      <w:lvlText w:val="•"/>
      <w:lvlJc w:val="left"/>
      <w:pPr>
        <w:ind w:left="3626" w:hanging="721"/>
      </w:pPr>
      <w:rPr>
        <w:rFonts w:hint="default"/>
      </w:rPr>
    </w:lvl>
    <w:lvl w:ilvl="5">
      <w:start w:val="1"/>
      <w:numFmt w:val="bullet"/>
      <w:lvlText w:val="•"/>
      <w:lvlJc w:val="left"/>
      <w:pPr>
        <w:ind w:left="4561" w:hanging="721"/>
      </w:pPr>
      <w:rPr>
        <w:rFonts w:hint="default"/>
      </w:rPr>
    </w:lvl>
    <w:lvl w:ilvl="6">
      <w:start w:val="1"/>
      <w:numFmt w:val="bullet"/>
      <w:lvlText w:val="•"/>
      <w:lvlJc w:val="left"/>
      <w:pPr>
        <w:ind w:left="5497" w:hanging="721"/>
      </w:pPr>
      <w:rPr>
        <w:rFonts w:hint="default"/>
      </w:rPr>
    </w:lvl>
    <w:lvl w:ilvl="7">
      <w:start w:val="1"/>
      <w:numFmt w:val="bullet"/>
      <w:lvlText w:val="•"/>
      <w:lvlJc w:val="left"/>
      <w:pPr>
        <w:ind w:left="6432" w:hanging="721"/>
      </w:pPr>
      <w:rPr>
        <w:rFonts w:hint="default"/>
      </w:rPr>
    </w:lvl>
    <w:lvl w:ilvl="8">
      <w:start w:val="1"/>
      <w:numFmt w:val="bullet"/>
      <w:lvlText w:val="•"/>
      <w:lvlJc w:val="left"/>
      <w:pPr>
        <w:ind w:left="7368" w:hanging="721"/>
      </w:pPr>
      <w:rPr>
        <w:rFonts w:hint="default"/>
      </w:rPr>
    </w:lvl>
  </w:abstractNum>
  <w:abstractNum w:abstractNumId="4">
    <w:multiLevelType w:val="hybridMultilevel"/>
    <w:lvl w:ilvl="0">
      <w:start w:val="1"/>
      <w:numFmt w:val="bullet"/>
      <w:lvlText w:val=""/>
      <w:lvlJc w:val="left"/>
      <w:pPr>
        <w:ind w:left="821" w:hanging="361"/>
      </w:pPr>
      <w:rPr>
        <w:rFonts w:hint="default" w:ascii="Symbol" w:hAnsi="Symbol" w:eastAsia="Symbol" w:cs="Symbol"/>
        <w:w w:val="100"/>
        <w:sz w:val="24"/>
        <w:szCs w:val="24"/>
      </w:rPr>
    </w:lvl>
    <w:lvl w:ilvl="1">
      <w:start w:val="1"/>
      <w:numFmt w:val="bullet"/>
      <w:lvlText w:val="•"/>
      <w:lvlJc w:val="left"/>
      <w:pPr>
        <w:ind w:left="1661" w:hanging="361"/>
      </w:pPr>
      <w:rPr>
        <w:rFonts w:hint="default"/>
      </w:rPr>
    </w:lvl>
    <w:lvl w:ilvl="2">
      <w:start w:val="1"/>
      <w:numFmt w:val="bullet"/>
      <w:lvlText w:val="•"/>
      <w:lvlJc w:val="left"/>
      <w:pPr>
        <w:ind w:left="2503" w:hanging="361"/>
      </w:pPr>
      <w:rPr>
        <w:rFonts w:hint="default"/>
      </w:rPr>
    </w:lvl>
    <w:lvl w:ilvl="3">
      <w:start w:val="1"/>
      <w:numFmt w:val="bullet"/>
      <w:lvlText w:val="•"/>
      <w:lvlJc w:val="left"/>
      <w:pPr>
        <w:ind w:left="3345" w:hanging="361"/>
      </w:pPr>
      <w:rPr>
        <w:rFonts w:hint="default"/>
      </w:rPr>
    </w:lvl>
    <w:lvl w:ilvl="4">
      <w:start w:val="1"/>
      <w:numFmt w:val="bullet"/>
      <w:lvlText w:val="•"/>
      <w:lvlJc w:val="left"/>
      <w:pPr>
        <w:ind w:left="4187" w:hanging="361"/>
      </w:pPr>
      <w:rPr>
        <w:rFonts w:hint="default"/>
      </w:rPr>
    </w:lvl>
    <w:lvl w:ilvl="5">
      <w:start w:val="1"/>
      <w:numFmt w:val="bullet"/>
      <w:lvlText w:val="•"/>
      <w:lvlJc w:val="left"/>
      <w:pPr>
        <w:ind w:left="5029" w:hanging="361"/>
      </w:pPr>
      <w:rPr>
        <w:rFonts w:hint="default"/>
      </w:rPr>
    </w:lvl>
    <w:lvl w:ilvl="6">
      <w:start w:val="1"/>
      <w:numFmt w:val="bullet"/>
      <w:lvlText w:val="•"/>
      <w:lvlJc w:val="left"/>
      <w:pPr>
        <w:ind w:left="5871" w:hanging="361"/>
      </w:pPr>
      <w:rPr>
        <w:rFonts w:hint="default"/>
      </w:rPr>
    </w:lvl>
    <w:lvl w:ilvl="7">
      <w:start w:val="1"/>
      <w:numFmt w:val="bullet"/>
      <w:lvlText w:val="•"/>
      <w:lvlJc w:val="left"/>
      <w:pPr>
        <w:ind w:left="6713" w:hanging="361"/>
      </w:pPr>
      <w:rPr>
        <w:rFonts w:hint="default"/>
      </w:rPr>
    </w:lvl>
    <w:lvl w:ilvl="8">
      <w:start w:val="1"/>
      <w:numFmt w:val="bullet"/>
      <w:lvlText w:val="•"/>
      <w:lvlJc w:val="left"/>
      <w:pPr>
        <w:ind w:left="7555" w:hanging="361"/>
      </w:pPr>
      <w:rPr>
        <w:rFonts w:hint="default"/>
      </w:rPr>
    </w:lvl>
  </w:abstractNum>
  <w:abstractNum w:abstractNumId="3">
    <w:multiLevelType w:val="hybridMultilevel"/>
    <w:lvl w:ilvl="0">
      <w:start w:val="1"/>
      <w:numFmt w:val="decimal"/>
      <w:lvlText w:val="%1"/>
      <w:lvlJc w:val="left"/>
      <w:pPr>
        <w:ind w:left="677" w:hanging="577"/>
        <w:jc w:val="left"/>
      </w:pPr>
      <w:rPr>
        <w:rFonts w:hint="default"/>
      </w:rPr>
    </w:lvl>
    <w:lvl w:ilvl="1">
      <w:start w:val="1"/>
      <w:numFmt w:val="decimal"/>
      <w:lvlText w:val="%1.%2"/>
      <w:lvlJc w:val="left"/>
      <w:pPr>
        <w:ind w:left="677" w:hanging="577"/>
        <w:jc w:val="left"/>
      </w:pPr>
      <w:rPr>
        <w:rFonts w:hint="default" w:ascii="Times New Roman" w:hAnsi="Times New Roman" w:eastAsia="Times New Roman" w:cs="Times New Roman"/>
        <w:b/>
        <w:bCs/>
        <w:spacing w:val="-26"/>
        <w:w w:val="99"/>
        <w:sz w:val="24"/>
        <w:szCs w:val="24"/>
      </w:rPr>
    </w:lvl>
    <w:lvl w:ilvl="2">
      <w:start w:val="1"/>
      <w:numFmt w:val="decimal"/>
      <w:lvlText w:val="%1.%2.%3"/>
      <w:lvlJc w:val="left"/>
      <w:pPr>
        <w:ind w:left="821" w:hanging="721"/>
        <w:jc w:val="left"/>
      </w:pPr>
      <w:rPr>
        <w:rFonts w:hint="default" w:ascii="Times New Roman" w:hAnsi="Times New Roman" w:eastAsia="Times New Roman" w:cs="Times New Roman"/>
        <w:b/>
        <w:bCs/>
        <w:spacing w:val="-6"/>
        <w:w w:val="99"/>
        <w:sz w:val="24"/>
        <w:szCs w:val="24"/>
      </w:rPr>
    </w:lvl>
    <w:lvl w:ilvl="3">
      <w:start w:val="1"/>
      <w:numFmt w:val="bullet"/>
      <w:lvlText w:val="•"/>
      <w:lvlJc w:val="left"/>
      <w:pPr>
        <w:ind w:left="2690" w:hanging="721"/>
      </w:pPr>
      <w:rPr>
        <w:rFonts w:hint="default"/>
      </w:rPr>
    </w:lvl>
    <w:lvl w:ilvl="4">
      <w:start w:val="1"/>
      <w:numFmt w:val="bullet"/>
      <w:lvlText w:val="•"/>
      <w:lvlJc w:val="left"/>
      <w:pPr>
        <w:ind w:left="3626" w:hanging="721"/>
      </w:pPr>
      <w:rPr>
        <w:rFonts w:hint="default"/>
      </w:rPr>
    </w:lvl>
    <w:lvl w:ilvl="5">
      <w:start w:val="1"/>
      <w:numFmt w:val="bullet"/>
      <w:lvlText w:val="•"/>
      <w:lvlJc w:val="left"/>
      <w:pPr>
        <w:ind w:left="4561" w:hanging="721"/>
      </w:pPr>
      <w:rPr>
        <w:rFonts w:hint="default"/>
      </w:rPr>
    </w:lvl>
    <w:lvl w:ilvl="6">
      <w:start w:val="1"/>
      <w:numFmt w:val="bullet"/>
      <w:lvlText w:val="•"/>
      <w:lvlJc w:val="left"/>
      <w:pPr>
        <w:ind w:left="5497" w:hanging="721"/>
      </w:pPr>
      <w:rPr>
        <w:rFonts w:hint="default"/>
      </w:rPr>
    </w:lvl>
    <w:lvl w:ilvl="7">
      <w:start w:val="1"/>
      <w:numFmt w:val="bullet"/>
      <w:lvlText w:val="•"/>
      <w:lvlJc w:val="left"/>
      <w:pPr>
        <w:ind w:left="6432" w:hanging="721"/>
      </w:pPr>
      <w:rPr>
        <w:rFonts w:hint="default"/>
      </w:rPr>
    </w:lvl>
    <w:lvl w:ilvl="8">
      <w:start w:val="1"/>
      <w:numFmt w:val="bullet"/>
      <w:lvlText w:val="•"/>
      <w:lvlJc w:val="left"/>
      <w:pPr>
        <w:ind w:left="7368" w:hanging="721"/>
      </w:pPr>
      <w:rPr>
        <w:rFonts w:hint="default"/>
      </w:rPr>
    </w:lvl>
  </w:abstractNum>
  <w:abstractNum w:abstractNumId="2">
    <w:multiLevelType w:val="hybridMultilevel"/>
    <w:lvl w:ilvl="0">
      <w:start w:val="19"/>
      <w:numFmt w:val="decimal"/>
      <w:lvlText w:val="%1"/>
      <w:lvlJc w:val="left"/>
      <w:pPr>
        <w:ind w:left="100" w:hanging="624"/>
        <w:jc w:val="left"/>
      </w:pPr>
      <w:rPr>
        <w:rFonts w:hint="default"/>
      </w:rPr>
    </w:lvl>
    <w:lvl w:ilvl="1">
      <w:start w:val="1"/>
      <w:numFmt w:val="decimal"/>
      <w:lvlText w:val="%1.%2"/>
      <w:lvlJc w:val="left"/>
      <w:pPr>
        <w:ind w:left="100" w:hanging="624"/>
        <w:jc w:val="left"/>
      </w:pPr>
      <w:rPr>
        <w:rFonts w:hint="default" w:ascii="Times New Roman" w:hAnsi="Times New Roman" w:eastAsia="Times New Roman" w:cs="Times New Roman"/>
        <w:w w:val="100"/>
        <w:sz w:val="24"/>
        <w:szCs w:val="24"/>
      </w:rPr>
    </w:lvl>
    <w:lvl w:ilvl="2">
      <w:start w:val="1"/>
      <w:numFmt w:val="decimal"/>
      <w:lvlText w:val="%3."/>
      <w:lvlJc w:val="left"/>
      <w:pPr>
        <w:ind w:left="3649" w:hanging="360"/>
        <w:jc w:val="left"/>
      </w:pPr>
      <w:rPr>
        <w:rFonts w:hint="default" w:ascii="Times New Roman" w:hAnsi="Times New Roman" w:eastAsia="Times New Roman" w:cs="Times New Roman"/>
        <w:b/>
        <w:bCs/>
        <w:w w:val="99"/>
        <w:sz w:val="28"/>
        <w:szCs w:val="28"/>
      </w:rPr>
    </w:lvl>
    <w:lvl w:ilvl="3">
      <w:start w:val="1"/>
      <w:numFmt w:val="bullet"/>
      <w:lvlText w:val="•"/>
      <w:lvlJc w:val="left"/>
      <w:pPr>
        <w:ind w:left="4884" w:hanging="360"/>
      </w:pPr>
      <w:rPr>
        <w:rFonts w:hint="default"/>
      </w:rPr>
    </w:lvl>
    <w:lvl w:ilvl="4">
      <w:start w:val="1"/>
      <w:numFmt w:val="bullet"/>
      <w:lvlText w:val="•"/>
      <w:lvlJc w:val="left"/>
      <w:pPr>
        <w:ind w:left="5506" w:hanging="360"/>
      </w:pPr>
      <w:rPr>
        <w:rFonts w:hint="default"/>
      </w:rPr>
    </w:lvl>
    <w:lvl w:ilvl="5">
      <w:start w:val="1"/>
      <w:numFmt w:val="bullet"/>
      <w:lvlText w:val="•"/>
      <w:lvlJc w:val="left"/>
      <w:pPr>
        <w:ind w:left="6128" w:hanging="360"/>
      </w:pPr>
      <w:rPr>
        <w:rFonts w:hint="default"/>
      </w:rPr>
    </w:lvl>
    <w:lvl w:ilvl="6">
      <w:start w:val="1"/>
      <w:numFmt w:val="bullet"/>
      <w:lvlText w:val="•"/>
      <w:lvlJc w:val="left"/>
      <w:pPr>
        <w:ind w:left="6750" w:hanging="360"/>
      </w:pPr>
      <w:rPr>
        <w:rFonts w:hint="default"/>
      </w:rPr>
    </w:lvl>
    <w:lvl w:ilvl="7">
      <w:start w:val="1"/>
      <w:numFmt w:val="bullet"/>
      <w:lvlText w:val="•"/>
      <w:lvlJc w:val="left"/>
      <w:pPr>
        <w:ind w:left="7372" w:hanging="360"/>
      </w:pPr>
      <w:rPr>
        <w:rFonts w:hint="default"/>
      </w:rPr>
    </w:lvl>
    <w:lvl w:ilvl="8">
      <w:start w:val="1"/>
      <w:numFmt w:val="bullet"/>
      <w:lvlText w:val="•"/>
      <w:lvlJc w:val="left"/>
      <w:pPr>
        <w:ind w:left="7994" w:hanging="360"/>
      </w:pPr>
      <w:rPr>
        <w:rFonts w:hint="default"/>
      </w:rPr>
    </w:lvl>
  </w:abstractNum>
  <w:abstractNum w:abstractNumId="1">
    <w:multiLevelType w:val="hybridMultilevel"/>
    <w:lvl w:ilvl="0">
      <w:start w:val="2"/>
      <w:numFmt w:val="decimal"/>
      <w:lvlText w:val="%1"/>
      <w:lvlJc w:val="left"/>
      <w:pPr>
        <w:ind w:left="510" w:hanging="371"/>
        <w:jc w:val="left"/>
      </w:pPr>
      <w:rPr>
        <w:rFonts w:hint="default"/>
        <w:w w:val="100"/>
        <w:u w:val="single" w:color="000000"/>
      </w:rPr>
    </w:lvl>
    <w:lvl w:ilvl="1">
      <w:start w:val="1"/>
      <w:numFmt w:val="decimal"/>
      <w:lvlText w:val="%1.%2"/>
      <w:lvlJc w:val="left"/>
      <w:pPr>
        <w:ind w:left="692" w:hanging="553"/>
        <w:jc w:val="left"/>
      </w:pPr>
      <w:rPr>
        <w:rFonts w:hint="default" w:ascii="Cambria" w:hAnsi="Cambria" w:eastAsia="Cambria" w:cs="Cambria"/>
        <w:b/>
        <w:bCs/>
        <w:spacing w:val="-2"/>
        <w:w w:val="100"/>
        <w:sz w:val="22"/>
        <w:szCs w:val="22"/>
      </w:rPr>
    </w:lvl>
    <w:lvl w:ilvl="2">
      <w:start w:val="1"/>
      <w:numFmt w:val="bullet"/>
      <w:lvlText w:val="•"/>
      <w:lvlJc w:val="left"/>
      <w:pPr>
        <w:ind w:left="1655" w:hanging="553"/>
      </w:pPr>
      <w:rPr>
        <w:rFonts w:hint="default"/>
      </w:rPr>
    </w:lvl>
    <w:lvl w:ilvl="3">
      <w:start w:val="1"/>
      <w:numFmt w:val="bullet"/>
      <w:lvlText w:val="•"/>
      <w:lvlJc w:val="left"/>
      <w:pPr>
        <w:ind w:left="2610" w:hanging="553"/>
      </w:pPr>
      <w:rPr>
        <w:rFonts w:hint="default"/>
      </w:rPr>
    </w:lvl>
    <w:lvl w:ilvl="4">
      <w:start w:val="1"/>
      <w:numFmt w:val="bullet"/>
      <w:lvlText w:val="•"/>
      <w:lvlJc w:val="left"/>
      <w:pPr>
        <w:ind w:left="3566" w:hanging="553"/>
      </w:pPr>
      <w:rPr>
        <w:rFonts w:hint="default"/>
      </w:rPr>
    </w:lvl>
    <w:lvl w:ilvl="5">
      <w:start w:val="1"/>
      <w:numFmt w:val="bullet"/>
      <w:lvlText w:val="•"/>
      <w:lvlJc w:val="left"/>
      <w:pPr>
        <w:ind w:left="4521" w:hanging="553"/>
      </w:pPr>
      <w:rPr>
        <w:rFonts w:hint="default"/>
      </w:rPr>
    </w:lvl>
    <w:lvl w:ilvl="6">
      <w:start w:val="1"/>
      <w:numFmt w:val="bullet"/>
      <w:lvlText w:val="•"/>
      <w:lvlJc w:val="left"/>
      <w:pPr>
        <w:ind w:left="5477" w:hanging="553"/>
      </w:pPr>
      <w:rPr>
        <w:rFonts w:hint="default"/>
      </w:rPr>
    </w:lvl>
    <w:lvl w:ilvl="7">
      <w:start w:val="1"/>
      <w:numFmt w:val="bullet"/>
      <w:lvlText w:val="•"/>
      <w:lvlJc w:val="left"/>
      <w:pPr>
        <w:ind w:left="6432" w:hanging="553"/>
      </w:pPr>
      <w:rPr>
        <w:rFonts w:hint="default"/>
      </w:rPr>
    </w:lvl>
    <w:lvl w:ilvl="8">
      <w:start w:val="1"/>
      <w:numFmt w:val="bullet"/>
      <w:lvlText w:val="•"/>
      <w:lvlJc w:val="left"/>
      <w:pPr>
        <w:ind w:left="7388" w:hanging="553"/>
      </w:pPr>
      <w:rPr>
        <w:rFonts w:hint="default"/>
      </w:rPr>
    </w:lvl>
  </w:abstractNum>
  <w:abstractNum w:abstractNumId="0">
    <w:multiLevelType w:val="hybridMultilevel"/>
    <w:lvl w:ilvl="0">
      <w:start w:val="1"/>
      <w:numFmt w:val="decimal"/>
      <w:lvlText w:val="%1."/>
      <w:lvlJc w:val="left"/>
      <w:pPr>
        <w:ind w:left="563" w:hanging="423"/>
        <w:jc w:val="left"/>
      </w:pPr>
      <w:rPr>
        <w:rFonts w:hint="default"/>
        <w:spacing w:val="-2"/>
        <w:w w:val="100"/>
        <w:u w:val="single" w:color="000000"/>
      </w:rPr>
    </w:lvl>
    <w:lvl w:ilvl="1">
      <w:start w:val="1"/>
      <w:numFmt w:val="decimal"/>
      <w:lvlText w:val="%1.%2"/>
      <w:lvlJc w:val="left"/>
      <w:pPr>
        <w:ind w:left="692" w:hanging="553"/>
        <w:jc w:val="left"/>
      </w:pPr>
      <w:rPr>
        <w:rFonts w:hint="default" w:ascii="Cambria" w:hAnsi="Cambria" w:eastAsia="Cambria" w:cs="Cambria"/>
        <w:b/>
        <w:bCs/>
        <w:spacing w:val="-2"/>
        <w:w w:val="100"/>
        <w:sz w:val="22"/>
        <w:szCs w:val="22"/>
      </w:rPr>
    </w:lvl>
    <w:lvl w:ilvl="2">
      <w:start w:val="1"/>
      <w:numFmt w:val="decimal"/>
      <w:lvlText w:val="%1.%2.%3"/>
      <w:lvlJc w:val="left"/>
      <w:pPr>
        <w:ind w:left="2128" w:hanging="1292"/>
        <w:jc w:val="left"/>
      </w:pPr>
      <w:rPr>
        <w:rFonts w:hint="default" w:ascii="Cambria" w:hAnsi="Cambria" w:eastAsia="Cambria" w:cs="Cambria"/>
        <w:spacing w:val="-3"/>
        <w:w w:val="100"/>
        <w:sz w:val="22"/>
        <w:szCs w:val="22"/>
      </w:rPr>
    </w:lvl>
    <w:lvl w:ilvl="3">
      <w:start w:val="1"/>
      <w:numFmt w:val="bullet"/>
      <w:lvlText w:val="•"/>
      <w:lvlJc w:val="left"/>
      <w:pPr>
        <w:ind w:left="3017" w:hanging="1292"/>
      </w:pPr>
      <w:rPr>
        <w:rFonts w:hint="default"/>
      </w:rPr>
    </w:lvl>
    <w:lvl w:ilvl="4">
      <w:start w:val="1"/>
      <w:numFmt w:val="bullet"/>
      <w:lvlText w:val="•"/>
      <w:lvlJc w:val="left"/>
      <w:pPr>
        <w:ind w:left="3914" w:hanging="1292"/>
      </w:pPr>
      <w:rPr>
        <w:rFonts w:hint="default"/>
      </w:rPr>
    </w:lvl>
    <w:lvl w:ilvl="5">
      <w:start w:val="1"/>
      <w:numFmt w:val="bullet"/>
      <w:lvlText w:val="•"/>
      <w:lvlJc w:val="left"/>
      <w:pPr>
        <w:ind w:left="4812" w:hanging="1292"/>
      </w:pPr>
      <w:rPr>
        <w:rFonts w:hint="default"/>
      </w:rPr>
    </w:lvl>
    <w:lvl w:ilvl="6">
      <w:start w:val="1"/>
      <w:numFmt w:val="bullet"/>
      <w:lvlText w:val="•"/>
      <w:lvlJc w:val="left"/>
      <w:pPr>
        <w:ind w:left="5709" w:hanging="1292"/>
      </w:pPr>
      <w:rPr>
        <w:rFonts w:hint="default"/>
      </w:rPr>
    </w:lvl>
    <w:lvl w:ilvl="7">
      <w:start w:val="1"/>
      <w:numFmt w:val="bullet"/>
      <w:lvlText w:val="•"/>
      <w:lvlJc w:val="left"/>
      <w:pPr>
        <w:ind w:left="6607" w:hanging="1292"/>
      </w:pPr>
      <w:rPr>
        <w:rFonts w:hint="default"/>
      </w:rPr>
    </w:lvl>
    <w:lvl w:ilvl="8">
      <w:start w:val="1"/>
      <w:numFmt w:val="bullet"/>
      <w:lvlText w:val="•"/>
      <w:lvlJc w:val="left"/>
      <w:pPr>
        <w:ind w:left="7504" w:hanging="1292"/>
      </w:pPr>
      <w:rPr>
        <w:rFonts w:hint="default"/>
      </w:rPr>
    </w:lvl>
  </w:abstract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371"/>
      <w:ind w:left="510" w:hanging="370"/>
    </w:pPr>
    <w:rPr>
      <w:rFonts w:ascii="Cambria" w:hAnsi="Cambria" w:eastAsia="Cambria" w:cs="Cambria"/>
      <w:b/>
      <w:bCs/>
      <w:sz w:val="22"/>
      <w:szCs w:val="22"/>
      <w:u w:val="single" w:color="000000"/>
    </w:rPr>
  </w:style>
  <w:style w:styleId="TOC2" w:type="paragraph">
    <w:name w:val="TOC 2"/>
    <w:basedOn w:val="Normal"/>
    <w:uiPriority w:val="1"/>
    <w:qFormat/>
    <w:pPr>
      <w:spacing w:before="126"/>
      <w:ind w:left="2128" w:hanging="1291"/>
    </w:pPr>
    <w:rPr>
      <w:rFonts w:ascii="Cambria" w:hAnsi="Cambria" w:eastAsia="Cambria" w:cs="Cambria"/>
      <w:sz w:val="18"/>
      <w:szCs w:val="18"/>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35"/>
      <w:ind w:left="3721"/>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ind w:left="821"/>
      <w:outlineLvl w:val="2"/>
    </w:pPr>
    <w:rPr>
      <w:rFonts w:ascii="Times New Roman" w:hAnsi="Times New Roman" w:eastAsia="Times New Roman" w:cs="Times New Roman"/>
      <w:b/>
      <w:bCs/>
      <w:sz w:val="24"/>
      <w:szCs w:val="24"/>
    </w:rPr>
  </w:style>
  <w:style w:styleId="Heading3" w:type="paragraph">
    <w:name w:val="Heading 3"/>
    <w:basedOn w:val="Normal"/>
    <w:uiPriority w:val="1"/>
    <w:qFormat/>
    <w:pPr>
      <w:spacing w:before="131"/>
      <w:ind w:left="580" w:right="75"/>
      <w:outlineLvl w:val="3"/>
    </w:pPr>
    <w:rPr>
      <w:rFonts w:ascii="Times New Roman" w:hAnsi="Times New Roman" w:eastAsia="Times New Roman" w:cs="Times New Roman"/>
      <w:b/>
      <w:bCs/>
      <w:i/>
      <w:sz w:val="24"/>
      <w:szCs w:val="24"/>
    </w:rPr>
  </w:style>
  <w:style w:styleId="ListParagraph" w:type="paragraph">
    <w:name w:val="List Paragraph"/>
    <w:basedOn w:val="Normal"/>
    <w:uiPriority w:val="1"/>
    <w:qFormat/>
    <w:pPr>
      <w:ind w:left="821" w:hanging="721"/>
      <w:jc w:val="both"/>
    </w:pPr>
    <w:rPr>
      <w:rFonts w:ascii="Times New Roman" w:hAnsi="Times New Roman" w:eastAsia="Times New Roman" w:cs="Times New Roman"/>
    </w:rPr>
  </w:style>
  <w:style w:styleId="TableParagraph" w:type="paragraph">
    <w:name w:val="Table Paragraph"/>
    <w:basedOn w:val="Normal"/>
    <w:uiPriority w:val="1"/>
    <w:qFormat/>
    <w:pPr>
      <w:spacing w:before="80"/>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footer" Target="footer8.xml"/><Relationship Id="rId17" Type="http://schemas.openxmlformats.org/officeDocument/2006/relationships/footer" Target="footer9.xml"/><Relationship Id="rId18" Type="http://schemas.openxmlformats.org/officeDocument/2006/relationships/footer" Target="footer10.xml"/><Relationship Id="rId19" Type="http://schemas.openxmlformats.org/officeDocument/2006/relationships/hyperlink" Target="mailto:cpereza@uaemex.mx" TargetMode="External"/><Relationship Id="rId20" Type="http://schemas.openxmlformats.org/officeDocument/2006/relationships/footer" Target="footer11.xml"/><Relationship Id="rId21" Type="http://schemas.openxmlformats.org/officeDocument/2006/relationships/footer" Target="footer12.xml"/><Relationship Id="rId22" Type="http://schemas.openxmlformats.org/officeDocument/2006/relationships/footer" Target="footer13.xml"/><Relationship Id="rId23" Type="http://schemas.openxmlformats.org/officeDocument/2006/relationships/footer" Target="footer14.xml"/><Relationship Id="rId24" Type="http://schemas.openxmlformats.org/officeDocument/2006/relationships/footer" Target="footer15.xml"/><Relationship Id="rId25" Type="http://schemas.openxmlformats.org/officeDocument/2006/relationships/footer" Target="footer16.xml"/><Relationship Id="rId26" Type="http://schemas.openxmlformats.org/officeDocument/2006/relationships/footer" Target="footer17.xml"/><Relationship Id="rId27" Type="http://schemas.openxmlformats.org/officeDocument/2006/relationships/footer" Target="footer18.xml"/><Relationship Id="rId28" Type="http://schemas.openxmlformats.org/officeDocument/2006/relationships/footer" Target="footer19.xml"/><Relationship Id="rId29" Type="http://schemas.openxmlformats.org/officeDocument/2006/relationships/footer" Target="footer20.xml"/><Relationship Id="rId30" Type="http://schemas.openxmlformats.org/officeDocument/2006/relationships/footer" Target="footer21.xml"/><Relationship Id="rId31" Type="http://schemas.openxmlformats.org/officeDocument/2006/relationships/footer" Target="footer22.xml"/><Relationship Id="rId32" Type="http://schemas.openxmlformats.org/officeDocument/2006/relationships/image" Target="media/image5.png"/><Relationship Id="rId33" Type="http://schemas.openxmlformats.org/officeDocument/2006/relationships/image" Target="media/image6.png"/><Relationship Id="rId34" Type="http://schemas.openxmlformats.org/officeDocument/2006/relationships/image" Target="media/image7.png"/><Relationship Id="rId35" Type="http://schemas.openxmlformats.org/officeDocument/2006/relationships/image" Target="media/image8.png"/><Relationship Id="rId36" Type="http://schemas.openxmlformats.org/officeDocument/2006/relationships/image" Target="media/image9.png"/><Relationship Id="rId37" Type="http://schemas.openxmlformats.org/officeDocument/2006/relationships/image" Target="media/image10.png"/><Relationship Id="rId38" Type="http://schemas.openxmlformats.org/officeDocument/2006/relationships/image" Target="media/image11.png"/><Relationship Id="rId39" Type="http://schemas.openxmlformats.org/officeDocument/2006/relationships/image" Target="media/image12.png"/><Relationship Id="rId40" Type="http://schemas.openxmlformats.org/officeDocument/2006/relationships/image" Target="media/image13.png"/><Relationship Id="rId41" Type="http://schemas.openxmlformats.org/officeDocument/2006/relationships/image" Target="media/image14.png"/><Relationship Id="rId42" Type="http://schemas.openxmlformats.org/officeDocument/2006/relationships/image" Target="media/image15.png"/><Relationship Id="rId43" Type="http://schemas.openxmlformats.org/officeDocument/2006/relationships/image" Target="media/image16.png"/><Relationship Id="rId44" Type="http://schemas.openxmlformats.org/officeDocument/2006/relationships/image" Target="media/image17.png"/><Relationship Id="rId45" Type="http://schemas.openxmlformats.org/officeDocument/2006/relationships/image" Target="media/image18.png"/><Relationship Id="rId46" Type="http://schemas.openxmlformats.org/officeDocument/2006/relationships/image" Target="media/image19.png"/><Relationship Id="rId47" Type="http://schemas.openxmlformats.org/officeDocument/2006/relationships/image" Target="media/image20.png"/><Relationship Id="rId48" Type="http://schemas.openxmlformats.org/officeDocument/2006/relationships/footer" Target="footer23.xml"/><Relationship Id="rId49" Type="http://schemas.openxmlformats.org/officeDocument/2006/relationships/footer" Target="footer24.xml"/><Relationship Id="rId50" Type="http://schemas.openxmlformats.org/officeDocument/2006/relationships/image" Target="media/image21.png"/><Relationship Id="rId51" Type="http://schemas.openxmlformats.org/officeDocument/2006/relationships/image" Target="media/image22.png"/><Relationship Id="rId52" Type="http://schemas.openxmlformats.org/officeDocument/2006/relationships/footer" Target="footer25.xml"/><Relationship Id="rId53" Type="http://schemas.openxmlformats.org/officeDocument/2006/relationships/footer" Target="footer26.xml"/><Relationship Id="rId54" Type="http://schemas.openxmlformats.org/officeDocument/2006/relationships/footer" Target="footer27.xml"/><Relationship Id="rId55" Type="http://schemas.openxmlformats.org/officeDocument/2006/relationships/footer" Target="footer28.xml"/><Relationship Id="rId56" Type="http://schemas.openxmlformats.org/officeDocument/2006/relationships/footer" Target="footer29.xml"/><Relationship Id="rId57" Type="http://schemas.openxmlformats.org/officeDocument/2006/relationships/footer" Target="footer30.xml"/><Relationship Id="rId58" Type="http://schemas.openxmlformats.org/officeDocument/2006/relationships/image" Target="media/image23.jpeg"/><Relationship Id="rId59" Type="http://schemas.openxmlformats.org/officeDocument/2006/relationships/image" Target="media/image24.jpeg"/><Relationship Id="rId60" Type="http://schemas.openxmlformats.org/officeDocument/2006/relationships/footer" Target="footer31.xml"/><Relationship Id="rId61" Type="http://schemas.openxmlformats.org/officeDocument/2006/relationships/footer" Target="footer32.xml"/><Relationship Id="rId62" Type="http://schemas.openxmlformats.org/officeDocument/2006/relationships/image" Target="media/image25.jpeg"/><Relationship Id="rId63" Type="http://schemas.openxmlformats.org/officeDocument/2006/relationships/image" Target="media/image26.png"/><Relationship Id="rId64" Type="http://schemas.openxmlformats.org/officeDocument/2006/relationships/image" Target="media/image27.png"/><Relationship Id="rId6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2017-05-26T16:43:06Z</dcterms:created>
  <dcterms:modified xsi:type="dcterms:W3CDTF">2017-05-26T16:43:06Z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2017-05-26T00:00:00Z</vt:filetime>
  </property>
</Properties>
</file>