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Default Extension="png" ContentType="image/png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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pStyle w:val="BodyText"/>
        <w:spacing w:before="11"/>
        <w:rPr>
          <w:rFonts w:ascii="Times New Roman"/>
          <w:sz w:val="25"/>
        </w:rPr>
      </w:pPr>
      <w:r>
        <w:rPr/>
        <w:pict>
          <v:group style="position:absolute;margin-left:0pt;margin-top:.000009pt;width:453.55pt;height:623.550pt;mso-position-horizontal-relative:page;mso-position-vertical-relative:page;z-index:-19648" coordorigin="0,0" coordsize="9071,12471">
            <v:shape style="position:absolute;left:0;top:0;width:9071;height:12470" type="#_x0000_t75" stroked="false">
              <v:imagedata r:id="rId5" o:title=""/>
            </v:shape>
            <v:shape style="position:absolute;left:723;top:1393;width:6374;height:2794" type="#_x0000_t75" stroked="false">
              <v:imagedata r:id="rId6" o:title=""/>
            </v:shape>
            <v:shape style="position:absolute;left:740;top:10092;width:2222;height:1766" type="#_x0000_t75" stroked="false">
              <v:imagedata r:id="rId7" o:title=""/>
            </v:shape>
            <v:shape style="position:absolute;left:1688;top:10261;width:276;height:210" type="#_x0000_t75" stroked="false">
              <v:imagedata r:id="rId8" o:title=""/>
            </v:shape>
            <v:shape style="position:absolute;left:1378;top:10398;width:941;height:976" type="#_x0000_t75" stroked="false">
              <v:imagedata r:id="rId9" o:title=""/>
            </v:shape>
            <v:shape style="position:absolute;left:1688;top:10261;width:276;height:210" type="#_x0000_t75" stroked="false">
              <v:imagedata r:id="rId10" o:title=""/>
            </v:shape>
            <v:shape style="position:absolute;left:1378;top:10398;width:941;height:976" type="#_x0000_t75" stroked="false">
              <v:imagedata r:id="rId11" o:title=""/>
            </v:shape>
            <v:shape style="position:absolute;left:1642;top:10540;width:469;height:103" type="#_x0000_t75" stroked="false">
              <v:imagedata r:id="rId12" o:title=""/>
            </v:shape>
            <v:shape style="position:absolute;left:1358;top:10586;width:971;height:957" type="#_x0000_t75" stroked="false">
              <v:imagedata r:id="rId13" o:title=""/>
            </v:shape>
            <v:shape style="position:absolute;left:2448;top:11432;width:104;height:111" coordorigin="2448,11432" coordsize="104,111" path="m2505,11432l2486,11434,2476,11437,2469,11443,2461,11449,2456,11458,2452,11467,2449,11476,2448,11485,2450,11505,2454,11515,2464,11530,2471,11535,2487,11542,2497,11543,2516,11541,2525,11537,2539,11526,2540,11525,2498,11525,2486,11519,2482,11515,2475,11503,2474,11494,2475,11477,2477,11469,2482,11462,2485,11457,2490,11453,2497,11452,2501,11451,2541,11451,2538,11446,2531,11441,2515,11433,2505,11432xm2541,11451l2501,11451,2507,11452,2511,11455,2516,11457,2519,11462,2522,11466,2526,11476,2527,11486,2525,11496,2524,11504,2521,11512,2515,11518,2509,11524,2498,11525,2540,11525,2544,11519,2551,11502,2552,11492,2551,11482,2551,11472,2548,11462,2541,11451xe" filled="true" fillcolor="#1b4695" stroked="false">
              <v:path arrowok="t"/>
              <v:fill type="solid"/>
            </v:shape>
            <v:shape style="position:absolute;left:910;top:11434;width:196;height:108" type="#_x0000_t75" stroked="false">
              <v:imagedata r:id="rId14" o:title=""/>
            </v:shape>
            <v:shape style="position:absolute;left:1128;top:11422;width:1663;height:274" type="#_x0000_t75" stroked="false">
              <v:imagedata r:id="rId15" o:title=""/>
            </v:shape>
            <w10:wrap type="none"/>
          </v:group>
        </w:pict>
      </w:r>
    </w:p>
    <w:p>
      <w:pPr>
        <w:spacing w:line="535" w:lineRule="exact" w:before="25"/>
        <w:ind w:left="101" w:right="1428" w:firstLine="0"/>
        <w:jc w:val="left"/>
        <w:rPr>
          <w:rFonts w:ascii="Calibri" w:hAnsi="Calibri"/>
          <w:b/>
          <w:i/>
          <w:sz w:val="53"/>
        </w:rPr>
      </w:pPr>
      <w:r>
        <w:rPr>
          <w:rFonts w:ascii="Calibri" w:hAnsi="Calibri"/>
          <w:b/>
          <w:i/>
          <w:color w:val="11568C"/>
          <w:w w:val="110"/>
          <w:sz w:val="53"/>
        </w:rPr>
        <w:t>Investigación en</w:t>
      </w:r>
    </w:p>
    <w:p>
      <w:pPr>
        <w:spacing w:line="196" w:lineRule="auto" w:before="35"/>
        <w:ind w:left="101" w:right="1428" w:hanging="1"/>
        <w:jc w:val="left"/>
        <w:rPr>
          <w:rFonts w:ascii="Calibri" w:hAnsi="Calibri"/>
          <w:b/>
          <w:i/>
          <w:sz w:val="53"/>
        </w:rPr>
      </w:pPr>
      <w:r>
        <w:rPr>
          <w:rFonts w:ascii="Calibri" w:hAnsi="Calibri"/>
          <w:b/>
          <w:i/>
          <w:color w:val="11568C"/>
          <w:w w:val="110"/>
          <w:sz w:val="86"/>
        </w:rPr>
        <w:t>Psicología</w:t>
      </w:r>
      <w:r>
        <w:rPr>
          <w:rFonts w:ascii="Calibri" w:hAnsi="Calibri"/>
          <w:b/>
          <w:i/>
          <w:color w:val="11568C"/>
          <w:spacing w:val="-103"/>
          <w:w w:val="110"/>
          <w:sz w:val="86"/>
        </w:rPr>
        <w:t> </w:t>
      </w:r>
      <w:r>
        <w:rPr>
          <w:rFonts w:ascii="Calibri" w:hAnsi="Calibri"/>
          <w:b/>
          <w:i/>
          <w:color w:val="11568C"/>
          <w:w w:val="110"/>
          <w:sz w:val="53"/>
        </w:rPr>
        <w:t>básica y </w:t>
      </w:r>
      <w:r>
        <w:rPr>
          <w:rFonts w:ascii="Calibri" w:hAnsi="Calibri"/>
          <w:b/>
          <w:i/>
          <w:color w:val="11568C"/>
          <w:w w:val="110"/>
          <w:sz w:val="53"/>
        </w:rPr>
        <w:t>aplicada:</w:t>
      </w:r>
    </w:p>
    <w:p>
      <w:pPr>
        <w:spacing w:line="607" w:lineRule="exact" w:before="0"/>
        <w:ind w:left="101" w:right="1428" w:firstLine="0"/>
        <w:jc w:val="left"/>
        <w:rPr>
          <w:rFonts w:ascii="Calibri"/>
          <w:b/>
          <w:i/>
          <w:sz w:val="53"/>
        </w:rPr>
      </w:pPr>
      <w:r>
        <w:rPr>
          <w:rFonts w:ascii="Calibri"/>
          <w:b/>
          <w:i/>
          <w:color w:val="F5833C"/>
          <w:spacing w:val="-3"/>
          <w:w w:val="105"/>
          <w:sz w:val="53"/>
        </w:rPr>
        <w:t>avances</w:t>
      </w:r>
      <w:r>
        <w:rPr>
          <w:rFonts w:ascii="Calibri"/>
          <w:b/>
          <w:i/>
          <w:color w:val="F5833C"/>
          <w:spacing w:val="-80"/>
          <w:w w:val="105"/>
          <w:sz w:val="53"/>
        </w:rPr>
        <w:t> </w:t>
      </w:r>
      <w:r>
        <w:rPr>
          <w:rFonts w:ascii="Calibri"/>
          <w:b/>
          <w:i/>
          <w:color w:val="F5833C"/>
          <w:w w:val="105"/>
          <w:sz w:val="53"/>
        </w:rPr>
        <w:t>y</w:t>
      </w:r>
      <w:r>
        <w:rPr>
          <w:rFonts w:ascii="Calibri"/>
          <w:b/>
          <w:i/>
          <w:color w:val="F5833C"/>
          <w:spacing w:val="-80"/>
          <w:w w:val="105"/>
          <w:sz w:val="53"/>
        </w:rPr>
        <w:t> </w:t>
      </w:r>
      <w:r>
        <w:rPr>
          <w:rFonts w:ascii="Calibri"/>
          <w:b/>
          <w:i/>
          <w:color w:val="F5833C"/>
          <w:w w:val="105"/>
          <w:sz w:val="53"/>
        </w:rPr>
        <w:t>perspectivas</w:t>
      </w:r>
    </w:p>
    <w:p>
      <w:pPr>
        <w:pStyle w:val="BodyText"/>
        <w:rPr>
          <w:rFonts w:ascii="Calibri"/>
          <w:b/>
          <w:i/>
          <w:sz w:val="54"/>
        </w:rPr>
      </w:pPr>
    </w:p>
    <w:p>
      <w:pPr>
        <w:pStyle w:val="BodyText"/>
        <w:rPr>
          <w:rFonts w:ascii="Calibri"/>
          <w:b/>
          <w:i/>
          <w:sz w:val="54"/>
        </w:rPr>
      </w:pPr>
    </w:p>
    <w:p>
      <w:pPr>
        <w:pStyle w:val="BodyText"/>
        <w:rPr>
          <w:rFonts w:ascii="Calibri"/>
          <w:b/>
          <w:i/>
          <w:sz w:val="54"/>
        </w:rPr>
      </w:pPr>
    </w:p>
    <w:p>
      <w:pPr>
        <w:pStyle w:val="BodyText"/>
        <w:rPr>
          <w:rFonts w:ascii="Calibri"/>
          <w:b/>
          <w:i/>
          <w:sz w:val="54"/>
        </w:rPr>
      </w:pPr>
    </w:p>
    <w:p>
      <w:pPr>
        <w:pStyle w:val="BodyText"/>
        <w:rPr>
          <w:rFonts w:ascii="Calibri"/>
          <w:b/>
          <w:i/>
          <w:sz w:val="54"/>
        </w:rPr>
      </w:pPr>
    </w:p>
    <w:p>
      <w:pPr>
        <w:pStyle w:val="BodyText"/>
        <w:rPr>
          <w:rFonts w:ascii="Calibri"/>
          <w:b/>
          <w:i/>
          <w:sz w:val="54"/>
        </w:rPr>
      </w:pPr>
    </w:p>
    <w:p>
      <w:pPr>
        <w:spacing w:line="288" w:lineRule="exact" w:before="404"/>
        <w:ind w:left="4622" w:right="116" w:hanging="50"/>
        <w:jc w:val="right"/>
        <w:rPr>
          <w:rFonts w:ascii="Calibri" w:hAnsi="Calibri"/>
          <w:b/>
          <w:i/>
          <w:sz w:val="24"/>
        </w:rPr>
      </w:pPr>
      <w:r>
        <w:rPr>
          <w:rFonts w:ascii="Calibri" w:hAnsi="Calibri"/>
          <w:i/>
          <w:color w:val="231F20"/>
          <w:sz w:val="24"/>
        </w:rPr>
        <w:t>María Antonia Padilla Vargas</w:t>
      </w:r>
      <w:r>
        <w:rPr>
          <w:rFonts w:ascii="Calibri" w:hAnsi="Calibri"/>
          <w:i/>
          <w:color w:val="231F20"/>
          <w:w w:val="100"/>
          <w:sz w:val="24"/>
        </w:rPr>
        <w:t> </w:t>
      </w:r>
      <w:r>
        <w:rPr>
          <w:rFonts w:ascii="Calibri" w:hAnsi="Calibri"/>
          <w:i/>
          <w:color w:val="231F20"/>
          <w:sz w:val="24"/>
        </w:rPr>
        <w:t>Sergio Galán Cuevas</w:t>
      </w:r>
      <w:r>
        <w:rPr>
          <w:rFonts w:ascii="Calibri" w:hAnsi="Calibri"/>
          <w:i/>
          <w:color w:val="231F20"/>
          <w:w w:val="99"/>
          <w:sz w:val="24"/>
        </w:rPr>
        <w:t> </w:t>
      </w:r>
      <w:r>
        <w:rPr>
          <w:rFonts w:ascii="Calibri" w:hAnsi="Calibri"/>
          <w:i/>
          <w:color w:val="231F20"/>
          <w:sz w:val="24"/>
        </w:rPr>
        <w:t>Everardo Camacho Gutiérrez</w:t>
      </w:r>
      <w:r>
        <w:rPr>
          <w:rFonts w:ascii="Calibri" w:hAnsi="Calibri"/>
          <w:i/>
          <w:color w:val="231F20"/>
          <w:w w:val="99"/>
          <w:sz w:val="24"/>
        </w:rPr>
        <w:t> </w:t>
      </w:r>
      <w:r>
        <w:rPr>
          <w:rFonts w:ascii="Calibri" w:hAnsi="Calibri"/>
          <w:i/>
          <w:color w:val="231F20"/>
          <w:sz w:val="24"/>
        </w:rPr>
        <w:t>Agustín Zárate Loyola</w:t>
      </w:r>
      <w:r>
        <w:rPr>
          <w:rFonts w:ascii="Calibri" w:hAnsi="Calibri"/>
          <w:i/>
          <w:color w:val="231F20"/>
          <w:w w:val="101"/>
          <w:sz w:val="24"/>
        </w:rPr>
        <w:t> </w:t>
      </w:r>
      <w:r>
        <w:rPr>
          <w:rFonts w:ascii="Calibri" w:hAnsi="Calibri"/>
          <w:b/>
          <w:i/>
          <w:color w:val="231F20"/>
          <w:sz w:val="24"/>
        </w:rPr>
        <w:t>Coordinadores</w:t>
      </w:r>
    </w:p>
    <w:p>
      <w:pPr>
        <w:spacing w:after="0" w:line="288" w:lineRule="exact"/>
        <w:jc w:val="right"/>
        <w:rPr>
          <w:rFonts w:ascii="Calibri" w:hAnsi="Calibri"/>
          <w:sz w:val="24"/>
        </w:rPr>
        <w:sectPr>
          <w:type w:val="continuous"/>
          <w:pgSz w:w="9080" w:h="12480"/>
          <w:pgMar w:top="1160" w:bottom="280" w:left="780" w:right="740"/>
        </w:sectPr>
      </w:pPr>
    </w:p>
    <w:p>
      <w:pPr>
        <w:pStyle w:val="BodyText"/>
        <w:spacing w:before="1"/>
        <w:rPr>
          <w:rFonts w:ascii="Calibri"/>
          <w:b/>
          <w:i/>
          <w:sz w:val="6"/>
        </w:rPr>
      </w:pPr>
    </w:p>
    <w:p>
      <w:pPr>
        <w:pStyle w:val="BodyText"/>
        <w:ind w:left="2192"/>
        <w:rPr>
          <w:rFonts w:ascii="Calibri"/>
          <w:sz w:val="20"/>
        </w:rPr>
      </w:pPr>
      <w:r>
        <w:rPr>
          <w:rFonts w:ascii="Calibri"/>
          <w:sz w:val="20"/>
        </w:rPr>
        <w:drawing>
          <wp:inline distT="0" distB="0" distL="0" distR="0">
            <wp:extent cx="1356572" cy="955548"/>
            <wp:effectExtent l="0" t="0" r="0" b="0"/>
            <wp:docPr id="1" name="image12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" name="image12.png"/>
                    <pic:cNvPicPr/>
                  </pic:nvPicPr>
                  <pic:blipFill>
                    <a:blip r:embed="rId1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356572" cy="95554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Calibri"/>
          <w:sz w:val="20"/>
        </w:rPr>
      </w:r>
    </w:p>
    <w:p>
      <w:pPr>
        <w:pStyle w:val="BodyText"/>
        <w:spacing w:before="5"/>
        <w:rPr>
          <w:rFonts w:ascii="Calibri"/>
          <w:b/>
          <w:i/>
          <w:sz w:val="7"/>
        </w:rPr>
      </w:pPr>
    </w:p>
    <w:p>
      <w:pPr>
        <w:pStyle w:val="Heading1"/>
        <w:spacing w:before="72"/>
        <w:ind w:left="1444"/>
      </w:pPr>
      <w:r>
        <w:rPr>
          <w:color w:val="231F20"/>
          <w:w w:val="130"/>
        </w:rPr>
        <w:t>Dra. María Antonia Padilla Vargas</w:t>
      </w:r>
    </w:p>
    <w:p>
      <w:pPr>
        <w:spacing w:before="10"/>
        <w:ind w:left="1444" w:right="1444" w:firstLine="0"/>
        <w:jc w:val="center"/>
        <w:rPr>
          <w:rFonts w:ascii="Times New Roman"/>
          <w:i/>
          <w:sz w:val="20"/>
        </w:rPr>
      </w:pPr>
      <w:r>
        <w:rPr>
          <w:rFonts w:ascii="Times New Roman"/>
          <w:i/>
          <w:color w:val="231F20"/>
          <w:w w:val="105"/>
          <w:sz w:val="20"/>
        </w:rPr>
        <w:t>Coordinadora</w:t>
      </w:r>
    </w:p>
    <w:p>
      <w:pPr>
        <w:pStyle w:val="BodyText"/>
        <w:rPr>
          <w:rFonts w:ascii="Times New Roman"/>
          <w:i/>
          <w:sz w:val="20"/>
        </w:rPr>
      </w:pPr>
    </w:p>
    <w:p>
      <w:pPr>
        <w:pStyle w:val="BodyText"/>
        <w:rPr>
          <w:rFonts w:ascii="Times New Roman"/>
          <w:i/>
          <w:sz w:val="20"/>
        </w:rPr>
      </w:pPr>
    </w:p>
    <w:p>
      <w:pPr>
        <w:pStyle w:val="BodyText"/>
        <w:rPr>
          <w:rFonts w:ascii="Times New Roman"/>
          <w:i/>
          <w:sz w:val="20"/>
        </w:rPr>
      </w:pPr>
    </w:p>
    <w:p>
      <w:pPr>
        <w:pStyle w:val="BodyText"/>
        <w:rPr>
          <w:rFonts w:ascii="Times New Roman"/>
          <w:i/>
          <w:sz w:val="12"/>
        </w:rPr>
      </w:pPr>
      <w:r>
        <w:rPr/>
        <w:drawing>
          <wp:anchor distT="0" distB="0" distL="0" distR="0" allowOverlap="1" layoutInCell="1" locked="0" behindDoc="0" simplePos="0" relativeHeight="1048">
            <wp:simplePos x="0" y="0"/>
            <wp:positionH relativeFrom="page">
              <wp:posOffset>1597515</wp:posOffset>
            </wp:positionH>
            <wp:positionV relativeFrom="paragraph">
              <wp:posOffset>113110</wp:posOffset>
            </wp:positionV>
            <wp:extent cx="1144930" cy="1225296"/>
            <wp:effectExtent l="0" t="0" r="0" b="0"/>
            <wp:wrapTopAndBottom/>
            <wp:docPr id="3" name="image13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" name="image13.png"/>
                    <pic:cNvPicPr/>
                  </pic:nvPicPr>
                  <pic:blipFill>
                    <a:blip r:embed="rId1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44930" cy="122529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1072">
            <wp:simplePos x="0" y="0"/>
            <wp:positionH relativeFrom="page">
              <wp:posOffset>3150889</wp:posOffset>
            </wp:positionH>
            <wp:positionV relativeFrom="paragraph">
              <wp:posOffset>112869</wp:posOffset>
            </wp:positionV>
            <wp:extent cx="848068" cy="982980"/>
            <wp:effectExtent l="0" t="0" r="0" b="0"/>
            <wp:wrapTopAndBottom/>
            <wp:docPr id="5" name="image14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" name="image14.png"/>
                    <pic:cNvPicPr/>
                  </pic:nvPicPr>
                  <pic:blipFill>
                    <a:blip r:embed="rId1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48068" cy="98298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spacing w:before="9"/>
        <w:rPr>
          <w:rFonts w:ascii="Times New Roman"/>
          <w:i/>
          <w:sz w:val="28"/>
        </w:rPr>
      </w:pPr>
    </w:p>
    <w:p>
      <w:pPr>
        <w:spacing w:before="0"/>
        <w:ind w:left="1432" w:right="1444" w:firstLine="0"/>
        <w:jc w:val="center"/>
        <w:rPr>
          <w:rFonts w:ascii="Times New Roman" w:hAnsi="Times New Roman"/>
          <w:sz w:val="20"/>
        </w:rPr>
      </w:pPr>
      <w:r>
        <w:rPr>
          <w:rFonts w:ascii="Times New Roman" w:hAnsi="Times New Roman"/>
          <w:color w:val="231F20"/>
          <w:w w:val="125"/>
          <w:sz w:val="20"/>
        </w:rPr>
        <w:t>Arq. Manuel Fermín </w:t>
      </w:r>
      <w:r>
        <w:rPr>
          <w:rFonts w:ascii="Times New Roman" w:hAnsi="Times New Roman"/>
          <w:color w:val="231F20"/>
          <w:w w:val="130"/>
          <w:sz w:val="20"/>
        </w:rPr>
        <w:t>Villar </w:t>
      </w:r>
      <w:r>
        <w:rPr>
          <w:rFonts w:ascii="Times New Roman" w:hAnsi="Times New Roman"/>
          <w:color w:val="231F20"/>
          <w:w w:val="125"/>
          <w:sz w:val="20"/>
        </w:rPr>
        <w:t>Rubio</w:t>
      </w:r>
    </w:p>
    <w:p>
      <w:pPr>
        <w:spacing w:before="10"/>
        <w:ind w:left="1432" w:right="1444" w:firstLine="0"/>
        <w:jc w:val="center"/>
        <w:rPr>
          <w:rFonts w:ascii="Times New Roman"/>
          <w:i/>
          <w:sz w:val="20"/>
        </w:rPr>
      </w:pPr>
      <w:r>
        <w:rPr>
          <w:rFonts w:ascii="Times New Roman"/>
          <w:i/>
          <w:color w:val="231F20"/>
          <w:w w:val="105"/>
          <w:sz w:val="20"/>
        </w:rPr>
        <w:t>Rector</w:t>
      </w:r>
    </w:p>
    <w:p>
      <w:pPr>
        <w:pStyle w:val="BodyText"/>
        <w:spacing w:before="8"/>
        <w:rPr>
          <w:rFonts w:ascii="Times New Roman"/>
          <w:i/>
          <w:sz w:val="21"/>
        </w:rPr>
      </w:pPr>
    </w:p>
    <w:p>
      <w:pPr>
        <w:spacing w:before="0"/>
        <w:ind w:left="1432" w:right="1444" w:firstLine="0"/>
        <w:jc w:val="center"/>
        <w:rPr>
          <w:rFonts w:ascii="Times New Roman" w:hAnsi="Times New Roman"/>
          <w:sz w:val="20"/>
        </w:rPr>
      </w:pPr>
      <w:r>
        <w:rPr>
          <w:rFonts w:ascii="Times New Roman" w:hAnsi="Times New Roman"/>
          <w:color w:val="231F20"/>
          <w:w w:val="130"/>
          <w:sz w:val="20"/>
        </w:rPr>
        <w:t>Dr. Agustín Zárate Loyola</w:t>
      </w:r>
    </w:p>
    <w:p>
      <w:pPr>
        <w:spacing w:before="10"/>
        <w:ind w:left="1432" w:right="1444" w:firstLine="0"/>
        <w:jc w:val="center"/>
        <w:rPr>
          <w:rFonts w:ascii="Times New Roman" w:hAnsi="Times New Roman"/>
          <w:i/>
          <w:sz w:val="20"/>
        </w:rPr>
      </w:pPr>
      <w:r>
        <w:rPr>
          <w:rFonts w:ascii="Times New Roman" w:hAnsi="Times New Roman"/>
          <w:i/>
          <w:color w:val="231F20"/>
          <w:w w:val="105"/>
          <w:sz w:val="20"/>
        </w:rPr>
        <w:t>Director de la Facultad de Psicología</w:t>
      </w:r>
    </w:p>
    <w:p>
      <w:pPr>
        <w:spacing w:after="0"/>
        <w:jc w:val="center"/>
        <w:rPr>
          <w:rFonts w:ascii="Times New Roman" w:hAnsi="Times New Roman"/>
          <w:sz w:val="20"/>
        </w:rPr>
        <w:sectPr>
          <w:pgSz w:w="9080" w:h="12480"/>
          <w:pgMar w:top="1160" w:bottom="280" w:left="1260" w:right="1260"/>
        </w:sectPr>
      </w:pPr>
    </w:p>
    <w:p>
      <w:pPr>
        <w:spacing w:line="249" w:lineRule="auto" w:before="48"/>
        <w:ind w:left="107" w:right="0" w:firstLine="0"/>
        <w:jc w:val="left"/>
        <w:rPr>
          <w:rFonts w:ascii="Times New Roman" w:hAnsi="Times New Roman"/>
          <w:sz w:val="16"/>
        </w:rPr>
      </w:pPr>
      <w:r>
        <w:rPr>
          <w:rFonts w:ascii="Times New Roman" w:hAnsi="Times New Roman"/>
          <w:color w:val="231F20"/>
          <w:w w:val="110"/>
          <w:sz w:val="16"/>
        </w:rPr>
        <w:t>La presente obra se editó con fondos del Plan Operativo Anual 2016 (POA) de la Facultad de Psicología de la Universidad Autónoma de San Luis Potosí.</w:t>
      </w:r>
    </w:p>
    <w:p>
      <w:pPr>
        <w:pStyle w:val="BodyText"/>
        <w:rPr>
          <w:rFonts w:ascii="Times New Roman"/>
          <w:sz w:val="16"/>
        </w:rPr>
      </w:pPr>
    </w:p>
    <w:p>
      <w:pPr>
        <w:pStyle w:val="BodyText"/>
        <w:rPr>
          <w:rFonts w:ascii="Times New Roman"/>
          <w:sz w:val="16"/>
        </w:rPr>
      </w:pPr>
    </w:p>
    <w:p>
      <w:pPr>
        <w:pStyle w:val="BodyText"/>
        <w:spacing w:before="1"/>
        <w:rPr>
          <w:rFonts w:ascii="Times New Roman"/>
        </w:rPr>
      </w:pPr>
    </w:p>
    <w:p>
      <w:pPr>
        <w:spacing w:before="1"/>
        <w:ind w:left="107" w:right="0" w:firstLine="0"/>
        <w:jc w:val="left"/>
        <w:rPr>
          <w:rFonts w:ascii="Times New Roman" w:hAnsi="Times New Roman"/>
          <w:sz w:val="16"/>
        </w:rPr>
      </w:pPr>
      <w:r>
        <w:rPr>
          <w:rFonts w:ascii="Times New Roman" w:hAnsi="Times New Roman"/>
          <w:color w:val="231F20"/>
          <w:w w:val="110"/>
          <w:sz w:val="16"/>
        </w:rPr>
        <w:t>Contenido dictaminado por el siguiente comité científico:</w:t>
      </w:r>
    </w:p>
    <w:p>
      <w:pPr>
        <w:spacing w:before="8"/>
        <w:ind w:left="107" w:right="0" w:firstLine="0"/>
        <w:jc w:val="left"/>
        <w:rPr>
          <w:rFonts w:ascii="Times New Roman" w:hAnsi="Times New Roman"/>
          <w:sz w:val="16"/>
        </w:rPr>
      </w:pPr>
      <w:r>
        <w:rPr>
          <w:rFonts w:ascii="Times New Roman" w:hAnsi="Times New Roman"/>
          <w:color w:val="231F20"/>
          <w:w w:val="110"/>
          <w:sz w:val="16"/>
        </w:rPr>
        <w:t>Dr. Agustín Zárate Loyola (Universidad Autónoma de San Luis Potosí)</w:t>
      </w:r>
    </w:p>
    <w:p>
      <w:pPr>
        <w:spacing w:line="249" w:lineRule="auto" w:before="8"/>
        <w:ind w:left="107" w:right="972" w:firstLine="0"/>
        <w:jc w:val="left"/>
        <w:rPr>
          <w:rFonts w:ascii="Times New Roman" w:hAnsi="Times New Roman"/>
          <w:sz w:val="16"/>
        </w:rPr>
      </w:pPr>
      <w:r>
        <w:rPr>
          <w:rFonts w:ascii="Times New Roman" w:hAnsi="Times New Roman"/>
          <w:color w:val="231F20"/>
          <w:w w:val="110"/>
          <w:sz w:val="16"/>
        </w:rPr>
        <w:t>Dr. Omar Sánchez-Armass Capello (Universidad Autónoma de San Luis Potosí) Dra. María Antonia Padilla Vargas (Universidad de Guadalajara)</w:t>
      </w:r>
    </w:p>
    <w:p>
      <w:pPr>
        <w:spacing w:line="249" w:lineRule="auto" w:before="1"/>
        <w:ind w:left="107" w:right="1705" w:firstLine="0"/>
        <w:jc w:val="left"/>
        <w:rPr>
          <w:rFonts w:ascii="Times New Roman" w:hAnsi="Times New Roman"/>
          <w:sz w:val="16"/>
        </w:rPr>
      </w:pPr>
      <w:r>
        <w:rPr>
          <w:rFonts w:ascii="Times New Roman" w:hAnsi="Times New Roman"/>
          <w:color w:val="231F20"/>
          <w:w w:val="110"/>
          <w:sz w:val="16"/>
        </w:rPr>
        <w:t>Dr. Sergio Galán Cuevas (Universidad Autónoma de San Luis Potosí) Dr. Leonardo Reynoso Erazo (UNAM)</w:t>
      </w:r>
    </w:p>
    <w:p>
      <w:pPr>
        <w:spacing w:line="249" w:lineRule="auto" w:before="1"/>
        <w:ind w:left="107" w:right="2303" w:firstLine="0"/>
        <w:jc w:val="both"/>
        <w:rPr>
          <w:rFonts w:ascii="Times New Roman" w:hAnsi="Times New Roman"/>
          <w:sz w:val="16"/>
        </w:rPr>
      </w:pPr>
      <w:r>
        <w:rPr>
          <w:rFonts w:ascii="Times New Roman" w:hAnsi="Times New Roman"/>
          <w:color w:val="231F20"/>
          <w:w w:val="110"/>
          <w:sz w:val="16"/>
        </w:rPr>
        <w:t>Dr.</w:t>
      </w:r>
      <w:r>
        <w:rPr>
          <w:rFonts w:ascii="Times New Roman" w:hAnsi="Times New Roman"/>
          <w:color w:val="231F20"/>
          <w:spacing w:val="-8"/>
          <w:w w:val="110"/>
          <w:sz w:val="16"/>
        </w:rPr>
        <w:t> </w:t>
      </w:r>
      <w:r>
        <w:rPr>
          <w:rFonts w:ascii="Times New Roman" w:hAnsi="Times New Roman"/>
          <w:color w:val="231F20"/>
          <w:w w:val="110"/>
          <w:sz w:val="16"/>
        </w:rPr>
        <w:t>Mario</w:t>
      </w:r>
      <w:r>
        <w:rPr>
          <w:rFonts w:ascii="Times New Roman" w:hAnsi="Times New Roman"/>
          <w:color w:val="231F20"/>
          <w:spacing w:val="-8"/>
          <w:w w:val="110"/>
          <w:sz w:val="16"/>
        </w:rPr>
        <w:t> </w:t>
      </w:r>
      <w:r>
        <w:rPr>
          <w:rFonts w:ascii="Times New Roman" w:hAnsi="Times New Roman"/>
          <w:color w:val="231F20"/>
          <w:w w:val="110"/>
          <w:sz w:val="16"/>
        </w:rPr>
        <w:t>Amado</w:t>
      </w:r>
      <w:r>
        <w:rPr>
          <w:rFonts w:ascii="Times New Roman" w:hAnsi="Times New Roman"/>
          <w:color w:val="231F20"/>
          <w:spacing w:val="-8"/>
          <w:w w:val="110"/>
          <w:sz w:val="16"/>
        </w:rPr>
        <w:t> </w:t>
      </w:r>
      <w:r>
        <w:rPr>
          <w:rFonts w:ascii="Times New Roman" w:hAnsi="Times New Roman"/>
          <w:color w:val="231F20"/>
          <w:w w:val="110"/>
          <w:sz w:val="16"/>
        </w:rPr>
        <w:t>Serrano</w:t>
      </w:r>
      <w:r>
        <w:rPr>
          <w:rFonts w:ascii="Times New Roman" w:hAnsi="Times New Roman"/>
          <w:color w:val="231F20"/>
          <w:spacing w:val="-8"/>
          <w:w w:val="110"/>
          <w:sz w:val="16"/>
        </w:rPr>
        <w:t> </w:t>
      </w:r>
      <w:r>
        <w:rPr>
          <w:rFonts w:ascii="Times New Roman" w:hAnsi="Times New Roman"/>
          <w:color w:val="231F20"/>
          <w:w w:val="110"/>
          <w:sz w:val="16"/>
        </w:rPr>
        <w:t>Vargas</w:t>
      </w:r>
      <w:r>
        <w:rPr>
          <w:rFonts w:ascii="Times New Roman" w:hAnsi="Times New Roman"/>
          <w:color w:val="231F20"/>
          <w:spacing w:val="-8"/>
          <w:w w:val="110"/>
          <w:sz w:val="16"/>
        </w:rPr>
        <w:t> </w:t>
      </w:r>
      <w:r>
        <w:rPr>
          <w:rFonts w:ascii="Times New Roman" w:hAnsi="Times New Roman"/>
          <w:color w:val="231F20"/>
          <w:w w:val="110"/>
          <w:sz w:val="16"/>
        </w:rPr>
        <w:t>(Universidad</w:t>
      </w:r>
      <w:r>
        <w:rPr>
          <w:rFonts w:ascii="Times New Roman" w:hAnsi="Times New Roman"/>
          <w:color w:val="231F20"/>
          <w:spacing w:val="-8"/>
          <w:w w:val="110"/>
          <w:sz w:val="16"/>
        </w:rPr>
        <w:t> </w:t>
      </w:r>
      <w:r>
        <w:rPr>
          <w:rFonts w:ascii="Times New Roman" w:hAnsi="Times New Roman"/>
          <w:color w:val="231F20"/>
          <w:w w:val="110"/>
          <w:sz w:val="16"/>
        </w:rPr>
        <w:t>Veracruzana) Dr. Jairo Ernesto </w:t>
      </w:r>
      <w:r>
        <w:rPr>
          <w:rFonts w:ascii="Times New Roman" w:hAnsi="Times New Roman"/>
          <w:color w:val="231F20"/>
          <w:spacing w:val="-3"/>
          <w:w w:val="110"/>
          <w:sz w:val="16"/>
        </w:rPr>
        <w:t>Tamayo Tamayo </w:t>
      </w:r>
      <w:r>
        <w:rPr>
          <w:rFonts w:ascii="Times New Roman" w:hAnsi="Times New Roman"/>
          <w:color w:val="231F20"/>
          <w:w w:val="110"/>
          <w:sz w:val="16"/>
        </w:rPr>
        <w:t>(Universidad</w:t>
      </w:r>
      <w:r>
        <w:rPr>
          <w:rFonts w:ascii="Times New Roman" w:hAnsi="Times New Roman"/>
          <w:color w:val="231F20"/>
          <w:spacing w:val="-21"/>
          <w:w w:val="110"/>
          <w:sz w:val="16"/>
        </w:rPr>
        <w:t> </w:t>
      </w:r>
      <w:r>
        <w:rPr>
          <w:rFonts w:ascii="Times New Roman" w:hAnsi="Times New Roman"/>
          <w:color w:val="231F20"/>
          <w:w w:val="110"/>
          <w:sz w:val="16"/>
        </w:rPr>
        <w:t>Veracruzana) Dr.</w:t>
      </w:r>
      <w:r>
        <w:rPr>
          <w:rFonts w:ascii="Times New Roman" w:hAnsi="Times New Roman"/>
          <w:color w:val="231F20"/>
          <w:spacing w:val="-16"/>
          <w:w w:val="110"/>
          <w:sz w:val="16"/>
        </w:rPr>
        <w:t> </w:t>
      </w:r>
      <w:r>
        <w:rPr>
          <w:rFonts w:ascii="Times New Roman" w:hAnsi="Times New Roman"/>
          <w:color w:val="231F20"/>
          <w:w w:val="110"/>
          <w:sz w:val="16"/>
        </w:rPr>
        <w:t>Alejandro</w:t>
      </w:r>
      <w:r>
        <w:rPr>
          <w:rFonts w:ascii="Times New Roman" w:hAnsi="Times New Roman"/>
          <w:color w:val="231F20"/>
          <w:spacing w:val="-16"/>
          <w:w w:val="110"/>
          <w:sz w:val="16"/>
        </w:rPr>
        <w:t> </w:t>
      </w:r>
      <w:r>
        <w:rPr>
          <w:rFonts w:ascii="Times New Roman" w:hAnsi="Times New Roman"/>
          <w:color w:val="231F20"/>
          <w:w w:val="110"/>
          <w:sz w:val="16"/>
        </w:rPr>
        <w:t>Léon</w:t>
      </w:r>
      <w:r>
        <w:rPr>
          <w:rFonts w:ascii="Times New Roman" w:hAnsi="Times New Roman"/>
          <w:color w:val="231F20"/>
          <w:spacing w:val="-16"/>
          <w:w w:val="110"/>
          <w:sz w:val="16"/>
        </w:rPr>
        <w:t> </w:t>
      </w:r>
      <w:r>
        <w:rPr>
          <w:rFonts w:ascii="Times New Roman" w:hAnsi="Times New Roman"/>
          <w:color w:val="231F20"/>
          <w:w w:val="110"/>
          <w:sz w:val="16"/>
        </w:rPr>
        <w:t>Maldonado</w:t>
      </w:r>
      <w:r>
        <w:rPr>
          <w:rFonts w:ascii="Times New Roman" w:hAnsi="Times New Roman"/>
          <w:color w:val="231F20"/>
          <w:spacing w:val="-16"/>
          <w:w w:val="110"/>
          <w:sz w:val="16"/>
        </w:rPr>
        <w:t> </w:t>
      </w:r>
      <w:r>
        <w:rPr>
          <w:rFonts w:ascii="Times New Roman" w:hAnsi="Times New Roman"/>
          <w:color w:val="231F20"/>
          <w:w w:val="110"/>
          <w:sz w:val="16"/>
        </w:rPr>
        <w:t>(UNAM)</w:t>
      </w:r>
    </w:p>
    <w:p>
      <w:pPr>
        <w:spacing w:before="1"/>
        <w:ind w:left="107" w:right="0" w:firstLine="0"/>
        <w:jc w:val="left"/>
        <w:rPr>
          <w:rFonts w:ascii="Times New Roman"/>
          <w:sz w:val="16"/>
        </w:rPr>
      </w:pPr>
      <w:r>
        <w:rPr>
          <w:rFonts w:ascii="Times New Roman"/>
          <w:color w:val="231F20"/>
          <w:w w:val="110"/>
          <w:sz w:val="16"/>
        </w:rPr>
        <w:t>Dra. Guadalupe Acle Tomasini (UNAM)</w:t>
      </w:r>
    </w:p>
    <w:p>
      <w:pPr>
        <w:spacing w:line="249" w:lineRule="auto" w:before="8"/>
        <w:ind w:left="107" w:right="2103" w:firstLine="0"/>
        <w:jc w:val="left"/>
        <w:rPr>
          <w:rFonts w:ascii="Times New Roman" w:hAnsi="Times New Roman"/>
          <w:sz w:val="16"/>
        </w:rPr>
      </w:pPr>
      <w:r>
        <w:rPr>
          <w:rFonts w:ascii="Times New Roman" w:hAnsi="Times New Roman"/>
          <w:color w:val="231F20"/>
          <w:w w:val="110"/>
          <w:sz w:val="16"/>
        </w:rPr>
        <w:t>Dra. María Marcela Castañeda Mota (Universidad Veracruzana) Dr. Antonio López Espinoza (Universidad de Guadalajara)</w:t>
      </w:r>
    </w:p>
    <w:p>
      <w:pPr>
        <w:spacing w:line="249" w:lineRule="auto" w:before="1"/>
        <w:ind w:left="107" w:right="2103" w:firstLine="0"/>
        <w:jc w:val="left"/>
        <w:rPr>
          <w:rFonts w:ascii="Times New Roman" w:hAnsi="Times New Roman"/>
          <w:sz w:val="16"/>
        </w:rPr>
      </w:pPr>
      <w:r>
        <w:rPr>
          <w:rFonts w:ascii="Times New Roman" w:hAnsi="Times New Roman"/>
          <w:color w:val="231F20"/>
          <w:w w:val="110"/>
          <w:sz w:val="16"/>
        </w:rPr>
        <w:t>Dr. Agustín Daniel Gómez Fuentes (Universidad Veracruzana) Dra. Judith Salvador Cruz (UNAM)</w:t>
      </w:r>
    </w:p>
    <w:p>
      <w:pPr>
        <w:spacing w:before="1"/>
        <w:ind w:left="107" w:right="0" w:firstLine="0"/>
        <w:jc w:val="left"/>
        <w:rPr>
          <w:rFonts w:ascii="Times New Roman" w:hAnsi="Times New Roman"/>
          <w:sz w:val="16"/>
        </w:rPr>
      </w:pPr>
      <w:r>
        <w:rPr>
          <w:rFonts w:ascii="Times New Roman" w:hAnsi="Times New Roman"/>
          <w:color w:val="231F20"/>
          <w:w w:val="110"/>
          <w:sz w:val="16"/>
        </w:rPr>
        <w:t>Mtro. Enrique Zepeta García (Universidad Veracruzana)</w:t>
      </w:r>
    </w:p>
    <w:p>
      <w:pPr>
        <w:spacing w:line="249" w:lineRule="auto" w:before="8"/>
        <w:ind w:left="107" w:right="1574" w:firstLine="0"/>
        <w:jc w:val="left"/>
        <w:rPr>
          <w:rFonts w:ascii="Times New Roman" w:hAnsi="Times New Roman"/>
          <w:sz w:val="16"/>
        </w:rPr>
      </w:pPr>
      <w:r>
        <w:rPr>
          <w:rFonts w:ascii="Times New Roman" w:hAnsi="Times New Roman"/>
          <w:color w:val="231F20"/>
          <w:w w:val="110"/>
          <w:sz w:val="16"/>
        </w:rPr>
        <w:t>Dra. Alma Gabriela Martínez Moreno (Universidad de Guadalajara) Dra.</w:t>
      </w:r>
      <w:r>
        <w:rPr>
          <w:rFonts w:ascii="Times New Roman" w:hAnsi="Times New Roman"/>
          <w:color w:val="231F20"/>
          <w:spacing w:val="-9"/>
          <w:w w:val="110"/>
          <w:sz w:val="16"/>
        </w:rPr>
        <w:t> </w:t>
      </w:r>
      <w:r>
        <w:rPr>
          <w:rFonts w:ascii="Times New Roman" w:hAnsi="Times New Roman"/>
          <w:color w:val="231F20"/>
          <w:w w:val="110"/>
          <w:sz w:val="16"/>
        </w:rPr>
        <w:t>Virginia</w:t>
      </w:r>
      <w:r>
        <w:rPr>
          <w:rFonts w:ascii="Times New Roman" w:hAnsi="Times New Roman"/>
          <w:color w:val="231F20"/>
          <w:spacing w:val="-9"/>
          <w:w w:val="110"/>
          <w:sz w:val="16"/>
        </w:rPr>
        <w:t> </w:t>
      </w:r>
      <w:r>
        <w:rPr>
          <w:rFonts w:ascii="Times New Roman" w:hAnsi="Times New Roman"/>
          <w:color w:val="231F20"/>
          <w:w w:val="110"/>
          <w:sz w:val="16"/>
        </w:rPr>
        <w:t>Gabriela</w:t>
      </w:r>
      <w:r>
        <w:rPr>
          <w:rFonts w:ascii="Times New Roman" w:hAnsi="Times New Roman"/>
          <w:color w:val="231F20"/>
          <w:spacing w:val="-9"/>
          <w:w w:val="110"/>
          <w:sz w:val="16"/>
        </w:rPr>
        <w:t> </w:t>
      </w:r>
      <w:r>
        <w:rPr>
          <w:rFonts w:ascii="Times New Roman" w:hAnsi="Times New Roman"/>
          <w:color w:val="231F20"/>
          <w:w w:val="110"/>
          <w:sz w:val="16"/>
        </w:rPr>
        <w:t>Aguilera</w:t>
      </w:r>
      <w:r>
        <w:rPr>
          <w:rFonts w:ascii="Times New Roman" w:hAnsi="Times New Roman"/>
          <w:color w:val="231F20"/>
          <w:spacing w:val="-9"/>
          <w:w w:val="110"/>
          <w:sz w:val="16"/>
        </w:rPr>
        <w:t> </w:t>
      </w:r>
      <w:r>
        <w:rPr>
          <w:rFonts w:ascii="Times New Roman" w:hAnsi="Times New Roman"/>
          <w:color w:val="231F20"/>
          <w:w w:val="110"/>
          <w:sz w:val="16"/>
        </w:rPr>
        <w:t>Cervantes</w:t>
      </w:r>
      <w:r>
        <w:rPr>
          <w:rFonts w:ascii="Times New Roman" w:hAnsi="Times New Roman"/>
          <w:color w:val="231F20"/>
          <w:spacing w:val="-9"/>
          <w:w w:val="110"/>
          <w:sz w:val="16"/>
        </w:rPr>
        <w:t> </w:t>
      </w:r>
      <w:r>
        <w:rPr>
          <w:rFonts w:ascii="Times New Roman" w:hAnsi="Times New Roman"/>
          <w:color w:val="231F20"/>
          <w:w w:val="110"/>
          <w:sz w:val="16"/>
        </w:rPr>
        <w:t>(Universidad</w:t>
      </w:r>
      <w:r>
        <w:rPr>
          <w:rFonts w:ascii="Times New Roman" w:hAnsi="Times New Roman"/>
          <w:color w:val="231F20"/>
          <w:spacing w:val="-9"/>
          <w:w w:val="110"/>
          <w:sz w:val="16"/>
        </w:rPr>
        <w:t> </w:t>
      </w:r>
      <w:r>
        <w:rPr>
          <w:rFonts w:ascii="Times New Roman" w:hAnsi="Times New Roman"/>
          <w:color w:val="231F20"/>
          <w:w w:val="110"/>
          <w:sz w:val="16"/>
        </w:rPr>
        <w:t>de</w:t>
      </w:r>
      <w:r>
        <w:rPr>
          <w:rFonts w:ascii="Times New Roman" w:hAnsi="Times New Roman"/>
          <w:color w:val="231F20"/>
          <w:spacing w:val="-9"/>
          <w:w w:val="110"/>
          <w:sz w:val="16"/>
        </w:rPr>
        <w:t> </w:t>
      </w:r>
      <w:r>
        <w:rPr>
          <w:rFonts w:ascii="Times New Roman" w:hAnsi="Times New Roman"/>
          <w:color w:val="231F20"/>
          <w:w w:val="110"/>
          <w:sz w:val="16"/>
        </w:rPr>
        <w:t>Guadalajara) Dr.</w:t>
      </w:r>
      <w:r>
        <w:rPr>
          <w:rFonts w:ascii="Times New Roman" w:hAnsi="Times New Roman"/>
          <w:color w:val="231F20"/>
          <w:spacing w:val="-10"/>
          <w:w w:val="110"/>
          <w:sz w:val="16"/>
        </w:rPr>
        <w:t> </w:t>
      </w:r>
      <w:r>
        <w:rPr>
          <w:rFonts w:ascii="Times New Roman" w:hAnsi="Times New Roman"/>
          <w:color w:val="231F20"/>
          <w:w w:val="110"/>
          <w:sz w:val="16"/>
        </w:rPr>
        <w:t>José</w:t>
      </w:r>
      <w:r>
        <w:rPr>
          <w:rFonts w:ascii="Times New Roman" w:hAnsi="Times New Roman"/>
          <w:color w:val="231F20"/>
          <w:spacing w:val="-10"/>
          <w:w w:val="110"/>
          <w:sz w:val="16"/>
        </w:rPr>
        <w:t> </w:t>
      </w:r>
      <w:r>
        <w:rPr>
          <w:rFonts w:ascii="Times New Roman" w:hAnsi="Times New Roman"/>
          <w:color w:val="231F20"/>
          <w:w w:val="110"/>
          <w:sz w:val="16"/>
        </w:rPr>
        <w:t>Guadalupe</w:t>
      </w:r>
      <w:r>
        <w:rPr>
          <w:rFonts w:ascii="Times New Roman" w:hAnsi="Times New Roman"/>
          <w:color w:val="231F20"/>
          <w:spacing w:val="-10"/>
          <w:w w:val="110"/>
          <w:sz w:val="16"/>
        </w:rPr>
        <w:t> </w:t>
      </w:r>
      <w:r>
        <w:rPr>
          <w:rFonts w:ascii="Times New Roman" w:hAnsi="Times New Roman"/>
          <w:color w:val="231F20"/>
          <w:w w:val="110"/>
          <w:sz w:val="16"/>
        </w:rPr>
        <w:t>Salazar</w:t>
      </w:r>
      <w:r>
        <w:rPr>
          <w:rFonts w:ascii="Times New Roman" w:hAnsi="Times New Roman"/>
          <w:color w:val="231F20"/>
          <w:spacing w:val="-10"/>
          <w:w w:val="110"/>
          <w:sz w:val="16"/>
        </w:rPr>
        <w:t> </w:t>
      </w:r>
      <w:r>
        <w:rPr>
          <w:rFonts w:ascii="Times New Roman" w:hAnsi="Times New Roman"/>
          <w:color w:val="231F20"/>
          <w:w w:val="110"/>
          <w:sz w:val="16"/>
        </w:rPr>
        <w:t>Estrada</w:t>
      </w:r>
      <w:r>
        <w:rPr>
          <w:rFonts w:ascii="Times New Roman" w:hAnsi="Times New Roman"/>
          <w:color w:val="231F20"/>
          <w:spacing w:val="-10"/>
          <w:w w:val="110"/>
          <w:sz w:val="16"/>
        </w:rPr>
        <w:t> </w:t>
      </w:r>
      <w:r>
        <w:rPr>
          <w:rFonts w:ascii="Times New Roman" w:hAnsi="Times New Roman"/>
          <w:color w:val="231F20"/>
          <w:w w:val="110"/>
          <w:sz w:val="16"/>
        </w:rPr>
        <w:t>(Universidad</w:t>
      </w:r>
      <w:r>
        <w:rPr>
          <w:rFonts w:ascii="Times New Roman" w:hAnsi="Times New Roman"/>
          <w:color w:val="231F20"/>
          <w:spacing w:val="-10"/>
          <w:w w:val="110"/>
          <w:sz w:val="16"/>
        </w:rPr>
        <w:t> </w:t>
      </w:r>
      <w:r>
        <w:rPr>
          <w:rFonts w:ascii="Times New Roman" w:hAnsi="Times New Roman"/>
          <w:color w:val="231F20"/>
          <w:w w:val="110"/>
          <w:sz w:val="16"/>
        </w:rPr>
        <w:t>de</w:t>
      </w:r>
      <w:r>
        <w:rPr>
          <w:rFonts w:ascii="Times New Roman" w:hAnsi="Times New Roman"/>
          <w:color w:val="231F20"/>
          <w:spacing w:val="-10"/>
          <w:w w:val="110"/>
          <w:sz w:val="16"/>
        </w:rPr>
        <w:t> </w:t>
      </w:r>
      <w:r>
        <w:rPr>
          <w:rFonts w:ascii="Times New Roman" w:hAnsi="Times New Roman"/>
          <w:color w:val="231F20"/>
          <w:w w:val="110"/>
          <w:sz w:val="16"/>
        </w:rPr>
        <w:t>Guadalajara)</w:t>
      </w:r>
    </w:p>
    <w:p>
      <w:pPr>
        <w:pStyle w:val="BodyText"/>
        <w:rPr>
          <w:rFonts w:ascii="Times New Roman"/>
          <w:sz w:val="16"/>
        </w:rPr>
      </w:pPr>
    </w:p>
    <w:p>
      <w:pPr>
        <w:pStyle w:val="BodyText"/>
        <w:rPr>
          <w:rFonts w:ascii="Times New Roman"/>
          <w:sz w:val="16"/>
        </w:rPr>
      </w:pPr>
    </w:p>
    <w:p>
      <w:pPr>
        <w:pStyle w:val="BodyText"/>
        <w:rPr>
          <w:rFonts w:ascii="Times New Roman"/>
          <w:sz w:val="16"/>
        </w:rPr>
      </w:pPr>
    </w:p>
    <w:p>
      <w:pPr>
        <w:pStyle w:val="BodyText"/>
        <w:rPr>
          <w:rFonts w:ascii="Times New Roman"/>
          <w:sz w:val="16"/>
        </w:rPr>
      </w:pPr>
    </w:p>
    <w:p>
      <w:pPr>
        <w:pStyle w:val="BodyText"/>
        <w:rPr>
          <w:rFonts w:ascii="Times New Roman"/>
          <w:sz w:val="16"/>
        </w:rPr>
      </w:pPr>
    </w:p>
    <w:p>
      <w:pPr>
        <w:pStyle w:val="BodyText"/>
        <w:rPr>
          <w:rFonts w:ascii="Times New Roman"/>
          <w:sz w:val="16"/>
        </w:rPr>
      </w:pPr>
    </w:p>
    <w:p>
      <w:pPr>
        <w:pStyle w:val="BodyText"/>
        <w:rPr>
          <w:rFonts w:ascii="Times New Roman"/>
          <w:sz w:val="16"/>
        </w:rPr>
      </w:pPr>
    </w:p>
    <w:p>
      <w:pPr>
        <w:pStyle w:val="BodyText"/>
        <w:rPr>
          <w:rFonts w:ascii="Times New Roman"/>
          <w:sz w:val="16"/>
        </w:rPr>
      </w:pPr>
    </w:p>
    <w:p>
      <w:pPr>
        <w:pStyle w:val="BodyText"/>
        <w:rPr>
          <w:rFonts w:ascii="Times New Roman"/>
          <w:sz w:val="16"/>
        </w:rPr>
      </w:pPr>
    </w:p>
    <w:p>
      <w:pPr>
        <w:pStyle w:val="BodyText"/>
        <w:rPr>
          <w:rFonts w:ascii="Times New Roman"/>
          <w:sz w:val="16"/>
        </w:rPr>
      </w:pPr>
    </w:p>
    <w:p>
      <w:pPr>
        <w:pStyle w:val="BodyText"/>
        <w:rPr>
          <w:rFonts w:ascii="Times New Roman"/>
          <w:sz w:val="16"/>
        </w:rPr>
      </w:pPr>
    </w:p>
    <w:p>
      <w:pPr>
        <w:pStyle w:val="BodyText"/>
        <w:rPr>
          <w:rFonts w:ascii="Times New Roman"/>
          <w:sz w:val="16"/>
        </w:rPr>
      </w:pPr>
    </w:p>
    <w:p>
      <w:pPr>
        <w:pStyle w:val="BodyText"/>
        <w:rPr>
          <w:rFonts w:ascii="Times New Roman"/>
          <w:sz w:val="16"/>
        </w:rPr>
      </w:pPr>
    </w:p>
    <w:p>
      <w:pPr>
        <w:pStyle w:val="BodyText"/>
        <w:rPr>
          <w:rFonts w:ascii="Times New Roman"/>
          <w:sz w:val="16"/>
        </w:rPr>
      </w:pPr>
    </w:p>
    <w:p>
      <w:pPr>
        <w:pStyle w:val="BodyText"/>
        <w:rPr>
          <w:rFonts w:ascii="Times New Roman"/>
          <w:sz w:val="16"/>
        </w:rPr>
      </w:pPr>
    </w:p>
    <w:p>
      <w:pPr>
        <w:pStyle w:val="BodyText"/>
        <w:rPr>
          <w:rFonts w:ascii="Times New Roman"/>
          <w:sz w:val="16"/>
        </w:rPr>
      </w:pPr>
    </w:p>
    <w:p>
      <w:pPr>
        <w:pStyle w:val="BodyText"/>
        <w:spacing w:before="6"/>
        <w:rPr>
          <w:rFonts w:ascii="Times New Roman"/>
          <w:sz w:val="17"/>
        </w:rPr>
      </w:pPr>
    </w:p>
    <w:p>
      <w:pPr>
        <w:spacing w:before="0"/>
        <w:ind w:left="107" w:right="0" w:firstLine="0"/>
        <w:jc w:val="left"/>
        <w:rPr>
          <w:rFonts w:ascii="Times New Roman" w:hAnsi="Times New Roman"/>
          <w:sz w:val="16"/>
        </w:rPr>
      </w:pPr>
      <w:r>
        <w:rPr>
          <w:rFonts w:ascii="Times New Roman" w:hAnsi="Times New Roman"/>
          <w:color w:val="231F20"/>
          <w:w w:val="105"/>
          <w:sz w:val="16"/>
        </w:rPr>
        <w:t>© D. R. 2016, MARÍA ANTONIA PADILLA VARGAS</w:t>
      </w:r>
    </w:p>
    <w:p>
      <w:pPr>
        <w:spacing w:line="249" w:lineRule="auto" w:before="8"/>
        <w:ind w:left="107" w:right="2563" w:firstLine="0"/>
        <w:jc w:val="left"/>
        <w:rPr>
          <w:rFonts w:ascii="Times New Roman"/>
          <w:sz w:val="16"/>
        </w:rPr>
      </w:pPr>
      <w:r>
        <w:rPr>
          <w:rFonts w:ascii="Times New Roman"/>
          <w:color w:val="231F20"/>
          <w:w w:val="115"/>
          <w:sz w:val="16"/>
        </w:rPr>
        <w:t>Centro</w:t>
      </w:r>
      <w:r>
        <w:rPr>
          <w:rFonts w:ascii="Times New Roman"/>
          <w:color w:val="231F20"/>
          <w:spacing w:val="-27"/>
          <w:w w:val="115"/>
          <w:sz w:val="16"/>
        </w:rPr>
        <w:t> </w:t>
      </w:r>
      <w:r>
        <w:rPr>
          <w:rFonts w:ascii="Times New Roman"/>
          <w:color w:val="231F20"/>
          <w:w w:val="115"/>
          <w:sz w:val="16"/>
        </w:rPr>
        <w:t>de</w:t>
      </w:r>
      <w:r>
        <w:rPr>
          <w:rFonts w:ascii="Times New Roman"/>
          <w:color w:val="231F20"/>
          <w:spacing w:val="-27"/>
          <w:w w:val="115"/>
          <w:sz w:val="16"/>
        </w:rPr>
        <w:t> </w:t>
      </w:r>
      <w:r>
        <w:rPr>
          <w:rFonts w:ascii="Times New Roman"/>
          <w:color w:val="231F20"/>
          <w:w w:val="115"/>
          <w:sz w:val="16"/>
        </w:rPr>
        <w:t>Estudios</w:t>
      </w:r>
      <w:r>
        <w:rPr>
          <w:rFonts w:ascii="Times New Roman"/>
          <w:color w:val="231F20"/>
          <w:spacing w:val="-27"/>
          <w:w w:val="115"/>
          <w:sz w:val="16"/>
        </w:rPr>
        <w:t> </w:t>
      </w:r>
      <w:r>
        <w:rPr>
          <w:rFonts w:ascii="Times New Roman"/>
          <w:color w:val="231F20"/>
          <w:w w:val="115"/>
          <w:sz w:val="16"/>
        </w:rPr>
        <w:t>e</w:t>
      </w:r>
      <w:r>
        <w:rPr>
          <w:rFonts w:ascii="Times New Roman"/>
          <w:color w:val="231F20"/>
          <w:spacing w:val="-27"/>
          <w:w w:val="115"/>
          <w:sz w:val="16"/>
        </w:rPr>
        <w:t> </w:t>
      </w:r>
      <w:r>
        <w:rPr>
          <w:rFonts w:ascii="Times New Roman"/>
          <w:color w:val="231F20"/>
          <w:w w:val="115"/>
          <w:sz w:val="16"/>
        </w:rPr>
        <w:t>Investigaciones</w:t>
      </w:r>
      <w:r>
        <w:rPr>
          <w:rFonts w:ascii="Times New Roman"/>
          <w:color w:val="231F20"/>
          <w:spacing w:val="-27"/>
          <w:w w:val="115"/>
          <w:sz w:val="16"/>
        </w:rPr>
        <w:t> </w:t>
      </w:r>
      <w:r>
        <w:rPr>
          <w:rFonts w:ascii="Times New Roman"/>
          <w:color w:val="231F20"/>
          <w:w w:val="115"/>
          <w:sz w:val="16"/>
        </w:rPr>
        <w:t>en</w:t>
      </w:r>
      <w:r>
        <w:rPr>
          <w:rFonts w:ascii="Times New Roman"/>
          <w:color w:val="231F20"/>
          <w:spacing w:val="-27"/>
          <w:w w:val="115"/>
          <w:sz w:val="16"/>
        </w:rPr>
        <w:t> </w:t>
      </w:r>
      <w:r>
        <w:rPr>
          <w:rFonts w:ascii="Times New Roman"/>
          <w:color w:val="231F20"/>
          <w:w w:val="115"/>
          <w:sz w:val="16"/>
        </w:rPr>
        <w:t>Comportamiento </w:t>
      </w:r>
      <w:r>
        <w:rPr>
          <w:rFonts w:ascii="Times New Roman"/>
          <w:color w:val="231F20"/>
          <w:w w:val="110"/>
          <w:sz w:val="16"/>
        </w:rPr>
        <w:t>Universidad de</w:t>
      </w:r>
      <w:r>
        <w:rPr>
          <w:rFonts w:ascii="Times New Roman"/>
          <w:color w:val="231F20"/>
          <w:spacing w:val="-27"/>
          <w:w w:val="110"/>
          <w:sz w:val="16"/>
        </w:rPr>
        <w:t> </w:t>
      </w:r>
      <w:r>
        <w:rPr>
          <w:rFonts w:ascii="Times New Roman"/>
          <w:color w:val="231F20"/>
          <w:w w:val="110"/>
          <w:sz w:val="16"/>
        </w:rPr>
        <w:t>Guadalajara</w:t>
      </w:r>
    </w:p>
    <w:p>
      <w:pPr>
        <w:spacing w:line="249" w:lineRule="auto" w:before="1"/>
        <w:ind w:left="107" w:right="3289" w:firstLine="0"/>
        <w:jc w:val="left"/>
        <w:rPr>
          <w:rFonts w:ascii="Times New Roman" w:hAnsi="Times New Roman"/>
          <w:sz w:val="16"/>
        </w:rPr>
      </w:pPr>
      <w:r>
        <w:rPr>
          <w:rFonts w:ascii="Times New Roman" w:hAnsi="Times New Roman"/>
          <w:color w:val="231F20"/>
          <w:w w:val="110"/>
          <w:sz w:val="16"/>
        </w:rPr>
        <w:t>Francisco de Quevedo 180, Col. Arcos Vallarta </w:t>
      </w:r>
      <w:r>
        <w:rPr>
          <w:rFonts w:ascii="Times New Roman" w:hAnsi="Times New Roman"/>
          <w:color w:val="231F20"/>
          <w:w w:val="105"/>
          <w:sz w:val="16"/>
        </w:rPr>
        <w:t>Guadalajara, Jalisco, México</w:t>
      </w:r>
    </w:p>
    <w:p>
      <w:pPr>
        <w:spacing w:before="1"/>
        <w:ind w:left="107" w:right="0" w:firstLine="0"/>
        <w:jc w:val="left"/>
        <w:rPr>
          <w:rFonts w:ascii="Times New Roman"/>
          <w:sz w:val="16"/>
        </w:rPr>
      </w:pPr>
      <w:r>
        <w:rPr>
          <w:rFonts w:ascii="Times New Roman"/>
          <w:color w:val="231F20"/>
          <w:w w:val="105"/>
          <w:sz w:val="16"/>
        </w:rPr>
        <w:t>C. P.  44130</w:t>
      </w:r>
    </w:p>
    <w:p>
      <w:pPr>
        <w:spacing w:line="244" w:lineRule="auto" w:before="5"/>
        <w:ind w:left="107" w:right="2563" w:firstLine="0"/>
        <w:jc w:val="left"/>
        <w:rPr>
          <w:rFonts w:ascii="Cambria"/>
          <w:i/>
          <w:sz w:val="16"/>
        </w:rPr>
      </w:pPr>
      <w:hyperlink r:id="rId19">
        <w:r>
          <w:rPr>
            <w:rFonts w:ascii="Cambria"/>
            <w:i/>
            <w:color w:val="231F20"/>
            <w:sz w:val="16"/>
          </w:rPr>
          <w:t>tony.padilla@academicos.udg.mx</w:t>
        </w:r>
      </w:hyperlink>
      <w:r>
        <w:rPr>
          <w:rFonts w:ascii="Cambria"/>
          <w:i/>
          <w:color w:val="231F20"/>
          <w:sz w:val="16"/>
        </w:rPr>
        <w:t> </w:t>
      </w:r>
      <w:hyperlink r:id="rId20">
        <w:r>
          <w:rPr>
            <w:rFonts w:ascii="Cambria"/>
            <w:i/>
            <w:color w:val="231F20"/>
            <w:w w:val="105"/>
            <w:sz w:val="16"/>
          </w:rPr>
          <w:t>http://www.ceic.cucba.udg.mx/</w:t>
        </w:r>
      </w:hyperlink>
    </w:p>
    <w:p>
      <w:pPr>
        <w:pStyle w:val="BodyText"/>
        <w:spacing w:before="7"/>
        <w:rPr>
          <w:rFonts w:ascii="Cambria"/>
          <w:i/>
          <w:sz w:val="16"/>
        </w:rPr>
      </w:pPr>
    </w:p>
    <w:p>
      <w:pPr>
        <w:spacing w:before="0"/>
        <w:ind w:left="107" w:right="0" w:firstLine="0"/>
        <w:jc w:val="left"/>
        <w:rPr>
          <w:rFonts w:ascii="Times New Roman"/>
          <w:sz w:val="16"/>
        </w:rPr>
      </w:pPr>
      <w:r>
        <w:rPr>
          <w:rFonts w:ascii="Times New Roman"/>
          <w:color w:val="231F20"/>
          <w:w w:val="105"/>
          <w:sz w:val="16"/>
        </w:rPr>
        <w:t>ISBN: 978-607-9453-688</w:t>
      </w:r>
    </w:p>
    <w:p>
      <w:pPr>
        <w:pStyle w:val="BodyText"/>
        <w:spacing w:before="4"/>
        <w:rPr>
          <w:rFonts w:ascii="Times New Roman"/>
          <w:sz w:val="17"/>
        </w:rPr>
      </w:pPr>
    </w:p>
    <w:p>
      <w:pPr>
        <w:spacing w:before="0"/>
        <w:ind w:left="107" w:right="0" w:firstLine="0"/>
        <w:jc w:val="left"/>
        <w:rPr>
          <w:rFonts w:ascii="Times New Roman" w:hAnsi="Times New Roman"/>
          <w:sz w:val="16"/>
        </w:rPr>
      </w:pPr>
      <w:r>
        <w:rPr>
          <w:rFonts w:ascii="Times New Roman" w:hAnsi="Times New Roman"/>
          <w:color w:val="231F20"/>
          <w:w w:val="110"/>
          <w:sz w:val="16"/>
        </w:rPr>
        <w:t>Hecho en México</w:t>
      </w:r>
    </w:p>
    <w:p>
      <w:pPr>
        <w:spacing w:before="5"/>
        <w:ind w:left="107" w:right="0" w:firstLine="0"/>
        <w:jc w:val="left"/>
        <w:rPr>
          <w:rFonts w:ascii="Cambria"/>
          <w:i/>
          <w:sz w:val="16"/>
        </w:rPr>
      </w:pPr>
      <w:r>
        <w:rPr>
          <w:rFonts w:ascii="Cambria"/>
          <w:i/>
          <w:color w:val="231F20"/>
          <w:w w:val="105"/>
          <w:sz w:val="16"/>
        </w:rPr>
        <w:t>Made in Mexico</w:t>
      </w:r>
    </w:p>
    <w:p>
      <w:pPr>
        <w:spacing w:after="0"/>
        <w:jc w:val="left"/>
        <w:rPr>
          <w:rFonts w:ascii="Cambria"/>
          <w:sz w:val="16"/>
        </w:rPr>
        <w:sectPr>
          <w:pgSz w:w="9080" w:h="12480"/>
          <w:pgMar w:top="1160" w:bottom="280" w:left="1140" w:right="1180"/>
        </w:sectPr>
      </w:pPr>
    </w:p>
    <w:p>
      <w:pPr>
        <w:spacing w:before="61"/>
        <w:ind w:left="107" w:right="0" w:firstLine="0"/>
        <w:jc w:val="left"/>
        <w:rPr>
          <w:rFonts w:ascii="Times New Roman" w:hAnsi="Times New Roman"/>
          <w:b/>
          <w:sz w:val="20"/>
        </w:rPr>
      </w:pPr>
      <w:r>
        <w:rPr>
          <w:rFonts w:ascii="Times New Roman" w:hAnsi="Times New Roman"/>
          <w:b/>
          <w:color w:val="231F20"/>
          <w:w w:val="95"/>
          <w:sz w:val="20"/>
        </w:rPr>
        <w:t>ÍNDICE GENERAL</w:t>
      </w:r>
    </w:p>
    <w:p>
      <w:pPr>
        <w:pStyle w:val="Heading1"/>
        <w:tabs>
          <w:tab w:pos="6626" w:val="right" w:leader="dot"/>
        </w:tabs>
        <w:spacing w:before="490"/>
        <w:ind w:left="107" w:right="0"/>
        <w:jc w:val="left"/>
      </w:pPr>
      <w:r>
        <w:rPr>
          <w:color w:val="231F20"/>
          <w:w w:val="110"/>
        </w:rPr>
        <w:t>Presentación</w:t>
        <w:tab/>
        <w:t>4</w:t>
      </w:r>
    </w:p>
    <w:p>
      <w:pPr>
        <w:pStyle w:val="Heading1"/>
        <w:tabs>
          <w:tab w:pos="6626" w:val="right" w:leader="dot"/>
        </w:tabs>
        <w:spacing w:before="10"/>
        <w:ind w:left="107" w:right="0"/>
        <w:jc w:val="left"/>
      </w:pPr>
      <w:r>
        <w:rPr>
          <w:color w:val="231F20"/>
          <w:w w:val="110"/>
        </w:rPr>
        <w:t>Agradecimiento</w:t>
        <w:tab/>
        <w:t>6</w:t>
      </w:r>
    </w:p>
    <w:p>
      <w:pPr>
        <w:spacing w:before="250"/>
        <w:ind w:left="107" w:right="0" w:firstLine="0"/>
        <w:jc w:val="left"/>
        <w:rPr>
          <w:rFonts w:ascii="Times New Roman"/>
          <w:b/>
          <w:sz w:val="20"/>
        </w:rPr>
      </w:pPr>
      <w:r>
        <w:rPr>
          <w:rFonts w:ascii="Times New Roman"/>
          <w:b/>
          <w:color w:val="231F20"/>
          <w:sz w:val="20"/>
        </w:rPr>
        <w:t>PARTE I</w:t>
      </w:r>
    </w:p>
    <w:p>
      <w:pPr>
        <w:spacing w:before="10"/>
        <w:ind w:left="107" w:right="0" w:firstLine="0"/>
        <w:jc w:val="left"/>
        <w:rPr>
          <w:rFonts w:ascii="Times New Roman" w:hAnsi="Times New Roman"/>
          <w:b/>
          <w:sz w:val="20"/>
        </w:rPr>
      </w:pPr>
      <w:r>
        <w:rPr>
          <w:rFonts w:ascii="Times New Roman" w:hAnsi="Times New Roman"/>
          <w:b/>
          <w:color w:val="231F20"/>
          <w:sz w:val="20"/>
        </w:rPr>
        <w:t>ÁMBITOS DE INVESTIGACIÓN BÁSICA</w:t>
      </w:r>
    </w:p>
    <w:p>
      <w:pPr>
        <w:pStyle w:val="Heading1"/>
        <w:tabs>
          <w:tab w:pos="6626" w:val="right" w:leader="dot"/>
        </w:tabs>
        <w:spacing w:before="250"/>
        <w:ind w:left="107" w:right="0"/>
        <w:jc w:val="left"/>
      </w:pPr>
      <w:r>
        <w:rPr>
          <w:color w:val="231F20"/>
          <w:w w:val="110"/>
        </w:rPr>
        <w:t>Capítulo 1. Investigación en</w:t>
      </w:r>
      <w:r>
        <w:rPr>
          <w:color w:val="231F20"/>
          <w:spacing w:val="-19"/>
          <w:w w:val="110"/>
        </w:rPr>
        <w:t> </w:t>
      </w:r>
      <w:r>
        <w:rPr>
          <w:color w:val="231F20"/>
          <w:w w:val="110"/>
        </w:rPr>
        <w:t>Comportamiento</w:t>
      </w:r>
      <w:r>
        <w:rPr>
          <w:color w:val="231F20"/>
          <w:spacing w:val="-5"/>
          <w:w w:val="110"/>
        </w:rPr>
        <w:t> </w:t>
      </w:r>
      <w:r>
        <w:rPr>
          <w:color w:val="231F20"/>
          <w:w w:val="110"/>
        </w:rPr>
        <w:t>Animal</w:t>
        <w:tab/>
        <w:t>7</w:t>
      </w:r>
    </w:p>
    <w:p>
      <w:pPr>
        <w:pStyle w:val="Heading1"/>
        <w:tabs>
          <w:tab w:pos="6626" w:val="right" w:leader="dot"/>
        </w:tabs>
        <w:spacing w:before="250"/>
        <w:ind w:left="107" w:right="0"/>
        <w:jc w:val="left"/>
      </w:pPr>
      <w:r>
        <w:rPr>
          <w:color w:val="231F20"/>
          <w:w w:val="110"/>
        </w:rPr>
        <w:t>Capítulo 2. Investigación en</w:t>
      </w:r>
      <w:r>
        <w:rPr>
          <w:color w:val="231F20"/>
          <w:spacing w:val="-16"/>
          <w:w w:val="110"/>
        </w:rPr>
        <w:t> </w:t>
      </w:r>
      <w:r>
        <w:rPr>
          <w:color w:val="231F20"/>
          <w:w w:val="110"/>
        </w:rPr>
        <w:t>Comportamiento</w:t>
      </w:r>
      <w:r>
        <w:rPr>
          <w:color w:val="231F20"/>
          <w:spacing w:val="-4"/>
          <w:w w:val="110"/>
        </w:rPr>
        <w:t> </w:t>
      </w:r>
      <w:r>
        <w:rPr>
          <w:color w:val="231F20"/>
          <w:w w:val="110"/>
        </w:rPr>
        <w:t>Humano</w:t>
        <w:tab/>
        <w:t>46</w:t>
      </w:r>
    </w:p>
    <w:p>
      <w:pPr>
        <w:pStyle w:val="Heading1"/>
        <w:tabs>
          <w:tab w:pos="6626" w:val="right" w:leader="dot"/>
        </w:tabs>
        <w:spacing w:line="249" w:lineRule="auto" w:before="250"/>
        <w:ind w:left="1127" w:right="161" w:hanging="1021"/>
        <w:jc w:val="left"/>
      </w:pPr>
      <w:r>
        <w:rPr>
          <w:color w:val="231F20"/>
          <w:w w:val="110"/>
        </w:rPr>
        <w:t>Capítulo 3. Investigación en Psicofisiología, Psicobiología y Neurofisiología</w:t>
        <w:tab/>
        <w:t>77</w:t>
      </w:r>
    </w:p>
    <w:p>
      <w:pPr>
        <w:spacing w:before="481"/>
        <w:ind w:left="107" w:right="0" w:firstLine="0"/>
        <w:jc w:val="left"/>
        <w:rPr>
          <w:rFonts w:ascii="Times New Roman"/>
          <w:b/>
          <w:sz w:val="20"/>
        </w:rPr>
      </w:pPr>
      <w:r>
        <w:rPr>
          <w:rFonts w:ascii="Times New Roman"/>
          <w:b/>
          <w:color w:val="231F20"/>
          <w:sz w:val="20"/>
        </w:rPr>
        <w:t>PARTE II</w:t>
      </w:r>
    </w:p>
    <w:p>
      <w:pPr>
        <w:spacing w:before="10"/>
        <w:ind w:left="107" w:right="0" w:firstLine="0"/>
        <w:jc w:val="left"/>
        <w:rPr>
          <w:rFonts w:ascii="Times New Roman" w:hAnsi="Times New Roman"/>
          <w:b/>
          <w:sz w:val="20"/>
        </w:rPr>
      </w:pPr>
      <w:r>
        <w:rPr>
          <w:rFonts w:ascii="Times New Roman" w:hAnsi="Times New Roman"/>
          <w:b/>
          <w:color w:val="231F20"/>
          <w:sz w:val="20"/>
        </w:rPr>
        <w:t>ÁMBITOS DE INVESTIGACIÓN BÁSICA, PUENTE Y APLICADA</w:t>
      </w:r>
    </w:p>
    <w:p>
      <w:pPr>
        <w:pStyle w:val="Heading1"/>
        <w:tabs>
          <w:tab w:pos="6626" w:val="right" w:leader="dot"/>
        </w:tabs>
        <w:spacing w:before="250"/>
        <w:ind w:left="107" w:right="0"/>
        <w:jc w:val="left"/>
      </w:pPr>
      <w:r>
        <w:rPr>
          <w:color w:val="231F20"/>
          <w:w w:val="110"/>
        </w:rPr>
        <w:t>Capítulo 4. Investigación en Conducta Alimentaria</w:t>
      </w:r>
      <w:r>
        <w:rPr>
          <w:color w:val="231F20"/>
          <w:spacing w:val="-26"/>
          <w:w w:val="110"/>
        </w:rPr>
        <w:t> </w:t>
      </w:r>
      <w:r>
        <w:rPr>
          <w:color w:val="231F20"/>
          <w:w w:val="110"/>
        </w:rPr>
        <w:t>y</w:t>
      </w:r>
      <w:r>
        <w:rPr>
          <w:color w:val="231F20"/>
          <w:spacing w:val="-5"/>
          <w:w w:val="110"/>
        </w:rPr>
        <w:t> </w:t>
      </w:r>
      <w:r>
        <w:rPr>
          <w:color w:val="231F20"/>
          <w:w w:val="110"/>
        </w:rPr>
        <w:t>Nutrición</w:t>
        <w:tab/>
        <w:t>111</w:t>
      </w:r>
    </w:p>
    <w:p>
      <w:pPr>
        <w:pStyle w:val="Heading1"/>
        <w:tabs>
          <w:tab w:pos="6626" w:val="right" w:leader="dot"/>
        </w:tabs>
        <w:spacing w:before="250"/>
        <w:ind w:left="107" w:right="0"/>
        <w:jc w:val="left"/>
      </w:pPr>
      <w:r>
        <w:rPr>
          <w:color w:val="231F20"/>
          <w:w w:val="110"/>
        </w:rPr>
        <w:t>Capítulo 5. Investigación en</w:t>
      </w:r>
      <w:r>
        <w:rPr>
          <w:color w:val="231F20"/>
          <w:spacing w:val="-26"/>
          <w:w w:val="110"/>
        </w:rPr>
        <w:t> </w:t>
      </w:r>
      <w:r>
        <w:rPr>
          <w:color w:val="231F20"/>
          <w:w w:val="110"/>
        </w:rPr>
        <w:t>Psicología</w:t>
      </w:r>
      <w:r>
        <w:rPr>
          <w:color w:val="231F20"/>
          <w:spacing w:val="-7"/>
          <w:w w:val="110"/>
        </w:rPr>
        <w:t> </w:t>
      </w:r>
      <w:r>
        <w:rPr>
          <w:color w:val="231F20"/>
          <w:w w:val="110"/>
        </w:rPr>
        <w:t>Educativa</w:t>
        <w:tab/>
        <w:t>325</w:t>
      </w:r>
    </w:p>
    <w:p>
      <w:pPr>
        <w:pStyle w:val="Heading1"/>
        <w:spacing w:before="250"/>
        <w:ind w:left="107" w:right="0"/>
        <w:jc w:val="left"/>
      </w:pPr>
      <w:r>
        <w:rPr>
          <w:color w:val="231F20"/>
          <w:w w:val="110"/>
        </w:rPr>
        <w:t>Capítulo 6. Investigación en Procesos Psicosociales, Clínica y Salud . . 429</w:t>
      </w:r>
    </w:p>
    <w:p>
      <w:pPr>
        <w:spacing w:before="490"/>
        <w:ind w:left="107" w:right="0" w:firstLine="0"/>
        <w:jc w:val="left"/>
        <w:rPr>
          <w:rFonts w:ascii="Times New Roman"/>
          <w:b/>
          <w:sz w:val="20"/>
        </w:rPr>
      </w:pPr>
      <w:r>
        <w:rPr>
          <w:rFonts w:ascii="Times New Roman"/>
          <w:b/>
          <w:color w:val="231F20"/>
          <w:sz w:val="20"/>
        </w:rPr>
        <w:t>PARTE III</w:t>
      </w:r>
    </w:p>
    <w:p>
      <w:pPr>
        <w:pStyle w:val="Heading1"/>
        <w:tabs>
          <w:tab w:pos="6626" w:val="right" w:leader="dot"/>
        </w:tabs>
        <w:spacing w:before="250"/>
        <w:ind w:left="107" w:right="0"/>
        <w:jc w:val="left"/>
      </w:pPr>
      <w:r>
        <w:rPr>
          <w:color w:val="231F20"/>
          <w:w w:val="110"/>
        </w:rPr>
        <w:t>Capítulo 7. Conclusiones</w:t>
      </w:r>
      <w:r>
        <w:rPr>
          <w:color w:val="231F20"/>
          <w:spacing w:val="-16"/>
          <w:w w:val="110"/>
        </w:rPr>
        <w:t> </w:t>
      </w:r>
      <w:r>
        <w:rPr>
          <w:color w:val="231F20"/>
          <w:w w:val="110"/>
        </w:rPr>
        <w:t>y</w:t>
      </w:r>
      <w:r>
        <w:rPr>
          <w:color w:val="231F20"/>
          <w:spacing w:val="-6"/>
          <w:w w:val="110"/>
        </w:rPr>
        <w:t> </w:t>
      </w:r>
      <w:r>
        <w:rPr>
          <w:color w:val="231F20"/>
          <w:w w:val="110"/>
        </w:rPr>
        <w:t>prospectiva</w:t>
        <w:tab/>
        <w:t>774</w:t>
      </w:r>
    </w:p>
    <w:p>
      <w:pPr>
        <w:pStyle w:val="Heading1"/>
        <w:tabs>
          <w:tab w:pos="6626" w:val="right" w:leader="dot"/>
        </w:tabs>
        <w:spacing w:before="490"/>
        <w:ind w:left="107" w:right="0"/>
        <w:jc w:val="left"/>
      </w:pPr>
      <w:r>
        <w:rPr>
          <w:color w:val="231F20"/>
          <w:w w:val="115"/>
        </w:rPr>
        <w:t>Índice</w:t>
      </w:r>
      <w:r>
        <w:rPr>
          <w:color w:val="231F20"/>
          <w:spacing w:val="-10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10"/>
          <w:w w:val="115"/>
        </w:rPr>
        <w:t> </w:t>
      </w:r>
      <w:r>
        <w:rPr>
          <w:color w:val="231F20"/>
          <w:w w:val="115"/>
        </w:rPr>
        <w:t>autores,</w:t>
      </w:r>
      <w:r>
        <w:rPr>
          <w:color w:val="231F20"/>
          <w:spacing w:val="-10"/>
          <w:w w:val="115"/>
        </w:rPr>
        <w:t> </w:t>
      </w:r>
      <w:r>
        <w:rPr>
          <w:color w:val="231F20"/>
          <w:w w:val="115"/>
        </w:rPr>
        <w:t>por</w:t>
      </w:r>
      <w:r>
        <w:rPr>
          <w:color w:val="231F20"/>
          <w:spacing w:val="-10"/>
          <w:w w:val="115"/>
        </w:rPr>
        <w:t> </w:t>
      </w:r>
      <w:r>
        <w:rPr>
          <w:color w:val="231F20"/>
          <w:w w:val="115"/>
        </w:rPr>
        <w:t>área</w:t>
      </w:r>
      <w:r>
        <w:rPr>
          <w:color w:val="231F20"/>
          <w:spacing w:val="-10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10"/>
          <w:w w:val="115"/>
        </w:rPr>
        <w:t> </w:t>
      </w:r>
      <w:r>
        <w:rPr>
          <w:color w:val="231F20"/>
          <w:w w:val="115"/>
        </w:rPr>
        <w:t>conocimiento</w:t>
        <w:tab/>
        <w:t>777</w:t>
      </w: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Heading1"/>
        <w:spacing w:before="148"/>
        <w:ind w:left="0" w:right="105"/>
        <w:jc w:val="right"/>
        <w:rPr>
          <w:rFonts w:ascii="Malgun Gothic"/>
        </w:rPr>
      </w:pPr>
      <w:r>
        <w:rPr>
          <w:rFonts w:ascii="Malgun Gothic"/>
          <w:color w:val="231F20"/>
          <w:w w:val="99"/>
        </w:rPr>
        <w:t>3</w:t>
      </w:r>
    </w:p>
    <w:p>
      <w:pPr>
        <w:spacing w:after="0"/>
        <w:jc w:val="right"/>
        <w:rPr>
          <w:rFonts w:ascii="Malgun Gothic"/>
        </w:rPr>
        <w:sectPr>
          <w:pgSz w:w="9080" w:h="12480"/>
          <w:pgMar w:top="1140" w:bottom="280" w:left="1140" w:right="1140"/>
        </w:sectPr>
      </w:pPr>
    </w:p>
    <w:p>
      <w:pPr>
        <w:pStyle w:val="BodyText"/>
        <w:rPr>
          <w:rFonts w:ascii="Malgun Gothic"/>
          <w:sz w:val="20"/>
        </w:rPr>
      </w:pPr>
      <w:r>
        <w:rPr/>
        <w:pict>
          <v:shape style="position:absolute;margin-left:319.369995pt;margin-top:561.26001pt;width:88.85pt;height:34.050pt;mso-position-horizontal-relative:page;mso-position-vertical-relative:page;z-index:-19576" type="#_x0000_t202" filled="false" stroked="false">
            <v:textbox inset="0,0,0,0">
              <w:txbxContent>
                <w:p>
                  <w:pPr>
                    <w:pStyle w:val="BodyText"/>
                    <w:spacing w:before="2"/>
                    <w:ind w:left="1161"/>
                    <w:rPr>
                      <w:rFonts w:ascii="Arial"/>
                    </w:rPr>
                  </w:pPr>
                  <w:r>
                    <w:rPr>
                      <w:rFonts w:ascii="Arial"/>
                    </w:rPr>
                    <w:t>641</w:t>
                  </w:r>
                </w:p>
              </w:txbxContent>
            </v:textbox>
            <w10:wrap type="none"/>
          </v:shape>
        </w:pict>
      </w:r>
    </w:p>
    <w:p>
      <w:pPr>
        <w:pStyle w:val="BodyText"/>
        <w:spacing w:before="11"/>
        <w:rPr>
          <w:rFonts w:ascii="Malgun Gothic"/>
          <w:sz w:val="13"/>
        </w:rPr>
      </w:pPr>
    </w:p>
    <w:p>
      <w:pPr>
        <w:pStyle w:val="Heading2"/>
        <w:spacing w:before="81"/>
        <w:ind w:left="263" w:right="582"/>
        <w:jc w:val="center"/>
      </w:pPr>
      <w:r>
        <w:rPr/>
        <w:t>ESTILOS DE VIDA Y PREVENCIÓN DE RIESGOS A LA SALUD (HIPERTENSIÓN Y DIABETES) EN UNIVERSITARIOS</w:t>
      </w:r>
    </w:p>
    <w:p>
      <w:pPr>
        <w:pStyle w:val="BodyText"/>
        <w:ind w:left="146" w:right="464" w:hanging="1"/>
        <w:jc w:val="center"/>
        <w:rPr>
          <w:sz w:val="12"/>
        </w:rPr>
      </w:pPr>
      <w:r>
        <w:rPr/>
        <w:t>Leonardo Reynoso Erazo</w:t>
      </w:r>
      <w:r>
        <w:rPr>
          <w:position w:val="4"/>
          <w:sz w:val="12"/>
        </w:rPr>
        <w:t>1</w:t>
      </w:r>
      <w:r>
        <w:rPr/>
        <w:t>, Ma. Del Consuelo Escoto Ponce de León</w:t>
      </w:r>
      <w:r>
        <w:rPr>
          <w:position w:val="4"/>
          <w:sz w:val="12"/>
        </w:rPr>
        <w:t>2</w:t>
      </w:r>
      <w:r>
        <w:rPr/>
        <w:t>, Esteban Jaime Camacho Ruiz</w:t>
      </w:r>
      <w:r>
        <w:rPr>
          <w:position w:val="5"/>
          <w:sz w:val="12"/>
        </w:rPr>
        <w:t>3</w:t>
      </w:r>
      <w:r>
        <w:rPr/>
        <w:t>, Ma. Cristina Bravo González</w:t>
      </w:r>
      <w:r>
        <w:rPr>
          <w:position w:val="5"/>
          <w:sz w:val="12"/>
        </w:rPr>
        <w:t>1</w:t>
      </w:r>
      <w:r>
        <w:rPr/>
        <w:t>, Ana Leticia Becerra Gálvez</w:t>
      </w:r>
      <w:r>
        <w:rPr>
          <w:position w:val="5"/>
          <w:sz w:val="12"/>
        </w:rPr>
        <w:t>1 </w:t>
      </w:r>
      <w:r>
        <w:rPr/>
        <w:t>y Maetzin Itzel Ordaz Carrillo</w:t>
      </w:r>
      <w:r>
        <w:rPr>
          <w:position w:val="4"/>
          <w:sz w:val="12"/>
        </w:rPr>
        <w:t>1</w:t>
      </w:r>
    </w:p>
    <w:p>
      <w:pPr>
        <w:pStyle w:val="BodyText"/>
        <w:ind w:left="263" w:right="586"/>
        <w:jc w:val="center"/>
      </w:pPr>
      <w:r>
        <w:rPr>
          <w:position w:val="5"/>
          <w:sz w:val="12"/>
        </w:rPr>
        <w:t>1 </w:t>
      </w:r>
      <w:r>
        <w:rPr/>
        <w:t>Residencia en Medicina Conductual, Facultad de Estudios Superiores Iztacala, Universidad Nacional Autónoma de México</w:t>
      </w:r>
    </w:p>
    <w:p>
      <w:pPr>
        <w:pStyle w:val="BodyText"/>
        <w:spacing w:line="204" w:lineRule="exact"/>
        <w:ind w:left="263" w:right="581"/>
        <w:jc w:val="center"/>
      </w:pPr>
      <w:r>
        <w:rPr>
          <w:position w:val="4"/>
          <w:sz w:val="12"/>
        </w:rPr>
        <w:t>2 </w:t>
      </w:r>
      <w:r>
        <w:rPr/>
        <w:t>Centro Universitario Ecatepec, Universidad Autónoma del Estado de México,</w:t>
      </w:r>
    </w:p>
    <w:p>
      <w:pPr>
        <w:pStyle w:val="BodyText"/>
        <w:spacing w:line="204" w:lineRule="exact"/>
        <w:ind w:left="704" w:right="438"/>
      </w:pPr>
      <w:r>
        <w:rPr>
          <w:position w:val="4"/>
          <w:sz w:val="12"/>
        </w:rPr>
        <w:t>3 </w:t>
      </w:r>
      <w:r>
        <w:rPr/>
        <w:t>UAP Nezahualcóyotl, Universidad Autónoma del Estado de México</w:t>
      </w:r>
    </w:p>
    <w:p>
      <w:pPr>
        <w:pStyle w:val="BodyText"/>
        <w:spacing w:before="1"/>
      </w:pPr>
    </w:p>
    <w:p>
      <w:pPr>
        <w:pStyle w:val="BodyText"/>
        <w:spacing w:line="360" w:lineRule="auto"/>
        <w:ind w:left="101" w:right="438"/>
      </w:pPr>
      <w:r>
        <w:rPr/>
        <w:t>En los últimos años ha existido una disminución de las enfermedades infectocontagiosas en México, debido a que éstas pueden ser tratadas médicamente y realizar acciones preventivas encaminadas a la protección específica de la población; el panorama epidemiológico ha cambiado y las principales causas de mortalidad son ocupadas por las enfermedades crónico-degenerativas. Esta transición epidemiológica ha alentado el desarrollo de investigaciones que relacionan comportamiento y la aparición de enfermedad y se ha establecido que las cifras de morbilidad y mortalidad de algunas enfermedades tienen relación con el estilo de vida (Frenk, Lozano y Bobadilla, 1991; García et al., 2009).</w:t>
      </w:r>
    </w:p>
    <w:p>
      <w:pPr>
        <w:pStyle w:val="BodyText"/>
        <w:spacing w:line="360" w:lineRule="auto" w:before="1"/>
        <w:ind w:left="101" w:right="471" w:firstLine="212"/>
      </w:pPr>
      <w:r>
        <w:rPr/>
        <w:t>Desde edades tempranas existen segmentos de la población que se encuentran en riesgo para la salud, por lo que las acciones preventivas encaminadas a buscar alternativas de estilo de vida saludable se tornan de capital importancia. La Encuesta Nacional de Salud 2012 mostró que cerca de 8% de los adultos mayores de 20 años sufren de diabetes tipo 2 y aproximadamente 30%, de hipertensión arterial. La prevalencia de dislipidemia es cercana a 30% y además señala que siete de cada diez personas adultas presentan sobrepeso y obesidad (Gutiérrez et al., 2012). Aunado a ello, el consumo de tabaco y el ingerir alcohol en cantidades excesivas son dos comportamientos no saludables que pueden favorecer la aparición y el desarrollo tanto de la diabetes como de la hipertensión, de allí la importancia de incidir en esta área de trabajo a través de acciones preventivas que posibiliten el mantenimiento de estilos de vida saludables tanto a nivel individual como grupal.</w:t>
      </w:r>
    </w:p>
    <w:p>
      <w:pPr>
        <w:pStyle w:val="BodyText"/>
        <w:spacing w:line="360" w:lineRule="auto"/>
        <w:ind w:left="101" w:right="503" w:firstLine="212"/>
        <w:jc w:val="both"/>
      </w:pPr>
      <w:r>
        <w:rPr/>
        <w:t>Las cifras de mortalidad cruda en nuestro país han oscilado entre 400 y 500 mil por año (SINAIS, 2013); las enfermedades crónico degenerativas como la diabetes y las cardiovasculares son las más frecuentes en nuestro país. La tendencia en la</w:t>
      </w:r>
    </w:p>
    <w:p>
      <w:pPr>
        <w:spacing w:after="0" w:line="360" w:lineRule="auto"/>
        <w:jc w:val="both"/>
        <w:sectPr>
          <w:headerReference w:type="default" r:id="rId21"/>
          <w:footerReference w:type="default" r:id="rId22"/>
          <w:pgSz w:w="9080" w:h="12480"/>
          <w:pgMar w:header="491" w:footer="1047" w:top="680" w:bottom="1240" w:left="1120" w:right="800"/>
          <w:pgNumType w:start="640"/>
        </w:sectPr>
      </w:pPr>
    </w:p>
    <w:p>
      <w:pPr>
        <w:pStyle w:val="BodyText"/>
        <w:rPr>
          <w:sz w:val="20"/>
        </w:rPr>
      </w:pPr>
      <w:r>
        <w:rPr/>
        <w:pict>
          <v:shape style="position:absolute;margin-left:319.369995pt;margin-top:561.26001pt;width:88.85pt;height:34.050pt;mso-position-horizontal-relative:page;mso-position-vertical-relative:page;z-index:-19552" type="#_x0000_t202" filled="false" stroked="false">
            <v:textbox inset="0,0,0,0">
              <w:txbxContent>
                <w:p>
                  <w:pPr>
                    <w:pStyle w:val="BodyText"/>
                    <w:spacing w:before="2"/>
                    <w:ind w:left="1161"/>
                    <w:rPr>
                      <w:rFonts w:ascii="Arial"/>
                    </w:rPr>
                  </w:pPr>
                  <w:r>
                    <w:rPr>
                      <w:rFonts w:ascii="Arial"/>
                    </w:rPr>
                    <w:t>642</w:t>
                  </w:r>
                </w:p>
              </w:txbxContent>
            </v:textbox>
            <w10:wrap type="none"/>
          </v:shape>
        </w:pict>
      </w:r>
    </w:p>
    <w:p>
      <w:pPr>
        <w:pStyle w:val="BodyText"/>
        <w:rPr>
          <w:sz w:val="20"/>
        </w:rPr>
      </w:pPr>
    </w:p>
    <w:p>
      <w:pPr>
        <w:pStyle w:val="BodyText"/>
        <w:spacing w:before="7"/>
      </w:pPr>
    </w:p>
    <w:p>
      <w:pPr>
        <w:pStyle w:val="BodyText"/>
        <w:spacing w:line="360" w:lineRule="auto"/>
        <w:ind w:left="101" w:right="630"/>
      </w:pPr>
      <w:r>
        <w:rPr/>
        <w:t>mortalidad para diabetes e hipertensión ha sido ascendente, la edad de aparición de las mismas ha disminuido.</w:t>
      </w:r>
    </w:p>
    <w:p>
      <w:pPr>
        <w:pStyle w:val="BodyText"/>
        <w:spacing w:line="360" w:lineRule="auto"/>
        <w:ind w:left="101" w:right="460" w:firstLine="212"/>
      </w:pPr>
      <w:r>
        <w:rPr/>
        <w:t>Dado que la prevención se considera la forma de cambiar la tendencia hacia el decremento en este tipo de problemas crónico-degenerativos, trabajaremos con estudiantes universitarios que se encuentren en riesgo de padecer alguno de estos dos problemas; la forma de demostrar que son sujetos de riesgo será a través de los siguientes indicadores:</w:t>
      </w:r>
    </w:p>
    <w:p>
      <w:pPr>
        <w:pStyle w:val="ListParagraph"/>
        <w:numPr>
          <w:ilvl w:val="0"/>
          <w:numId w:val="1"/>
        </w:numPr>
        <w:tabs>
          <w:tab w:pos="642" w:val="left" w:leader="none"/>
        </w:tabs>
        <w:spacing w:line="360" w:lineRule="auto" w:before="0" w:after="0"/>
        <w:ind w:left="641" w:right="419" w:hanging="270"/>
        <w:jc w:val="left"/>
        <w:rPr>
          <w:sz w:val="18"/>
        </w:rPr>
      </w:pPr>
      <w:r>
        <w:rPr>
          <w:sz w:val="18"/>
        </w:rPr>
        <w:t>Evidencia de que un familiar directo (padre, madre o algún abuelo) padece o falleció por hipertensión o diabetes</w:t>
      </w:r>
      <w:r>
        <w:rPr>
          <w:spacing w:val="-22"/>
          <w:sz w:val="18"/>
        </w:rPr>
        <w:t> </w:t>
      </w:r>
      <w:r>
        <w:rPr>
          <w:sz w:val="18"/>
        </w:rPr>
        <w:t>mellitus</w:t>
      </w:r>
    </w:p>
    <w:p>
      <w:pPr>
        <w:pStyle w:val="ListParagraph"/>
        <w:numPr>
          <w:ilvl w:val="0"/>
          <w:numId w:val="1"/>
        </w:numPr>
        <w:tabs>
          <w:tab w:pos="642" w:val="left" w:leader="none"/>
        </w:tabs>
        <w:spacing w:line="360" w:lineRule="auto" w:before="0" w:after="0"/>
        <w:ind w:left="641" w:right="418" w:hanging="270"/>
        <w:jc w:val="both"/>
        <w:rPr>
          <w:sz w:val="18"/>
        </w:rPr>
      </w:pPr>
      <w:r>
        <w:rPr>
          <w:sz w:val="18"/>
        </w:rPr>
        <w:t>La demostración de que el estudiante se encuentra por arriba de su peso corporal ideal (evidenciar un índice de masa corporal correspondiente a sobrepeso u</w:t>
      </w:r>
      <w:r>
        <w:rPr>
          <w:spacing w:val="-8"/>
          <w:sz w:val="18"/>
        </w:rPr>
        <w:t> </w:t>
      </w:r>
      <w:r>
        <w:rPr>
          <w:sz w:val="18"/>
        </w:rPr>
        <w:t>obesidad).</w:t>
      </w:r>
    </w:p>
    <w:p>
      <w:pPr>
        <w:pStyle w:val="ListParagraph"/>
        <w:numPr>
          <w:ilvl w:val="0"/>
          <w:numId w:val="1"/>
        </w:numPr>
        <w:tabs>
          <w:tab w:pos="642" w:val="left" w:leader="none"/>
        </w:tabs>
        <w:spacing w:line="360" w:lineRule="auto" w:before="1" w:after="0"/>
        <w:ind w:left="641" w:right="419" w:hanging="270"/>
        <w:jc w:val="left"/>
        <w:rPr>
          <w:sz w:val="18"/>
        </w:rPr>
      </w:pPr>
      <w:r>
        <w:rPr>
          <w:sz w:val="18"/>
        </w:rPr>
        <w:t>La medición de cifras de tensión arterial iguales o mayores que 120/80 mm Hg.</w:t>
      </w:r>
    </w:p>
    <w:p>
      <w:pPr>
        <w:pStyle w:val="ListParagraph"/>
        <w:numPr>
          <w:ilvl w:val="0"/>
          <w:numId w:val="1"/>
        </w:numPr>
        <w:tabs>
          <w:tab w:pos="642" w:val="left" w:leader="none"/>
        </w:tabs>
        <w:spacing w:line="240" w:lineRule="auto" w:before="1" w:after="0"/>
        <w:ind w:left="641" w:right="0" w:hanging="270"/>
        <w:jc w:val="left"/>
        <w:rPr>
          <w:sz w:val="18"/>
        </w:rPr>
      </w:pPr>
      <w:r>
        <w:rPr>
          <w:sz w:val="18"/>
        </w:rPr>
        <w:t>La medición por glucometría de cifras de glucosa mayores que 100</w:t>
      </w:r>
      <w:r>
        <w:rPr>
          <w:spacing w:val="-23"/>
          <w:sz w:val="18"/>
        </w:rPr>
        <w:t> </w:t>
      </w:r>
      <w:r>
        <w:rPr>
          <w:sz w:val="18"/>
        </w:rPr>
        <w:t>mg/dl.</w:t>
      </w:r>
    </w:p>
    <w:p>
      <w:pPr>
        <w:pStyle w:val="ListParagraph"/>
        <w:numPr>
          <w:ilvl w:val="0"/>
          <w:numId w:val="1"/>
        </w:numPr>
        <w:tabs>
          <w:tab w:pos="642" w:val="left" w:leader="none"/>
        </w:tabs>
        <w:spacing w:line="240" w:lineRule="auto" w:before="101" w:after="0"/>
        <w:ind w:left="641" w:right="0" w:hanging="270"/>
        <w:jc w:val="left"/>
        <w:rPr>
          <w:sz w:val="18"/>
        </w:rPr>
      </w:pPr>
      <w:r>
        <w:rPr>
          <w:sz w:val="18"/>
        </w:rPr>
        <w:t>Evidencia de</w:t>
      </w:r>
      <w:r>
        <w:rPr>
          <w:spacing w:val="-10"/>
          <w:sz w:val="18"/>
        </w:rPr>
        <w:t> </w:t>
      </w:r>
      <w:r>
        <w:rPr>
          <w:sz w:val="18"/>
        </w:rPr>
        <w:t>sedentarismo.</w:t>
      </w:r>
    </w:p>
    <w:p>
      <w:pPr>
        <w:pStyle w:val="BodyText"/>
        <w:spacing w:line="360" w:lineRule="auto" w:before="101"/>
        <w:ind w:left="101" w:right="472" w:firstLine="212"/>
      </w:pPr>
      <w:r>
        <w:rPr/>
        <w:t>El proyecto tiene como objetivos generales, inicialmente la elaboración de un perfil general de estilo de vida y factores de riesgo en estudiantes universitarios asumiendo la existencia de similitudes y diferencias entre los mismos, para posteriormente ofrecer programas conductuales enfocados a combatir el sedentarismo, cambiar los patrones alimentarios, reducir el estrés y aprender a resolver problemas como alternativas de prevención. Como objetivos específicos se pretende:</w:t>
      </w:r>
    </w:p>
    <w:p>
      <w:pPr>
        <w:pStyle w:val="ListParagraph"/>
        <w:numPr>
          <w:ilvl w:val="0"/>
          <w:numId w:val="2"/>
        </w:numPr>
        <w:tabs>
          <w:tab w:pos="642" w:val="left" w:leader="none"/>
        </w:tabs>
        <w:spacing w:line="352" w:lineRule="auto" w:before="0" w:after="0"/>
        <w:ind w:left="641" w:right="419" w:hanging="270"/>
        <w:jc w:val="left"/>
        <w:rPr>
          <w:sz w:val="18"/>
        </w:rPr>
      </w:pPr>
      <w:r>
        <w:rPr>
          <w:sz w:val="18"/>
        </w:rPr>
        <w:t>Identificar la existencia de factores de riesgo (sobrepeso u obesidad, sedentarismo y herencia) en estudiantes</w:t>
      </w:r>
      <w:r>
        <w:rPr>
          <w:spacing w:val="-27"/>
          <w:sz w:val="18"/>
        </w:rPr>
        <w:t> </w:t>
      </w:r>
      <w:r>
        <w:rPr>
          <w:sz w:val="18"/>
        </w:rPr>
        <w:t>universitarios.</w:t>
      </w:r>
    </w:p>
    <w:p>
      <w:pPr>
        <w:pStyle w:val="ListParagraph"/>
        <w:numPr>
          <w:ilvl w:val="0"/>
          <w:numId w:val="2"/>
        </w:numPr>
        <w:tabs>
          <w:tab w:pos="642" w:val="left" w:leader="none"/>
        </w:tabs>
        <w:spacing w:line="350" w:lineRule="auto" w:before="5" w:after="0"/>
        <w:ind w:left="641" w:right="419" w:hanging="270"/>
        <w:jc w:val="left"/>
        <w:rPr>
          <w:sz w:val="18"/>
        </w:rPr>
      </w:pPr>
      <w:r>
        <w:rPr>
          <w:sz w:val="18"/>
        </w:rPr>
        <w:t>Buscar la frecuencia de hipertensión a través de mediciones de tensión arterial.</w:t>
      </w:r>
    </w:p>
    <w:p>
      <w:pPr>
        <w:pStyle w:val="ListParagraph"/>
        <w:numPr>
          <w:ilvl w:val="0"/>
          <w:numId w:val="2"/>
        </w:numPr>
        <w:tabs>
          <w:tab w:pos="642" w:val="left" w:leader="none"/>
        </w:tabs>
        <w:spacing w:line="350" w:lineRule="auto" w:before="9" w:after="0"/>
        <w:ind w:left="641" w:right="419" w:hanging="270"/>
        <w:jc w:val="left"/>
        <w:rPr>
          <w:sz w:val="18"/>
        </w:rPr>
      </w:pPr>
      <w:r>
        <w:rPr>
          <w:sz w:val="18"/>
        </w:rPr>
        <w:t>Buscar la frecuencia de hiperglucemia a través de la medición con glucómetro.</w:t>
      </w:r>
    </w:p>
    <w:p>
      <w:pPr>
        <w:pStyle w:val="ListParagraph"/>
        <w:numPr>
          <w:ilvl w:val="0"/>
          <w:numId w:val="2"/>
        </w:numPr>
        <w:tabs>
          <w:tab w:pos="642" w:val="left" w:leader="none"/>
        </w:tabs>
        <w:spacing w:line="240" w:lineRule="auto" w:before="9" w:after="0"/>
        <w:ind w:left="641" w:right="0" w:hanging="270"/>
        <w:jc w:val="left"/>
        <w:rPr>
          <w:sz w:val="18"/>
        </w:rPr>
      </w:pPr>
      <w:r>
        <w:rPr>
          <w:sz w:val="18"/>
        </w:rPr>
        <w:t>Buscar relaciones entre estas</w:t>
      </w:r>
      <w:r>
        <w:rPr>
          <w:spacing w:val="-18"/>
          <w:sz w:val="18"/>
        </w:rPr>
        <w:t> </w:t>
      </w:r>
      <w:r>
        <w:rPr>
          <w:sz w:val="18"/>
        </w:rPr>
        <w:t>variables.</w:t>
      </w:r>
    </w:p>
    <w:p>
      <w:pPr>
        <w:pStyle w:val="ListParagraph"/>
        <w:numPr>
          <w:ilvl w:val="0"/>
          <w:numId w:val="2"/>
        </w:numPr>
        <w:tabs>
          <w:tab w:pos="642" w:val="left" w:leader="none"/>
        </w:tabs>
        <w:spacing w:line="240" w:lineRule="auto" w:before="101" w:after="0"/>
        <w:ind w:left="641" w:right="0" w:hanging="270"/>
        <w:jc w:val="left"/>
        <w:rPr>
          <w:sz w:val="18"/>
        </w:rPr>
      </w:pPr>
      <w:r>
        <w:rPr>
          <w:sz w:val="18"/>
        </w:rPr>
        <w:t>Ofrecer alternativas conductuales para combatir el</w:t>
      </w:r>
      <w:r>
        <w:rPr>
          <w:spacing w:val="-30"/>
          <w:sz w:val="18"/>
        </w:rPr>
        <w:t> </w:t>
      </w:r>
      <w:r>
        <w:rPr>
          <w:sz w:val="18"/>
        </w:rPr>
        <w:t>sedentarismo.</w:t>
      </w:r>
    </w:p>
    <w:p>
      <w:pPr>
        <w:spacing w:after="0" w:line="240" w:lineRule="auto"/>
        <w:jc w:val="left"/>
        <w:rPr>
          <w:sz w:val="18"/>
        </w:rPr>
        <w:sectPr>
          <w:pgSz w:w="9080" w:h="12480"/>
          <w:pgMar w:header="491" w:footer="1047" w:top="680" w:bottom="1240" w:left="1120" w:right="800"/>
        </w:sectPr>
      </w:pPr>
    </w:p>
    <w:p>
      <w:pPr>
        <w:pStyle w:val="BodyText"/>
        <w:rPr>
          <w:sz w:val="20"/>
        </w:rPr>
      </w:pPr>
      <w:r>
        <w:rPr/>
        <w:pict>
          <v:shape style="position:absolute;margin-left:319.369995pt;margin-top:561.26001pt;width:88.85pt;height:34.050pt;mso-position-horizontal-relative:page;mso-position-vertical-relative:page;z-index:-19528" type="#_x0000_t202" filled="false" stroked="false">
            <v:textbox inset="0,0,0,0">
              <w:txbxContent>
                <w:p>
                  <w:pPr>
                    <w:pStyle w:val="BodyText"/>
                    <w:spacing w:before="2"/>
                    <w:ind w:left="1161"/>
                    <w:rPr>
                      <w:rFonts w:ascii="Arial"/>
                    </w:rPr>
                  </w:pPr>
                  <w:r>
                    <w:rPr>
                      <w:rFonts w:ascii="Arial"/>
                    </w:rPr>
                    <w:t>643</w:t>
                  </w:r>
                </w:p>
              </w:txbxContent>
            </v:textbox>
            <w10:wrap type="none"/>
          </v:shape>
        </w:pict>
      </w:r>
    </w:p>
    <w:p>
      <w:pPr>
        <w:pStyle w:val="BodyText"/>
        <w:rPr>
          <w:sz w:val="20"/>
        </w:rPr>
      </w:pPr>
    </w:p>
    <w:p>
      <w:pPr>
        <w:pStyle w:val="BodyText"/>
        <w:spacing w:before="7"/>
      </w:pPr>
    </w:p>
    <w:p>
      <w:pPr>
        <w:pStyle w:val="ListParagraph"/>
        <w:numPr>
          <w:ilvl w:val="0"/>
          <w:numId w:val="2"/>
        </w:numPr>
        <w:tabs>
          <w:tab w:pos="642" w:val="left" w:leader="none"/>
        </w:tabs>
        <w:spacing w:line="240" w:lineRule="auto" w:before="0" w:after="0"/>
        <w:ind w:left="641" w:right="0" w:hanging="270"/>
        <w:jc w:val="left"/>
        <w:rPr>
          <w:sz w:val="18"/>
        </w:rPr>
      </w:pPr>
      <w:r>
        <w:rPr>
          <w:sz w:val="18"/>
        </w:rPr>
        <w:t>Ofrecer alternativas educativas de alimentación</w:t>
      </w:r>
      <w:r>
        <w:rPr>
          <w:spacing w:val="-25"/>
          <w:sz w:val="18"/>
        </w:rPr>
        <w:t> </w:t>
      </w:r>
      <w:r>
        <w:rPr>
          <w:sz w:val="18"/>
        </w:rPr>
        <w:t>saludable</w:t>
      </w:r>
    </w:p>
    <w:p>
      <w:pPr>
        <w:pStyle w:val="ListParagraph"/>
        <w:numPr>
          <w:ilvl w:val="0"/>
          <w:numId w:val="2"/>
        </w:numPr>
        <w:tabs>
          <w:tab w:pos="642" w:val="left" w:leader="none"/>
        </w:tabs>
        <w:spacing w:line="240" w:lineRule="auto" w:before="103" w:after="0"/>
        <w:ind w:left="641" w:right="0" w:hanging="270"/>
        <w:jc w:val="left"/>
        <w:rPr>
          <w:sz w:val="18"/>
        </w:rPr>
      </w:pPr>
      <w:r>
        <w:rPr>
          <w:sz w:val="18"/>
        </w:rPr>
        <w:t>Ofrecer un programa de reducción de</w:t>
      </w:r>
      <w:r>
        <w:rPr>
          <w:spacing w:val="-16"/>
          <w:sz w:val="18"/>
        </w:rPr>
        <w:t> </w:t>
      </w:r>
      <w:r>
        <w:rPr>
          <w:sz w:val="18"/>
        </w:rPr>
        <w:t>estrés</w:t>
      </w:r>
    </w:p>
    <w:p>
      <w:pPr>
        <w:pStyle w:val="ListParagraph"/>
        <w:numPr>
          <w:ilvl w:val="0"/>
          <w:numId w:val="2"/>
        </w:numPr>
        <w:tabs>
          <w:tab w:pos="642" w:val="left" w:leader="none"/>
        </w:tabs>
        <w:spacing w:line="240" w:lineRule="auto" w:before="101" w:after="0"/>
        <w:ind w:left="641" w:right="0" w:hanging="270"/>
        <w:jc w:val="left"/>
        <w:rPr>
          <w:sz w:val="18"/>
        </w:rPr>
      </w:pPr>
      <w:r>
        <w:rPr>
          <w:sz w:val="18"/>
        </w:rPr>
        <w:t>Ofrecer un programa para la solución de</w:t>
      </w:r>
      <w:r>
        <w:rPr>
          <w:spacing w:val="-17"/>
          <w:sz w:val="18"/>
        </w:rPr>
        <w:t> </w:t>
      </w:r>
      <w:r>
        <w:rPr>
          <w:sz w:val="18"/>
        </w:rPr>
        <w:t>problemas</w:t>
      </w:r>
    </w:p>
    <w:p>
      <w:pPr>
        <w:pStyle w:val="ListParagraph"/>
        <w:numPr>
          <w:ilvl w:val="0"/>
          <w:numId w:val="2"/>
        </w:numPr>
        <w:tabs>
          <w:tab w:pos="642" w:val="left" w:leader="none"/>
        </w:tabs>
        <w:spacing w:line="352" w:lineRule="auto" w:before="101" w:after="0"/>
        <w:ind w:left="641" w:right="417" w:hanging="270"/>
        <w:jc w:val="left"/>
        <w:rPr>
          <w:sz w:val="18"/>
        </w:rPr>
      </w:pPr>
      <w:r>
        <w:rPr>
          <w:sz w:val="18"/>
        </w:rPr>
        <w:t>Comparar las cifras de TA, peso, IMC y glucosa entre un grupo control y experimental.</w:t>
      </w:r>
    </w:p>
    <w:p>
      <w:pPr>
        <w:pStyle w:val="ListParagraph"/>
        <w:numPr>
          <w:ilvl w:val="0"/>
          <w:numId w:val="2"/>
        </w:numPr>
        <w:tabs>
          <w:tab w:pos="642" w:val="left" w:leader="none"/>
        </w:tabs>
        <w:spacing w:line="350" w:lineRule="auto" w:before="5" w:after="0"/>
        <w:ind w:left="641" w:right="419" w:hanging="270"/>
        <w:jc w:val="left"/>
        <w:rPr>
          <w:sz w:val="18"/>
        </w:rPr>
      </w:pPr>
      <w:r>
        <w:rPr>
          <w:sz w:val="18"/>
        </w:rPr>
        <w:t>Comparar los resultados entre distintas poblaciones de estudiantes universitarios</w:t>
      </w:r>
    </w:p>
    <w:p>
      <w:pPr>
        <w:pStyle w:val="BodyText"/>
        <w:spacing w:line="360" w:lineRule="auto" w:before="9"/>
        <w:ind w:left="101" w:right="681" w:firstLine="212"/>
        <w:rPr>
          <w:b/>
          <w:i/>
        </w:rPr>
      </w:pPr>
      <w:r>
        <w:rPr/>
        <w:t>En esta ocasión se presenta el reporte de la primera etapa, consistente en la evaluación del estilo de vida de sujetos de tres distintas instituciones educativas. </w:t>
      </w:r>
      <w:r>
        <w:rPr>
          <w:b/>
          <w:i/>
        </w:rPr>
        <w:t>Método</w:t>
      </w:r>
    </w:p>
    <w:p>
      <w:pPr>
        <w:spacing w:line="204" w:lineRule="exact" w:before="0"/>
        <w:ind w:left="101" w:right="438" w:firstLine="0"/>
        <w:jc w:val="left"/>
        <w:rPr>
          <w:i/>
          <w:sz w:val="18"/>
        </w:rPr>
      </w:pPr>
      <w:r>
        <w:rPr>
          <w:i/>
          <w:sz w:val="18"/>
        </w:rPr>
        <w:t>Escenario:</w:t>
      </w:r>
    </w:p>
    <w:p>
      <w:pPr>
        <w:pStyle w:val="BodyText"/>
        <w:spacing w:line="360" w:lineRule="auto" w:before="101"/>
        <w:ind w:left="101" w:right="1058"/>
      </w:pPr>
      <w:r>
        <w:rPr/>
        <w:t>Salones de clase de tres distintas institucioners educativas de nivel superior localizadas en Tlalnepantla, Ecatepec y Nezahualcóyotl.</w:t>
      </w:r>
    </w:p>
    <w:p>
      <w:pPr>
        <w:spacing w:line="204" w:lineRule="exact" w:before="0"/>
        <w:ind w:left="101" w:right="438" w:firstLine="0"/>
        <w:jc w:val="left"/>
        <w:rPr>
          <w:i/>
          <w:sz w:val="18"/>
        </w:rPr>
      </w:pPr>
      <w:r>
        <w:rPr>
          <w:i/>
          <w:sz w:val="18"/>
        </w:rPr>
        <w:t>Sujetos:</w:t>
      </w:r>
    </w:p>
    <w:p>
      <w:pPr>
        <w:pStyle w:val="BodyText"/>
        <w:spacing w:before="103"/>
        <w:ind w:left="101" w:right="438"/>
      </w:pPr>
      <w:r>
        <w:rPr/>
        <w:t>466 Estudiantes universitarios de nivel licenciatura.</w:t>
      </w:r>
    </w:p>
    <w:p>
      <w:pPr>
        <w:spacing w:before="101"/>
        <w:ind w:left="101" w:right="438" w:firstLine="0"/>
        <w:jc w:val="left"/>
        <w:rPr>
          <w:i/>
          <w:sz w:val="18"/>
        </w:rPr>
      </w:pPr>
      <w:r>
        <w:rPr>
          <w:i/>
          <w:sz w:val="18"/>
        </w:rPr>
        <w:t>Instrumentos:</w:t>
      </w:r>
    </w:p>
    <w:p>
      <w:pPr>
        <w:pStyle w:val="BodyText"/>
        <w:spacing w:line="360" w:lineRule="auto" w:before="103"/>
        <w:ind w:left="101" w:right="882"/>
      </w:pPr>
      <w:r>
        <w:rPr/>
        <w:t>Cuestionario sobre estilos de vida en estudiantes universitarios (FR, Reynoso, 2006)</w:t>
      </w:r>
    </w:p>
    <w:p>
      <w:pPr>
        <w:spacing w:line="204" w:lineRule="exact" w:before="0"/>
        <w:ind w:left="101" w:right="438" w:firstLine="0"/>
        <w:jc w:val="left"/>
        <w:rPr>
          <w:i/>
          <w:sz w:val="18"/>
        </w:rPr>
      </w:pPr>
      <w:r>
        <w:rPr>
          <w:i/>
          <w:sz w:val="18"/>
        </w:rPr>
        <w:t>Aparatos:</w:t>
      </w:r>
    </w:p>
    <w:p>
      <w:pPr>
        <w:pStyle w:val="BodyText"/>
        <w:spacing w:line="360" w:lineRule="auto" w:before="103"/>
        <w:ind w:left="101" w:right="708"/>
      </w:pPr>
      <w:r>
        <w:rPr/>
        <w:t>Estetoscopio, Esfigmomanómetro de mercurio con brazalete de adulto, Báscula, Estadímetro, Glucómetro y lancetas.</w:t>
      </w:r>
    </w:p>
    <w:p>
      <w:pPr>
        <w:pStyle w:val="Heading2"/>
      </w:pPr>
      <w:r>
        <w:rPr/>
        <w:t>Resultados y Discusión</w:t>
      </w:r>
    </w:p>
    <w:p>
      <w:pPr>
        <w:pStyle w:val="BodyText"/>
        <w:spacing w:line="360" w:lineRule="auto" w:before="101"/>
        <w:ind w:left="101" w:right="551"/>
      </w:pPr>
      <w:r>
        <w:rPr/>
        <w:t>Los datos de edad, peso, talla e índice de masa corporal nos permiten señalar que en esta muestra el 3 % presenta peso bajo, el 29 % sobrepeso, 8 % obesidad y peso normal en el 60 %</w:t>
      </w:r>
    </w:p>
    <w:p>
      <w:pPr>
        <w:pStyle w:val="BodyText"/>
        <w:spacing w:line="360" w:lineRule="auto"/>
        <w:ind w:left="101" w:right="517" w:firstLine="212"/>
      </w:pPr>
      <w:r>
        <w:rPr/>
        <w:t>Con relación a las cifras de tensión arterial (TA), los datos muestran dispersión; hay sujetos con cifras de TA fuera de rango: 33 con sistólicas anormales, 36 con diastólicas anormales y 9 con ambas. Se identificaron a 36 participantes con valores de glicemia por arriba de la norma.</w:t>
      </w:r>
    </w:p>
    <w:p>
      <w:pPr>
        <w:pStyle w:val="BodyText"/>
        <w:spacing w:line="360" w:lineRule="auto"/>
        <w:ind w:left="101" w:right="586" w:firstLine="212"/>
      </w:pPr>
      <w:r>
        <w:rPr/>
        <w:t>Los antecedentes hereditarios de diabetes mellitus son positivos en 61% de los participantes, los de cáncer 27 % y de obesidad 31 %. 52 % reporta no tener visión</w:t>
      </w:r>
    </w:p>
    <w:p>
      <w:pPr>
        <w:spacing w:after="0" w:line="360" w:lineRule="auto"/>
        <w:sectPr>
          <w:pgSz w:w="9080" w:h="12480"/>
          <w:pgMar w:header="491" w:footer="1047" w:top="680" w:bottom="1240" w:left="1120" w:right="800"/>
        </w:sectPr>
      </w:pPr>
    </w:p>
    <w:p>
      <w:pPr>
        <w:pStyle w:val="BodyText"/>
        <w:rPr>
          <w:sz w:val="20"/>
        </w:rPr>
      </w:pPr>
      <w:r>
        <w:rPr/>
        <w:pict>
          <v:shape style="position:absolute;margin-left:319.369995pt;margin-top:561.26001pt;width:88.85pt;height:34.050pt;mso-position-horizontal-relative:page;mso-position-vertical-relative:page;z-index:-19216" type="#_x0000_t202" filled="false" stroked="false">
            <v:textbox inset="0,0,0,0">
              <w:txbxContent>
                <w:p>
                  <w:pPr>
                    <w:pStyle w:val="BodyText"/>
                    <w:spacing w:before="2"/>
                    <w:ind w:left="1161"/>
                    <w:rPr>
                      <w:rFonts w:ascii="Arial"/>
                    </w:rPr>
                  </w:pPr>
                  <w:r>
                    <w:rPr>
                      <w:rFonts w:ascii="Arial"/>
                      <w:color w:val="231F20"/>
                    </w:rPr>
                    <w:t>644</w:t>
                  </w:r>
                </w:p>
              </w:txbxContent>
            </v:textbox>
            <w10:wrap type="none"/>
          </v:shape>
        </w:pict>
      </w:r>
    </w:p>
    <w:p>
      <w:pPr>
        <w:pStyle w:val="BodyText"/>
        <w:rPr>
          <w:sz w:val="20"/>
        </w:rPr>
      </w:pPr>
    </w:p>
    <w:p>
      <w:pPr>
        <w:pStyle w:val="BodyText"/>
        <w:spacing w:before="7"/>
      </w:pPr>
    </w:p>
    <w:p>
      <w:pPr>
        <w:pStyle w:val="BodyText"/>
        <w:spacing w:line="360" w:lineRule="auto"/>
        <w:ind w:left="101" w:right="426"/>
      </w:pPr>
      <w:r>
        <w:rPr>
          <w:color w:val="231F20"/>
        </w:rPr>
        <w:t>normal, 51% no usa lentes y existe una variedad de alteraciones visuales (ver Figura 1).</w:t>
      </w:r>
    </w:p>
    <w:p>
      <w:pPr>
        <w:pStyle w:val="BodyText"/>
        <w:ind w:left="801"/>
        <w:rPr>
          <w:sz w:val="20"/>
        </w:rPr>
      </w:pPr>
      <w:r>
        <w:rPr>
          <w:sz w:val="20"/>
        </w:rPr>
        <w:pict>
          <v:group style="width:261.4pt;height:124.75pt;mso-position-horizontal-relative:char;mso-position-vertical-relative:line" coordorigin="0,0" coordsize="5228,2495">
            <v:shape style="position:absolute;left:494;top:324;width:4241;height:1847" type="#_x0000_t75" stroked="false">
              <v:imagedata r:id="rId23" o:title=""/>
            </v:shape>
            <v:line style="position:absolute" from="1815,2027" to="1676,2213" stroked="true" strokeweight=".375pt" strokecolor="#231f20"/>
            <v:line style="position:absolute" from="1676,2213" to="1608,2213" stroked="true" strokeweight=".375pt" strokecolor="#231f20"/>
            <v:line style="position:absolute" from="1275,1748" to="1187,2033" stroked="true" strokeweight=".375pt" strokecolor="#231f20"/>
            <v:line style="position:absolute" from="1187,2033" to="1120,2033" stroked="true" strokeweight=".375pt" strokecolor="#231f20"/>
            <v:line style="position:absolute" from="1194,1671" to="1057,1703" stroked="true" strokeweight=".375pt" strokecolor="#231f20"/>
            <v:line style="position:absolute" from="1057,1703" to="990,1703" stroked="true" strokeweight=".375pt" strokecolor="#231f20"/>
            <v:line style="position:absolute" from="3005,369" to="3185,170" stroked="true" strokeweight=".375pt" strokecolor="#231f20"/>
            <v:line style="position:absolute" from="3185,170" to="3252,170" stroked="true" strokeweight=".375pt" strokecolor="#231f20"/>
            <v:rect style="position:absolute;left:4;top:4;width:5220;height:2486" filled="false" stroked="true" strokeweight=".375pt" strokecolor="#9a9d9f"/>
            <v:shape style="position:absolute;left:3267;top:72;width:852;height:395" type="#_x0000_t202" filled="false" stroked="false">
              <v:textbox inset="0,0,0,0">
                <w:txbxContent>
                  <w:p>
                    <w:pPr>
                      <w:spacing w:line="124" w:lineRule="exact" w:before="0"/>
                      <w:ind w:left="64" w:right="-19" w:hanging="65"/>
                      <w:jc w:val="left"/>
                      <w:rPr>
                        <w:sz w:val="12"/>
                      </w:rPr>
                    </w:pPr>
                    <w:r>
                      <w:rPr>
                        <w:color w:val="231F20"/>
                        <w:sz w:val="12"/>
                      </w:rPr>
                      <w:t>hipermetropia y</w:t>
                    </w:r>
                  </w:p>
                  <w:p>
                    <w:pPr>
                      <w:spacing w:before="0"/>
                      <w:ind w:left="349" w:right="53" w:hanging="285"/>
                      <w:jc w:val="left"/>
                      <w:rPr>
                        <w:sz w:val="12"/>
                      </w:rPr>
                    </w:pPr>
                    <w:r>
                      <w:rPr>
                        <w:color w:val="231F20"/>
                        <w:sz w:val="12"/>
                      </w:rPr>
                      <w:t>astigmatismo 1%</w:t>
                    </w:r>
                  </w:p>
                </w:txbxContent>
              </v:textbox>
              <w10:wrap type="none"/>
            </v:shape>
            <v:shape style="position:absolute;left:1800;top:432;width:721;height:395" type="#_x0000_t202" filled="false" stroked="false">
              <v:textbox inset="0,0,0,0">
                <w:txbxContent>
                  <w:p>
                    <w:pPr>
                      <w:spacing w:line="124" w:lineRule="exact" w:before="0"/>
                      <w:ind w:left="0" w:right="0" w:firstLine="0"/>
                      <w:jc w:val="center"/>
                      <w:rPr>
                        <w:sz w:val="12"/>
                      </w:rPr>
                    </w:pPr>
                    <w:r>
                      <w:rPr>
                        <w:color w:val="231F20"/>
                        <w:sz w:val="12"/>
                      </w:rPr>
                      <w:t>miopia y</w:t>
                    </w:r>
                  </w:p>
                  <w:p>
                    <w:pPr>
                      <w:spacing w:before="0"/>
                      <w:ind w:left="0" w:right="0" w:firstLine="0"/>
                      <w:jc w:val="center"/>
                      <w:rPr>
                        <w:sz w:val="12"/>
                      </w:rPr>
                    </w:pPr>
                    <w:r>
                      <w:rPr>
                        <w:color w:val="231F20"/>
                        <w:sz w:val="12"/>
                      </w:rPr>
                      <w:t>astigmatismo 29%</w:t>
                    </w:r>
                  </w:p>
                </w:txbxContent>
              </v:textbox>
              <w10:wrap type="none"/>
            </v:shape>
            <v:shape style="position:absolute;left:3344;top:613;width:404;height:258" type="#_x0000_t202" filled="false" stroked="false">
              <v:textbox inset="0,0,0,0">
                <w:txbxContent>
                  <w:p>
                    <w:pPr>
                      <w:spacing w:line="124" w:lineRule="exact" w:before="0"/>
                      <w:ind w:left="88" w:right="-18" w:hanging="89"/>
                      <w:jc w:val="left"/>
                      <w:rPr>
                        <w:sz w:val="12"/>
                      </w:rPr>
                    </w:pPr>
                    <w:r>
                      <w:rPr>
                        <w:color w:val="231F20"/>
                        <w:sz w:val="12"/>
                      </w:rPr>
                      <w:t>no sabe</w:t>
                    </w:r>
                  </w:p>
                  <w:p>
                    <w:pPr>
                      <w:spacing w:line="133" w:lineRule="exact" w:before="0"/>
                      <w:ind w:left="88" w:right="-18" w:firstLine="0"/>
                      <w:jc w:val="left"/>
                      <w:rPr>
                        <w:sz w:val="12"/>
                      </w:rPr>
                    </w:pPr>
                    <w:r>
                      <w:rPr>
                        <w:color w:val="231F20"/>
                        <w:sz w:val="12"/>
                      </w:rPr>
                      <w:t>25%</w:t>
                    </w:r>
                  </w:p>
                </w:txbxContent>
              </v:textbox>
              <w10:wrap type="none"/>
            </v:shape>
            <v:shape style="position:absolute;left:1150;top:995;width:216;height:258" type="#_x0000_t202" filled="false" stroked="false">
              <v:textbox inset="0,0,0,0">
                <w:txbxContent>
                  <w:p>
                    <w:pPr>
                      <w:spacing w:line="124" w:lineRule="exact" w:before="0"/>
                      <w:ind w:left="25" w:right="-19" w:hanging="26"/>
                      <w:jc w:val="left"/>
                      <w:rPr>
                        <w:sz w:val="12"/>
                      </w:rPr>
                    </w:pPr>
                    <w:r>
                      <w:rPr>
                        <w:color w:val="231F20"/>
                        <w:sz w:val="12"/>
                      </w:rPr>
                      <w:t>otra</w:t>
                    </w:r>
                  </w:p>
                  <w:p>
                    <w:pPr>
                      <w:spacing w:line="133" w:lineRule="exact" w:before="0"/>
                      <w:ind w:left="25" w:right="-19" w:firstLine="0"/>
                      <w:jc w:val="left"/>
                      <w:rPr>
                        <w:sz w:val="12"/>
                      </w:rPr>
                    </w:pPr>
                    <w:r>
                      <w:rPr>
                        <w:color w:val="231F20"/>
                        <w:sz w:val="12"/>
                      </w:rPr>
                      <w:t>9%</w:t>
                    </w:r>
                  </w:p>
                </w:txbxContent>
              </v:textbox>
              <w10:wrap type="none"/>
            </v:shape>
            <v:shape style="position:absolute;left:3096;top:1389;width:373;height:258" type="#_x0000_t202" filled="false" stroked="false">
              <v:textbox inset="0,0,0,0">
                <w:txbxContent>
                  <w:p>
                    <w:pPr>
                      <w:spacing w:line="124" w:lineRule="exact" w:before="0"/>
                      <w:ind w:left="77" w:right="-16" w:hanging="78"/>
                      <w:jc w:val="left"/>
                      <w:rPr>
                        <w:sz w:val="12"/>
                      </w:rPr>
                    </w:pPr>
                    <w:r>
                      <w:rPr>
                        <w:color w:val="231F20"/>
                        <w:sz w:val="12"/>
                      </w:rPr>
                      <w:t>miopía</w:t>
                    </w:r>
                  </w:p>
                  <w:p>
                    <w:pPr>
                      <w:spacing w:line="133" w:lineRule="exact" w:before="0"/>
                      <w:ind w:left="77" w:right="-16" w:firstLine="0"/>
                      <w:jc w:val="left"/>
                      <w:rPr>
                        <w:sz w:val="12"/>
                      </w:rPr>
                    </w:pPr>
                    <w:r>
                      <w:rPr>
                        <w:color w:val="231F20"/>
                        <w:sz w:val="12"/>
                      </w:rPr>
                      <w:t>21%</w:t>
                    </w:r>
                  </w:p>
                </w:txbxContent>
              </v:textbox>
              <w10:wrap type="none"/>
            </v:shape>
            <v:shape style="position:absolute;left:330;top:1614;width:1258;height:764" type="#_x0000_t202" filled="false" stroked="false">
              <v:textbox inset="0,0,0,0">
                <w:txbxContent>
                  <w:p>
                    <w:pPr>
                      <w:spacing w:line="124" w:lineRule="exact" w:before="0"/>
                      <w:ind w:left="0" w:right="578" w:firstLine="0"/>
                      <w:jc w:val="center"/>
                      <w:rPr>
                        <w:sz w:val="12"/>
                      </w:rPr>
                    </w:pPr>
                    <w:r>
                      <w:rPr>
                        <w:color w:val="231F20"/>
                        <w:sz w:val="12"/>
                      </w:rPr>
                      <w:t>estrabismo</w:t>
                    </w:r>
                  </w:p>
                  <w:p>
                    <w:pPr>
                      <w:spacing w:before="0"/>
                      <w:ind w:left="0" w:right="581" w:firstLine="0"/>
                      <w:jc w:val="center"/>
                      <w:rPr>
                        <w:sz w:val="12"/>
                      </w:rPr>
                    </w:pPr>
                    <w:r>
                      <w:rPr>
                        <w:color w:val="231F20"/>
                        <w:sz w:val="12"/>
                      </w:rPr>
                      <w:t>1%</w:t>
                    </w:r>
                  </w:p>
                  <w:p>
                    <w:pPr>
                      <w:spacing w:before="53"/>
                      <w:ind w:left="0" w:right="490" w:firstLine="0"/>
                      <w:jc w:val="center"/>
                      <w:rPr>
                        <w:sz w:val="12"/>
                      </w:rPr>
                    </w:pPr>
                    <w:r>
                      <w:rPr>
                        <w:color w:val="231F20"/>
                        <w:sz w:val="12"/>
                      </w:rPr>
                      <w:t>hipermetropía</w:t>
                    </w:r>
                  </w:p>
                  <w:p>
                    <w:pPr>
                      <w:spacing w:before="3"/>
                      <w:ind w:left="298" w:right="0" w:firstLine="0"/>
                      <w:jc w:val="left"/>
                      <w:rPr>
                        <w:sz w:val="12"/>
                      </w:rPr>
                    </w:pPr>
                    <w:r>
                      <w:rPr>
                        <w:color w:val="231F20"/>
                        <w:position w:val="4"/>
                        <w:sz w:val="12"/>
                      </w:rPr>
                      <w:t>2%  </w:t>
                    </w:r>
                    <w:r>
                      <w:rPr>
                        <w:color w:val="231F20"/>
                        <w:sz w:val="12"/>
                      </w:rPr>
                      <w:t>astigmatismo</w:t>
                    </w:r>
                  </w:p>
                  <w:p>
                    <w:pPr>
                      <w:spacing w:line="133" w:lineRule="exact" w:before="0"/>
                      <w:ind w:left="789" w:right="0" w:firstLine="0"/>
                      <w:jc w:val="left"/>
                      <w:rPr>
                        <w:sz w:val="12"/>
                      </w:rPr>
                    </w:pPr>
                    <w:r>
                      <w:rPr>
                        <w:color w:val="231F20"/>
                        <w:sz w:val="12"/>
                      </w:rPr>
                      <w:t>12%</w:t>
                    </w:r>
                  </w:p>
                </w:txbxContent>
              </v:textbox>
              <w10:wrap type="none"/>
            </v:shape>
          </v:group>
        </w:pict>
      </w:r>
      <w:r>
        <w:rPr>
          <w:sz w:val="20"/>
        </w:rPr>
      </w:r>
    </w:p>
    <w:p>
      <w:pPr>
        <w:spacing w:before="0"/>
        <w:ind w:left="263" w:right="582" w:firstLine="0"/>
        <w:jc w:val="center"/>
        <w:rPr>
          <w:sz w:val="13"/>
        </w:rPr>
      </w:pPr>
      <w:r>
        <w:rPr>
          <w:color w:val="231F20"/>
          <w:w w:val="105"/>
          <w:sz w:val="13"/>
        </w:rPr>
        <w:t>Figura 1.- Muestra las alteraciones visuales más frecuentemente reportadas.</w:t>
      </w:r>
    </w:p>
    <w:p>
      <w:pPr>
        <w:pStyle w:val="BodyText"/>
        <w:spacing w:line="360" w:lineRule="auto" w:before="1"/>
        <w:ind w:left="101" w:right="725" w:firstLine="212"/>
      </w:pPr>
      <w:r>
        <w:rPr>
          <w:color w:val="231F20"/>
        </w:rPr>
        <w:t>Con relación a conductas de riesgo a la salud, 66% reporta ingerir bebidas alcohólicas, 25% reporta ser fumador activo; en lo relativo al uso de condón, 5% reporta no utilizarlo nunca y 10% no por tener una sola pareja. 9% utiliza algún método anticonceptivo.</w:t>
      </w:r>
    </w:p>
    <w:p>
      <w:pPr>
        <w:pStyle w:val="BodyText"/>
        <w:spacing w:before="1"/>
        <w:ind w:left="314" w:right="438"/>
      </w:pPr>
      <w:r>
        <w:rPr>
          <w:color w:val="231F20"/>
        </w:rPr>
        <w:t>En el área de alimentación, ésta es diversa en cantidad, composición y horario.</w:t>
      </w:r>
    </w:p>
    <w:p>
      <w:pPr>
        <w:pStyle w:val="BodyText"/>
        <w:spacing w:line="360" w:lineRule="auto" w:before="101"/>
        <w:ind w:left="101" w:right="448" w:firstLine="212"/>
      </w:pPr>
      <w:r>
        <w:rPr>
          <w:color w:val="231F20"/>
        </w:rPr>
        <w:t>Al indagar sobre actividad física/ejercicio, 28% reporta no realizar y 17% indican la realización constante de esta actividad; las principales actividades reportadas fueron: caminar, jugar futbol, ir al gimnasio y realizar aerobics.</w:t>
      </w:r>
    </w:p>
    <w:p>
      <w:pPr>
        <w:pStyle w:val="BodyText"/>
        <w:spacing w:line="360" w:lineRule="auto"/>
        <w:ind w:left="101" w:right="897" w:firstLine="212"/>
      </w:pPr>
      <w:r>
        <w:rPr>
          <w:color w:val="231F20"/>
        </w:rPr>
        <w:t>El acudir al cine fue la actividad recreativa más frecuente; los participantes reportan ver televisión entre una o dos horas y además escuchan música.</w:t>
      </w:r>
    </w:p>
    <w:p>
      <w:pPr>
        <w:pStyle w:val="BodyText"/>
        <w:spacing w:line="360" w:lineRule="auto"/>
        <w:ind w:left="101" w:right="457" w:firstLine="212"/>
      </w:pPr>
      <w:r>
        <w:rPr>
          <w:color w:val="231F20"/>
        </w:rPr>
        <w:t>Con relación al dormir, la Figura 2 presenta la distribución de horas de sueño; la Figura 3 muestra los medios de transporte que utilizan para ir a la escuela y la Figura 4 el número de piezas dentales con problemas.</w:t>
      </w:r>
    </w:p>
    <w:p>
      <w:pPr>
        <w:pStyle w:val="BodyText"/>
        <w:ind w:left="1305"/>
        <w:rPr>
          <w:sz w:val="20"/>
        </w:rPr>
      </w:pPr>
      <w:r>
        <w:rPr>
          <w:sz w:val="20"/>
        </w:rPr>
        <w:pict>
          <v:group style="width:210.45pt;height:115.95pt;mso-position-horizontal-relative:char;mso-position-vertical-relative:line" coordorigin="0,0" coordsize="4209,2319">
            <v:shape style="position:absolute;left:432;top:314;width:3344;height:1690" type="#_x0000_t75" stroked="false">
              <v:imagedata r:id="rId24" o:title=""/>
            </v:shape>
            <v:line style="position:absolute" from="2747,408" to="2906,308" stroked="true" strokeweight=".563pt" strokecolor="#231f20"/>
            <v:line style="position:absolute" from="2906,308" to="2974,308" stroked="true" strokeweight=".563pt" strokecolor="#231f20"/>
            <v:line style="position:absolute" from="1462,408" to="1387,350" stroked="true" strokeweight=".563pt" strokecolor="#231f20"/>
            <v:line style="position:absolute" from="1387,350" to="1320,350" stroked="true" strokeweight=".563pt" strokecolor="#231f20"/>
            <v:line style="position:absolute" from="1979,337" to="2017,172" stroked="true" strokeweight=".563pt" strokecolor="#231f20"/>
            <v:line style="position:absolute" from="2017,172" to="2083,172" stroked="true" strokeweight=".563pt" strokecolor="#231f20"/>
            <v:rect style="position:absolute;left:6;top:6;width:4196;height:2306" filled="false" stroked="true" strokeweight=".563pt" strokecolor="#989a9d"/>
            <v:shape style="position:absolute;left:905;top:120;width:576;height:258" type="#_x0000_t202" filled="false" stroked="false">
              <v:textbox inset="0,0,0,0">
                <w:txbxContent>
                  <w:p>
                    <w:pPr>
                      <w:spacing w:line="124" w:lineRule="exact" w:before="0"/>
                      <w:ind w:left="-1" w:right="0" w:firstLine="0"/>
                      <w:jc w:val="center"/>
                      <w:rPr>
                        <w:sz w:val="12"/>
                      </w:rPr>
                    </w:pPr>
                    <w:r>
                      <w:rPr>
                        <w:color w:val="231F20"/>
                        <w:sz w:val="12"/>
                      </w:rPr>
                      <w:t>7 a 8</w:t>
                    </w:r>
                    <w:r>
                      <w:rPr>
                        <w:color w:val="231F20"/>
                        <w:spacing w:val="-3"/>
                        <w:sz w:val="12"/>
                      </w:rPr>
                      <w:t> </w:t>
                    </w:r>
                    <w:r>
                      <w:rPr>
                        <w:color w:val="231F20"/>
                        <w:sz w:val="12"/>
                      </w:rPr>
                      <w:t>horas</w:t>
                    </w:r>
                  </w:p>
                  <w:p>
                    <w:pPr>
                      <w:spacing w:line="133" w:lineRule="exact" w:before="0"/>
                      <w:ind w:left="1" w:right="0" w:firstLine="0"/>
                      <w:jc w:val="center"/>
                      <w:rPr>
                        <w:sz w:val="12"/>
                      </w:rPr>
                    </w:pPr>
                    <w:r>
                      <w:rPr>
                        <w:color w:val="231F20"/>
                        <w:sz w:val="12"/>
                      </w:rPr>
                      <w:t>11%</w:t>
                    </w:r>
                  </w:p>
                </w:txbxContent>
              </v:textbox>
              <w10:wrap type="none"/>
            </v:shape>
            <v:shape style="position:absolute;left:2098;top:75;width:1309;height:395" type="#_x0000_t202" filled="false" stroked="false">
              <v:textbox inset="0,0,0,0">
                <w:txbxContent>
                  <w:p>
                    <w:pPr>
                      <w:spacing w:line="124" w:lineRule="exact" w:before="0"/>
                      <w:ind w:left="0" w:right="-13" w:firstLine="0"/>
                      <w:jc w:val="left"/>
                      <w:rPr>
                        <w:sz w:val="12"/>
                      </w:rPr>
                    </w:pPr>
                    <w:r>
                      <w:rPr>
                        <w:color w:val="231F20"/>
                        <w:sz w:val="12"/>
                      </w:rPr>
                      <w:t>8 horas o mas   4 horas</w:t>
                    </w:r>
                    <w:r>
                      <w:rPr>
                        <w:color w:val="231F20"/>
                        <w:spacing w:val="-9"/>
                        <w:sz w:val="12"/>
                      </w:rPr>
                      <w:t> </w:t>
                    </w:r>
                    <w:r>
                      <w:rPr>
                        <w:color w:val="231F20"/>
                        <w:sz w:val="12"/>
                      </w:rPr>
                      <w:t>o</w:t>
                    </w:r>
                  </w:p>
                  <w:p>
                    <w:pPr>
                      <w:tabs>
                        <w:tab w:pos="602" w:val="left" w:leader="none"/>
                      </w:tabs>
                      <w:spacing w:before="0"/>
                      <w:ind w:left="0" w:right="64" w:firstLine="0"/>
                      <w:jc w:val="right"/>
                      <w:rPr>
                        <w:sz w:val="12"/>
                      </w:rPr>
                    </w:pPr>
                    <w:r>
                      <w:rPr>
                        <w:color w:val="231F20"/>
                        <w:sz w:val="12"/>
                      </w:rPr>
                      <w:t>4%</w:t>
                      <w:tab/>
                    </w:r>
                    <w:r>
                      <w:rPr>
                        <w:color w:val="231F20"/>
                        <w:spacing w:val="-2"/>
                        <w:sz w:val="12"/>
                      </w:rPr>
                      <w:t>menos</w:t>
                    </w:r>
                  </w:p>
                  <w:p>
                    <w:pPr>
                      <w:spacing w:line="133" w:lineRule="exact" w:before="0"/>
                      <w:ind w:left="0" w:right="130" w:firstLine="0"/>
                      <w:jc w:val="right"/>
                      <w:rPr>
                        <w:sz w:val="12"/>
                      </w:rPr>
                    </w:pPr>
                    <w:r>
                      <w:rPr>
                        <w:color w:val="231F20"/>
                        <w:sz w:val="12"/>
                      </w:rPr>
                      <w:t>18%</w:t>
                    </w:r>
                  </w:p>
                </w:txbxContent>
              </v:textbox>
              <w10:wrap type="none"/>
            </v:shape>
            <v:shape style="position:absolute;left:804;top:862;width:573;height:258" type="#_x0000_t202" filled="false" stroked="false">
              <v:textbox inset="0,0,0,0">
                <w:txbxContent>
                  <w:p>
                    <w:pPr>
                      <w:spacing w:line="124" w:lineRule="exact" w:before="0"/>
                      <w:ind w:left="0" w:right="0" w:firstLine="0"/>
                      <w:jc w:val="center"/>
                      <w:rPr>
                        <w:sz w:val="12"/>
                      </w:rPr>
                    </w:pPr>
                    <w:r>
                      <w:rPr>
                        <w:color w:val="231F20"/>
                        <w:sz w:val="12"/>
                      </w:rPr>
                      <w:t>6 a 7 horas</w:t>
                    </w:r>
                  </w:p>
                  <w:p>
                    <w:pPr>
                      <w:spacing w:line="133" w:lineRule="exact" w:before="0"/>
                      <w:ind w:left="1" w:right="0" w:firstLine="0"/>
                      <w:jc w:val="center"/>
                      <w:rPr>
                        <w:sz w:val="12"/>
                      </w:rPr>
                    </w:pPr>
                    <w:r>
                      <w:rPr>
                        <w:color w:val="231F20"/>
                        <w:sz w:val="12"/>
                      </w:rPr>
                      <w:t>25%</w:t>
                    </w:r>
                  </w:p>
                </w:txbxContent>
              </v:textbox>
              <w10:wrap type="none"/>
            </v:shape>
            <v:shape style="position:absolute;left:2581;top:1166;width:576;height:258" type="#_x0000_t202" filled="false" stroked="false">
              <v:textbox inset="0,0,0,0">
                <w:txbxContent>
                  <w:p>
                    <w:pPr>
                      <w:spacing w:line="124" w:lineRule="exact" w:before="0"/>
                      <w:ind w:left="-1" w:right="0" w:firstLine="0"/>
                      <w:jc w:val="center"/>
                      <w:rPr>
                        <w:sz w:val="12"/>
                      </w:rPr>
                    </w:pPr>
                    <w:r>
                      <w:rPr>
                        <w:color w:val="231F20"/>
                        <w:sz w:val="12"/>
                      </w:rPr>
                      <w:t>5 a 6</w:t>
                    </w:r>
                    <w:r>
                      <w:rPr>
                        <w:color w:val="231F20"/>
                        <w:spacing w:val="-1"/>
                        <w:sz w:val="12"/>
                      </w:rPr>
                      <w:t> </w:t>
                    </w:r>
                    <w:r>
                      <w:rPr>
                        <w:color w:val="231F20"/>
                        <w:sz w:val="12"/>
                      </w:rPr>
                      <w:t>horas</w:t>
                    </w:r>
                  </w:p>
                  <w:p>
                    <w:pPr>
                      <w:spacing w:line="133" w:lineRule="exact" w:before="0"/>
                      <w:ind w:left="0" w:right="0" w:firstLine="0"/>
                      <w:jc w:val="center"/>
                      <w:rPr>
                        <w:sz w:val="12"/>
                      </w:rPr>
                    </w:pPr>
                    <w:r>
                      <w:rPr>
                        <w:color w:val="231F20"/>
                        <w:sz w:val="12"/>
                      </w:rPr>
                      <w:t>42%</w:t>
                    </w:r>
                  </w:p>
                </w:txbxContent>
              </v:textbox>
              <w10:wrap type="none"/>
            </v:shape>
          </v:group>
        </w:pict>
      </w:r>
      <w:r>
        <w:rPr>
          <w:sz w:val="20"/>
        </w:rPr>
      </w:r>
    </w:p>
    <w:p>
      <w:pPr>
        <w:spacing w:before="0"/>
        <w:ind w:left="263" w:right="582" w:firstLine="0"/>
        <w:jc w:val="center"/>
        <w:rPr>
          <w:sz w:val="13"/>
        </w:rPr>
      </w:pPr>
      <w:r>
        <w:rPr>
          <w:color w:val="231F20"/>
          <w:w w:val="105"/>
          <w:sz w:val="13"/>
        </w:rPr>
        <w:t>Figura 2.- Distribución porcentual de las horas de sueño</w:t>
      </w:r>
    </w:p>
    <w:p>
      <w:pPr>
        <w:spacing w:after="0"/>
        <w:jc w:val="center"/>
        <w:rPr>
          <w:sz w:val="13"/>
        </w:rPr>
        <w:sectPr>
          <w:pgSz w:w="9080" w:h="12480"/>
          <w:pgMar w:header="491" w:footer="1047" w:top="680" w:bottom="1240" w:left="1120" w:right="800"/>
        </w:sectPr>
      </w:pPr>
    </w:p>
    <w:p>
      <w:pPr>
        <w:pStyle w:val="BodyText"/>
        <w:rPr>
          <w:sz w:val="20"/>
        </w:rPr>
      </w:pPr>
      <w:r>
        <w:rPr/>
        <w:pict>
          <v:shape style="position:absolute;margin-left:319.369995pt;margin-top:561.26001pt;width:88.85pt;height:34.050pt;mso-position-horizontal-relative:page;mso-position-vertical-relative:page;z-index:-19192" type="#_x0000_t202" filled="false" stroked="false">
            <v:textbox inset="0,0,0,0">
              <w:txbxContent>
                <w:p>
                  <w:pPr>
                    <w:pStyle w:val="BodyText"/>
                    <w:spacing w:before="2"/>
                    <w:ind w:left="1161"/>
                    <w:rPr>
                      <w:rFonts w:ascii="Arial"/>
                    </w:rPr>
                  </w:pPr>
                  <w:r>
                    <w:rPr>
                      <w:rFonts w:ascii="Arial"/>
                      <w:color w:val="231F20"/>
                    </w:rPr>
                    <w:t>645</w:t>
                  </w:r>
                </w:p>
              </w:txbxContent>
            </v:textbox>
            <w10:wrap type="none"/>
          </v:shape>
        </w:pic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20"/>
        </w:rPr>
      </w:pPr>
    </w:p>
    <w:tbl>
      <w:tblPr>
        <w:tblW w:w="0" w:type="auto"/>
        <w:jc w:val="left"/>
        <w:tblInd w:w="1063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974"/>
        <w:gridCol w:w="176"/>
        <w:gridCol w:w="180"/>
        <w:gridCol w:w="253"/>
        <w:gridCol w:w="1017"/>
        <w:gridCol w:w="1741"/>
        <w:gridCol w:w="234"/>
      </w:tblGrid>
      <w:tr>
        <w:trPr>
          <w:trHeight w:val="211" w:hRule="exact"/>
        </w:trPr>
        <w:tc>
          <w:tcPr>
            <w:tcW w:w="974" w:type="dxa"/>
          </w:tcPr>
          <w:p>
            <w:pPr>
              <w:pStyle w:val="TableParagraph"/>
              <w:spacing w:before="36"/>
              <w:ind w:right="66"/>
              <w:jc w:val="right"/>
              <w:rPr>
                <w:sz w:val="12"/>
              </w:rPr>
            </w:pPr>
            <w:r>
              <w:rPr>
                <w:color w:val="231F20"/>
                <w:sz w:val="12"/>
              </w:rPr>
              <w:t>CAMINANDO</w:t>
            </w:r>
          </w:p>
        </w:tc>
        <w:tc>
          <w:tcPr>
            <w:tcW w:w="176" w:type="dxa"/>
          </w:tcPr>
          <w:p>
            <w:pPr/>
          </w:p>
        </w:tc>
        <w:tc>
          <w:tcPr>
            <w:tcW w:w="180" w:type="dxa"/>
          </w:tcPr>
          <w:p>
            <w:pPr/>
          </w:p>
        </w:tc>
        <w:tc>
          <w:tcPr>
            <w:tcW w:w="253" w:type="dxa"/>
          </w:tcPr>
          <w:p>
            <w:pPr>
              <w:pStyle w:val="TableParagraph"/>
              <w:spacing w:before="14"/>
              <w:ind w:left="38"/>
              <w:jc w:val="left"/>
              <w:rPr>
                <w:rFonts w:ascii="Calibri Light"/>
                <w:b w:val="0"/>
                <w:sz w:val="12"/>
              </w:rPr>
            </w:pPr>
            <w:r>
              <w:rPr>
                <w:rFonts w:ascii="Calibri Light"/>
                <w:b w:val="0"/>
                <w:color w:val="231F20"/>
                <w:sz w:val="12"/>
              </w:rPr>
              <w:t>159</w:t>
            </w:r>
          </w:p>
        </w:tc>
        <w:tc>
          <w:tcPr>
            <w:tcW w:w="1017" w:type="dxa"/>
          </w:tcPr>
          <w:p>
            <w:pPr/>
          </w:p>
        </w:tc>
        <w:tc>
          <w:tcPr>
            <w:tcW w:w="1741" w:type="dxa"/>
          </w:tcPr>
          <w:p>
            <w:pPr>
              <w:pStyle w:val="TableParagraph"/>
              <w:spacing w:before="14"/>
              <w:ind w:left="21"/>
              <w:jc w:val="left"/>
              <w:rPr>
                <w:rFonts w:ascii="Calibri Light"/>
                <w:b w:val="0"/>
                <w:sz w:val="12"/>
              </w:rPr>
            </w:pPr>
            <w:r>
              <w:rPr>
                <w:rFonts w:ascii="Calibri Light"/>
                <w:b w:val="0"/>
                <w:color w:val="231F20"/>
                <w:sz w:val="12"/>
              </w:rPr>
              <w:t>306</w:t>
            </w:r>
          </w:p>
        </w:tc>
        <w:tc>
          <w:tcPr>
            <w:tcW w:w="234" w:type="dxa"/>
          </w:tcPr>
          <w:p>
            <w:pPr/>
          </w:p>
        </w:tc>
      </w:tr>
      <w:tr>
        <w:trPr>
          <w:trHeight w:val="212" w:hRule="exact"/>
        </w:trPr>
        <w:tc>
          <w:tcPr>
            <w:tcW w:w="974" w:type="dxa"/>
          </w:tcPr>
          <w:p>
            <w:pPr>
              <w:pStyle w:val="TableParagraph"/>
              <w:spacing w:before="38"/>
              <w:ind w:right="66"/>
              <w:jc w:val="right"/>
              <w:rPr>
                <w:sz w:val="12"/>
              </w:rPr>
            </w:pPr>
            <w:r>
              <w:rPr>
                <w:color w:val="231F20"/>
                <w:sz w:val="12"/>
              </w:rPr>
              <w:t>MOTOCICLETA</w:t>
            </w:r>
          </w:p>
        </w:tc>
        <w:tc>
          <w:tcPr>
            <w:tcW w:w="176" w:type="dxa"/>
          </w:tcPr>
          <w:p>
            <w:pPr>
              <w:pStyle w:val="TableParagraph"/>
              <w:spacing w:before="15"/>
              <w:ind w:left="8"/>
              <w:rPr>
                <w:rFonts w:ascii="Calibri Light"/>
                <w:b w:val="0"/>
                <w:sz w:val="12"/>
              </w:rPr>
            </w:pPr>
            <w:r>
              <w:rPr>
                <w:rFonts w:ascii="Calibri Light"/>
                <w:b w:val="0"/>
                <w:color w:val="231F20"/>
                <w:sz w:val="12"/>
              </w:rPr>
              <w:t>13</w:t>
            </w:r>
          </w:p>
        </w:tc>
        <w:tc>
          <w:tcPr>
            <w:tcW w:w="180" w:type="dxa"/>
          </w:tcPr>
          <w:p>
            <w:pPr/>
          </w:p>
        </w:tc>
        <w:tc>
          <w:tcPr>
            <w:tcW w:w="253" w:type="dxa"/>
          </w:tcPr>
          <w:p>
            <w:pPr/>
          </w:p>
        </w:tc>
        <w:tc>
          <w:tcPr>
            <w:tcW w:w="1017" w:type="dxa"/>
          </w:tcPr>
          <w:p>
            <w:pPr>
              <w:pStyle w:val="TableParagraph"/>
              <w:spacing w:before="15"/>
              <w:ind w:left="647"/>
              <w:jc w:val="left"/>
              <w:rPr>
                <w:rFonts w:ascii="Calibri Light"/>
                <w:b w:val="0"/>
                <w:sz w:val="12"/>
              </w:rPr>
            </w:pPr>
            <w:r>
              <w:rPr>
                <w:rFonts w:ascii="Calibri Light"/>
                <w:b w:val="0"/>
                <w:color w:val="231F20"/>
                <w:sz w:val="12"/>
              </w:rPr>
              <w:t>453</w:t>
            </w:r>
          </w:p>
        </w:tc>
        <w:tc>
          <w:tcPr>
            <w:tcW w:w="1741" w:type="dxa"/>
          </w:tcPr>
          <w:p>
            <w:pPr/>
          </w:p>
        </w:tc>
        <w:tc>
          <w:tcPr>
            <w:tcW w:w="234" w:type="dxa"/>
          </w:tcPr>
          <w:p>
            <w:pPr/>
          </w:p>
        </w:tc>
      </w:tr>
      <w:tr>
        <w:trPr>
          <w:trHeight w:val="212" w:hRule="exact"/>
        </w:trPr>
        <w:tc>
          <w:tcPr>
            <w:tcW w:w="974" w:type="dxa"/>
          </w:tcPr>
          <w:p>
            <w:pPr>
              <w:pStyle w:val="TableParagraph"/>
              <w:spacing w:before="37"/>
              <w:ind w:right="66"/>
              <w:jc w:val="right"/>
              <w:rPr>
                <w:sz w:val="12"/>
              </w:rPr>
            </w:pPr>
            <w:r>
              <w:rPr>
                <w:color w:val="231F20"/>
                <w:sz w:val="12"/>
              </w:rPr>
              <w:t>BICICLETA</w:t>
            </w:r>
          </w:p>
        </w:tc>
        <w:tc>
          <w:tcPr>
            <w:tcW w:w="176" w:type="dxa"/>
          </w:tcPr>
          <w:p>
            <w:pPr>
              <w:pStyle w:val="TableParagraph"/>
              <w:spacing w:before="15"/>
              <w:ind w:left="14"/>
              <w:rPr>
                <w:rFonts w:ascii="Calibri Light"/>
                <w:b w:val="0"/>
                <w:sz w:val="12"/>
              </w:rPr>
            </w:pPr>
            <w:r>
              <w:rPr>
                <w:rFonts w:ascii="Calibri Light"/>
                <w:b w:val="0"/>
                <w:color w:val="231F20"/>
                <w:sz w:val="12"/>
              </w:rPr>
              <w:t>14</w:t>
            </w:r>
          </w:p>
        </w:tc>
        <w:tc>
          <w:tcPr>
            <w:tcW w:w="180" w:type="dxa"/>
          </w:tcPr>
          <w:p>
            <w:pPr/>
          </w:p>
        </w:tc>
        <w:tc>
          <w:tcPr>
            <w:tcW w:w="253" w:type="dxa"/>
          </w:tcPr>
          <w:p>
            <w:pPr/>
          </w:p>
        </w:tc>
        <w:tc>
          <w:tcPr>
            <w:tcW w:w="1017" w:type="dxa"/>
          </w:tcPr>
          <w:p>
            <w:pPr>
              <w:pStyle w:val="TableParagraph"/>
              <w:spacing w:before="14"/>
              <w:ind w:left="650"/>
              <w:jc w:val="left"/>
              <w:rPr>
                <w:rFonts w:ascii="Calibri Light"/>
                <w:b w:val="0"/>
                <w:sz w:val="12"/>
              </w:rPr>
            </w:pPr>
            <w:r>
              <w:rPr>
                <w:rFonts w:ascii="Calibri Light"/>
                <w:b w:val="0"/>
                <w:color w:val="231F20"/>
                <w:sz w:val="12"/>
              </w:rPr>
              <w:t>452</w:t>
            </w:r>
          </w:p>
        </w:tc>
        <w:tc>
          <w:tcPr>
            <w:tcW w:w="1741" w:type="dxa"/>
          </w:tcPr>
          <w:p>
            <w:pPr/>
          </w:p>
        </w:tc>
        <w:tc>
          <w:tcPr>
            <w:tcW w:w="234" w:type="dxa"/>
          </w:tcPr>
          <w:p>
            <w:pPr/>
          </w:p>
        </w:tc>
      </w:tr>
      <w:tr>
        <w:trPr>
          <w:trHeight w:val="219" w:hRule="exact"/>
        </w:trPr>
        <w:tc>
          <w:tcPr>
            <w:tcW w:w="974" w:type="dxa"/>
          </w:tcPr>
          <w:p>
            <w:pPr>
              <w:pStyle w:val="TableParagraph"/>
              <w:spacing w:before="37"/>
              <w:ind w:right="66"/>
              <w:jc w:val="right"/>
              <w:rPr>
                <w:sz w:val="12"/>
              </w:rPr>
            </w:pPr>
            <w:r>
              <w:rPr>
                <w:color w:val="231F20"/>
                <w:sz w:val="12"/>
              </w:rPr>
              <w:t>TROLEBUS</w:t>
            </w:r>
          </w:p>
        </w:tc>
        <w:tc>
          <w:tcPr>
            <w:tcW w:w="176" w:type="dxa"/>
          </w:tcPr>
          <w:p>
            <w:pPr>
              <w:pStyle w:val="TableParagraph"/>
              <w:spacing w:before="14"/>
              <w:ind w:left="4" w:right="9"/>
              <w:rPr>
                <w:rFonts w:ascii="Calibri Light"/>
                <w:b w:val="0"/>
                <w:sz w:val="12"/>
              </w:rPr>
            </w:pPr>
            <w:r>
              <w:rPr>
                <w:rFonts w:ascii="Calibri Light"/>
                <w:b w:val="0"/>
                <w:color w:val="231F20"/>
                <w:sz w:val="12"/>
              </w:rPr>
              <w:t>10</w:t>
            </w:r>
          </w:p>
        </w:tc>
        <w:tc>
          <w:tcPr>
            <w:tcW w:w="180" w:type="dxa"/>
          </w:tcPr>
          <w:p>
            <w:pPr/>
          </w:p>
        </w:tc>
        <w:tc>
          <w:tcPr>
            <w:tcW w:w="253" w:type="dxa"/>
          </w:tcPr>
          <w:p>
            <w:pPr/>
          </w:p>
        </w:tc>
        <w:tc>
          <w:tcPr>
            <w:tcW w:w="1017" w:type="dxa"/>
          </w:tcPr>
          <w:p>
            <w:pPr>
              <w:pStyle w:val="TableParagraph"/>
              <w:spacing w:before="14"/>
              <w:ind w:left="639"/>
              <w:jc w:val="left"/>
              <w:rPr>
                <w:rFonts w:ascii="Calibri Light"/>
                <w:b w:val="0"/>
                <w:sz w:val="12"/>
              </w:rPr>
            </w:pPr>
            <w:r>
              <w:rPr>
                <w:rFonts w:ascii="Calibri Light"/>
                <w:b w:val="0"/>
                <w:color w:val="231F20"/>
                <w:sz w:val="12"/>
              </w:rPr>
              <w:t>456</w:t>
            </w:r>
          </w:p>
        </w:tc>
        <w:tc>
          <w:tcPr>
            <w:tcW w:w="1741" w:type="dxa"/>
          </w:tcPr>
          <w:p>
            <w:pPr/>
          </w:p>
        </w:tc>
        <w:tc>
          <w:tcPr>
            <w:tcW w:w="234" w:type="dxa"/>
          </w:tcPr>
          <w:p>
            <w:pPr/>
          </w:p>
        </w:tc>
      </w:tr>
      <w:tr>
        <w:trPr>
          <w:trHeight w:val="204" w:hRule="exact"/>
        </w:trPr>
        <w:tc>
          <w:tcPr>
            <w:tcW w:w="974" w:type="dxa"/>
          </w:tcPr>
          <w:p>
            <w:pPr>
              <w:pStyle w:val="TableParagraph"/>
              <w:spacing w:before="30"/>
              <w:ind w:right="68"/>
              <w:jc w:val="right"/>
              <w:rPr>
                <w:sz w:val="12"/>
              </w:rPr>
            </w:pPr>
            <w:r>
              <w:rPr>
                <w:color w:val="231F20"/>
                <w:sz w:val="12"/>
              </w:rPr>
              <w:t>TAXI</w:t>
            </w:r>
          </w:p>
        </w:tc>
        <w:tc>
          <w:tcPr>
            <w:tcW w:w="176" w:type="dxa"/>
          </w:tcPr>
          <w:p>
            <w:pPr/>
          </w:p>
        </w:tc>
        <w:tc>
          <w:tcPr>
            <w:tcW w:w="180" w:type="dxa"/>
          </w:tcPr>
          <w:p>
            <w:pPr>
              <w:pStyle w:val="TableParagraph"/>
              <w:spacing w:before="7"/>
              <w:ind w:left="19"/>
              <w:jc w:val="left"/>
              <w:rPr>
                <w:rFonts w:ascii="Calibri Light"/>
                <w:b w:val="0"/>
                <w:sz w:val="12"/>
              </w:rPr>
            </w:pPr>
            <w:r>
              <w:rPr>
                <w:rFonts w:ascii="Calibri Light"/>
                <w:b w:val="0"/>
                <w:color w:val="231F20"/>
                <w:sz w:val="12"/>
              </w:rPr>
              <w:t>74</w:t>
            </w:r>
          </w:p>
        </w:tc>
        <w:tc>
          <w:tcPr>
            <w:tcW w:w="253" w:type="dxa"/>
          </w:tcPr>
          <w:p>
            <w:pPr/>
          </w:p>
        </w:tc>
        <w:tc>
          <w:tcPr>
            <w:tcW w:w="1017" w:type="dxa"/>
          </w:tcPr>
          <w:p>
            <w:pPr>
              <w:pStyle w:val="TableParagraph"/>
              <w:spacing w:before="7"/>
              <w:ind w:right="19"/>
              <w:jc w:val="right"/>
              <w:rPr>
                <w:rFonts w:ascii="Calibri Light"/>
                <w:b w:val="0"/>
                <w:sz w:val="12"/>
              </w:rPr>
            </w:pPr>
            <w:r>
              <w:rPr>
                <w:rFonts w:ascii="Calibri Light"/>
                <w:b w:val="0"/>
                <w:color w:val="231F20"/>
                <w:sz w:val="12"/>
              </w:rPr>
              <w:t>392</w:t>
            </w:r>
          </w:p>
        </w:tc>
        <w:tc>
          <w:tcPr>
            <w:tcW w:w="1741" w:type="dxa"/>
          </w:tcPr>
          <w:p>
            <w:pPr/>
          </w:p>
        </w:tc>
        <w:tc>
          <w:tcPr>
            <w:tcW w:w="234" w:type="dxa"/>
          </w:tcPr>
          <w:p>
            <w:pPr/>
          </w:p>
        </w:tc>
      </w:tr>
    </w:tbl>
    <w:p>
      <w:pPr>
        <w:pStyle w:val="BodyText"/>
        <w:spacing w:before="1"/>
        <w:rPr>
          <w:sz w:val="7"/>
        </w:rPr>
      </w:pPr>
    </w:p>
    <w:tbl>
      <w:tblPr>
        <w:tblW w:w="0" w:type="auto"/>
        <w:jc w:val="left"/>
        <w:tblInd w:w="1288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749"/>
        <w:gridCol w:w="608"/>
        <w:gridCol w:w="450"/>
        <w:gridCol w:w="763"/>
        <w:gridCol w:w="1545"/>
        <w:gridCol w:w="302"/>
      </w:tblGrid>
      <w:tr>
        <w:trPr>
          <w:trHeight w:val="132" w:hRule="exact"/>
        </w:trPr>
        <w:tc>
          <w:tcPr>
            <w:tcW w:w="749" w:type="dxa"/>
          </w:tcPr>
          <w:p>
            <w:pPr>
              <w:pStyle w:val="TableParagraph"/>
              <w:spacing w:line="93" w:lineRule="exact" w:before="0"/>
              <w:ind w:right="68"/>
              <w:jc w:val="right"/>
              <w:rPr>
                <w:sz w:val="12"/>
              </w:rPr>
            </w:pPr>
            <w:r>
              <w:rPr>
                <w:color w:val="231F20"/>
                <w:sz w:val="12"/>
              </w:rPr>
              <w:t>METRO</w:t>
            </w:r>
          </w:p>
        </w:tc>
        <w:tc>
          <w:tcPr>
            <w:tcW w:w="608" w:type="dxa"/>
          </w:tcPr>
          <w:p>
            <w:pPr>
              <w:pStyle w:val="TableParagraph"/>
              <w:spacing w:line="81" w:lineRule="exact" w:before="0"/>
              <w:ind w:left="307"/>
              <w:jc w:val="left"/>
              <w:rPr>
                <w:rFonts w:ascii="Calibri Light"/>
                <w:b w:val="0"/>
                <w:sz w:val="12"/>
              </w:rPr>
            </w:pPr>
            <w:r>
              <w:rPr>
                <w:rFonts w:ascii="Calibri Light"/>
                <w:b w:val="0"/>
                <w:color w:val="231F20"/>
                <w:sz w:val="12"/>
              </w:rPr>
              <w:t>127</w:t>
            </w:r>
          </w:p>
        </w:tc>
        <w:tc>
          <w:tcPr>
            <w:tcW w:w="450" w:type="dxa"/>
          </w:tcPr>
          <w:p>
            <w:pPr/>
          </w:p>
        </w:tc>
        <w:tc>
          <w:tcPr>
            <w:tcW w:w="763" w:type="dxa"/>
          </w:tcPr>
          <w:p>
            <w:pPr>
              <w:pStyle w:val="TableParagraph"/>
              <w:spacing w:line="81" w:lineRule="exact" w:before="0"/>
              <w:ind w:left="504"/>
              <w:jc w:val="left"/>
              <w:rPr>
                <w:rFonts w:ascii="Calibri Light"/>
                <w:b w:val="0"/>
                <w:sz w:val="12"/>
              </w:rPr>
            </w:pPr>
            <w:r>
              <w:rPr>
                <w:rFonts w:ascii="Calibri Light"/>
                <w:b w:val="0"/>
                <w:color w:val="231F20"/>
                <w:sz w:val="12"/>
              </w:rPr>
              <w:t>339</w:t>
            </w:r>
          </w:p>
        </w:tc>
        <w:tc>
          <w:tcPr>
            <w:tcW w:w="1545" w:type="dxa"/>
          </w:tcPr>
          <w:p>
            <w:pPr/>
          </w:p>
        </w:tc>
        <w:tc>
          <w:tcPr>
            <w:tcW w:w="302" w:type="dxa"/>
            <w:vMerge w:val="restart"/>
          </w:tcPr>
          <w:p>
            <w:pPr/>
          </w:p>
        </w:tc>
      </w:tr>
      <w:tr>
        <w:trPr>
          <w:trHeight w:val="212" w:hRule="exact"/>
        </w:trPr>
        <w:tc>
          <w:tcPr>
            <w:tcW w:w="749" w:type="dxa"/>
          </w:tcPr>
          <w:p>
            <w:pPr>
              <w:pStyle w:val="TableParagraph"/>
              <w:spacing w:before="37"/>
              <w:ind w:right="66"/>
              <w:jc w:val="right"/>
              <w:rPr>
                <w:sz w:val="12"/>
              </w:rPr>
            </w:pPr>
            <w:r>
              <w:rPr>
                <w:color w:val="231F20"/>
                <w:sz w:val="12"/>
              </w:rPr>
              <w:t>MICROBUS</w:t>
            </w:r>
          </w:p>
        </w:tc>
        <w:tc>
          <w:tcPr>
            <w:tcW w:w="608" w:type="dxa"/>
          </w:tcPr>
          <w:p>
            <w:pPr/>
          </w:p>
        </w:tc>
        <w:tc>
          <w:tcPr>
            <w:tcW w:w="450" w:type="dxa"/>
          </w:tcPr>
          <w:p>
            <w:pPr>
              <w:pStyle w:val="TableParagraph"/>
              <w:spacing w:before="15"/>
              <w:ind w:right="187"/>
              <w:jc w:val="right"/>
              <w:rPr>
                <w:rFonts w:ascii="Calibri Light"/>
                <w:b w:val="0"/>
                <w:sz w:val="12"/>
              </w:rPr>
            </w:pPr>
            <w:r>
              <w:rPr>
                <w:rFonts w:ascii="Calibri Light"/>
                <w:b w:val="0"/>
                <w:color w:val="231F20"/>
                <w:sz w:val="12"/>
              </w:rPr>
              <w:t>267</w:t>
            </w:r>
          </w:p>
        </w:tc>
        <w:tc>
          <w:tcPr>
            <w:tcW w:w="763" w:type="dxa"/>
          </w:tcPr>
          <w:p>
            <w:pPr/>
          </w:p>
        </w:tc>
        <w:tc>
          <w:tcPr>
            <w:tcW w:w="1545" w:type="dxa"/>
          </w:tcPr>
          <w:p>
            <w:pPr>
              <w:pStyle w:val="TableParagraph"/>
              <w:spacing w:before="14"/>
              <w:ind w:left="119"/>
              <w:jc w:val="left"/>
              <w:rPr>
                <w:rFonts w:ascii="Calibri Light"/>
                <w:b w:val="0"/>
                <w:sz w:val="12"/>
              </w:rPr>
            </w:pPr>
            <w:r>
              <w:rPr>
                <w:rFonts w:ascii="Calibri Light"/>
                <w:b w:val="0"/>
                <w:color w:val="231F20"/>
                <w:sz w:val="12"/>
              </w:rPr>
              <w:t>199</w:t>
            </w:r>
          </w:p>
        </w:tc>
        <w:tc>
          <w:tcPr>
            <w:tcW w:w="302" w:type="dxa"/>
            <w:vMerge/>
          </w:tcPr>
          <w:p>
            <w:pPr/>
          </w:p>
        </w:tc>
      </w:tr>
      <w:tr>
        <w:trPr>
          <w:trHeight w:val="211" w:hRule="exact"/>
        </w:trPr>
        <w:tc>
          <w:tcPr>
            <w:tcW w:w="749" w:type="dxa"/>
          </w:tcPr>
          <w:p>
            <w:pPr>
              <w:pStyle w:val="TableParagraph"/>
              <w:spacing w:before="36"/>
              <w:ind w:right="67"/>
              <w:jc w:val="right"/>
              <w:rPr>
                <w:sz w:val="12"/>
              </w:rPr>
            </w:pPr>
            <w:r>
              <w:rPr>
                <w:color w:val="231F20"/>
                <w:sz w:val="12"/>
              </w:rPr>
              <w:t>AUTOBUS</w:t>
            </w:r>
          </w:p>
        </w:tc>
        <w:tc>
          <w:tcPr>
            <w:tcW w:w="608" w:type="dxa"/>
          </w:tcPr>
          <w:p>
            <w:pPr/>
          </w:p>
        </w:tc>
        <w:tc>
          <w:tcPr>
            <w:tcW w:w="450" w:type="dxa"/>
          </w:tcPr>
          <w:p>
            <w:pPr>
              <w:pStyle w:val="TableParagraph"/>
              <w:spacing w:before="14"/>
              <w:ind w:right="233"/>
              <w:jc w:val="right"/>
              <w:rPr>
                <w:rFonts w:ascii="Calibri Light"/>
                <w:b w:val="0"/>
                <w:sz w:val="12"/>
              </w:rPr>
            </w:pPr>
            <w:r>
              <w:rPr>
                <w:rFonts w:ascii="Calibri Light"/>
                <w:b w:val="0"/>
                <w:color w:val="231F20"/>
                <w:sz w:val="12"/>
              </w:rPr>
              <w:t>250</w:t>
            </w:r>
          </w:p>
        </w:tc>
        <w:tc>
          <w:tcPr>
            <w:tcW w:w="763" w:type="dxa"/>
          </w:tcPr>
          <w:p>
            <w:pPr/>
          </w:p>
        </w:tc>
        <w:tc>
          <w:tcPr>
            <w:tcW w:w="1545" w:type="dxa"/>
          </w:tcPr>
          <w:p>
            <w:pPr>
              <w:pStyle w:val="TableParagraph"/>
              <w:spacing w:before="14"/>
              <w:ind w:left="74"/>
              <w:jc w:val="left"/>
              <w:rPr>
                <w:rFonts w:ascii="Calibri Light"/>
                <w:b w:val="0"/>
                <w:sz w:val="12"/>
              </w:rPr>
            </w:pPr>
            <w:r>
              <w:rPr>
                <w:rFonts w:ascii="Calibri Light"/>
                <w:b w:val="0"/>
                <w:color w:val="231F20"/>
                <w:sz w:val="12"/>
              </w:rPr>
              <w:t>216</w:t>
            </w:r>
          </w:p>
        </w:tc>
        <w:tc>
          <w:tcPr>
            <w:tcW w:w="302" w:type="dxa"/>
          </w:tcPr>
          <w:p>
            <w:pPr/>
          </w:p>
        </w:tc>
      </w:tr>
      <w:tr>
        <w:trPr>
          <w:trHeight w:val="212" w:hRule="exact"/>
        </w:trPr>
        <w:tc>
          <w:tcPr>
            <w:tcW w:w="749" w:type="dxa"/>
          </w:tcPr>
          <w:p>
            <w:pPr>
              <w:pStyle w:val="TableParagraph"/>
              <w:spacing w:before="38"/>
              <w:ind w:right="66"/>
              <w:jc w:val="right"/>
              <w:rPr>
                <w:sz w:val="12"/>
              </w:rPr>
            </w:pPr>
            <w:r>
              <w:rPr>
                <w:color w:val="231F20"/>
                <w:sz w:val="12"/>
              </w:rPr>
              <w:t>AUTO</w:t>
            </w:r>
          </w:p>
        </w:tc>
        <w:tc>
          <w:tcPr>
            <w:tcW w:w="608" w:type="dxa"/>
          </w:tcPr>
          <w:p>
            <w:pPr>
              <w:pStyle w:val="TableParagraph"/>
              <w:spacing w:before="15"/>
              <w:ind w:left="235"/>
              <w:jc w:val="left"/>
              <w:rPr>
                <w:rFonts w:ascii="Calibri Light"/>
                <w:b w:val="0"/>
                <w:sz w:val="12"/>
              </w:rPr>
            </w:pPr>
            <w:r>
              <w:rPr>
                <w:rFonts w:ascii="Calibri Light"/>
                <w:b w:val="0"/>
                <w:color w:val="231F20"/>
                <w:sz w:val="12"/>
              </w:rPr>
              <w:t>100</w:t>
            </w:r>
          </w:p>
        </w:tc>
        <w:tc>
          <w:tcPr>
            <w:tcW w:w="450" w:type="dxa"/>
          </w:tcPr>
          <w:p>
            <w:pPr/>
          </w:p>
        </w:tc>
        <w:tc>
          <w:tcPr>
            <w:tcW w:w="763" w:type="dxa"/>
          </w:tcPr>
          <w:p>
            <w:pPr>
              <w:pStyle w:val="TableParagraph"/>
              <w:spacing w:before="15"/>
              <w:ind w:left="432"/>
              <w:jc w:val="left"/>
              <w:rPr>
                <w:rFonts w:ascii="Calibri Light"/>
                <w:b w:val="0"/>
                <w:sz w:val="12"/>
              </w:rPr>
            </w:pPr>
            <w:r>
              <w:rPr>
                <w:rFonts w:ascii="Calibri Light"/>
                <w:b w:val="0"/>
                <w:color w:val="231F20"/>
                <w:sz w:val="12"/>
              </w:rPr>
              <w:t>366</w:t>
            </w:r>
          </w:p>
        </w:tc>
        <w:tc>
          <w:tcPr>
            <w:tcW w:w="1545" w:type="dxa"/>
          </w:tcPr>
          <w:p>
            <w:pPr/>
          </w:p>
        </w:tc>
        <w:tc>
          <w:tcPr>
            <w:tcW w:w="302" w:type="dxa"/>
          </w:tcPr>
          <w:p>
            <w:pPr/>
          </w:p>
        </w:tc>
      </w:tr>
    </w:tbl>
    <w:p>
      <w:pPr>
        <w:pStyle w:val="BodyText"/>
        <w:spacing w:before="3"/>
        <w:rPr>
          <w:sz w:val="28"/>
        </w:rPr>
      </w:pPr>
    </w:p>
    <w:p>
      <w:pPr>
        <w:spacing w:before="90"/>
        <w:ind w:left="1259" w:right="2380" w:firstLine="0"/>
        <w:jc w:val="center"/>
        <w:rPr>
          <w:sz w:val="13"/>
        </w:rPr>
      </w:pPr>
      <w:r>
        <w:rPr/>
        <w:pict>
          <v:group style="position:absolute;margin-left:106.196701pt;margin-top:-124.072144pt;width:241.15pt;height:128.1pt;mso-position-horizontal-relative:page;mso-position-vertical-relative:paragraph;z-index:-19120" coordorigin="2124,-2481" coordsize="4823,2562">
            <v:shape style="position:absolute;left:3166;top:-2327;width:2846;height:2036" type="#_x0000_t75" stroked="false">
              <v:imagedata r:id="rId25" o:title=""/>
            </v:shape>
            <v:rect style="position:absolute;left:2128;top:-2477;width:4815;height:2554" filled="false" stroked="true" strokeweight=".375pt" strokecolor="#9a9d9f"/>
            <v:shape style="position:absolute;left:6610;top:-1373;width:181;height:346" type="#_x0000_t202" filled="false" stroked="false">
              <v:textbox inset="0,0,0,0">
                <w:txbxContent>
                  <w:p>
                    <w:pPr>
                      <w:spacing w:line="124" w:lineRule="exact" w:before="0"/>
                      <w:ind w:left="0" w:right="-19" w:firstLine="0"/>
                      <w:jc w:val="left"/>
                      <w:rPr>
                        <w:sz w:val="12"/>
                      </w:rPr>
                    </w:pPr>
                    <w:r>
                      <w:rPr>
                        <w:color w:val="231F20"/>
                        <w:sz w:val="12"/>
                      </w:rPr>
                      <w:t>SI</w:t>
                    </w:r>
                  </w:p>
                  <w:p>
                    <w:pPr>
                      <w:spacing w:line="133" w:lineRule="exact" w:before="88"/>
                      <w:ind w:left="0" w:right="-19" w:firstLine="0"/>
                      <w:jc w:val="left"/>
                      <w:rPr>
                        <w:sz w:val="12"/>
                      </w:rPr>
                    </w:pPr>
                    <w:r>
                      <w:rPr>
                        <w:color w:val="231F20"/>
                        <w:spacing w:val="-1"/>
                        <w:sz w:val="12"/>
                      </w:rPr>
                      <w:t>NO</w:t>
                    </w:r>
                  </w:p>
                </w:txbxContent>
              </v:textbox>
              <w10:wrap type="none"/>
            </v:shape>
            <v:shape style="position:absolute;left:4128;top:-286;width:826;height:121" type="#_x0000_t202" filled="false" stroked="false">
              <v:textbox inset="0,0,0,0">
                <w:txbxContent>
                  <w:p>
                    <w:pPr>
                      <w:spacing w:line="121" w:lineRule="exact" w:before="0"/>
                      <w:ind w:left="0" w:right="-15" w:firstLine="0"/>
                      <w:jc w:val="left"/>
                      <w:rPr>
                        <w:b/>
                        <w:sz w:val="12"/>
                      </w:rPr>
                    </w:pPr>
                    <w:r>
                      <w:rPr>
                        <w:b/>
                        <w:color w:val="231F20"/>
                        <w:sz w:val="12"/>
                      </w:rPr>
                      <w:t>participantes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pict>
          <v:group style="position:absolute;margin-left:106.196701pt;margin-top:22.073652pt;width:241.15pt;height:115.75pt;mso-position-horizontal-relative:page;mso-position-vertical-relative:paragraph;z-index:-19048" coordorigin="2124,441" coordsize="4823,2315">
            <v:shape style="position:absolute;left:3389;top:609;width:3269;height:1053" type="#_x0000_t75" stroked="false">
              <v:imagedata r:id="rId26" o:title=""/>
            </v:shape>
            <v:shape style="position:absolute;left:-36;top:7697;width:37;height:940" coordorigin="-36,7697" coordsize="37,940" path="m3417,1633l3381,1633m3417,1516l3381,1516m3417,1398l3381,1398m3417,1281l3381,1281m3417,1164l3381,1164m3417,1047l3381,1047m3417,930l3381,930m3417,811l3381,811m3417,694l3381,694e" filled="false" stroked="true" strokeweight=".375pt" strokecolor="#9a9d9f">
              <v:path arrowok="t"/>
            </v:shape>
            <v:shape style="position:absolute;left:2573;top:1877;width:61;height:61" type="#_x0000_t75" stroked="false">
              <v:imagedata r:id="rId27" o:title=""/>
            </v:shape>
            <v:shape style="position:absolute;left:2573;top:2064;width:61;height:61" type="#_x0000_t75" stroked="false">
              <v:imagedata r:id="rId28" o:title=""/>
            </v:shape>
            <v:shape style="position:absolute;left:2573;top:2251;width:61;height:61" type="#_x0000_t75" stroked="false">
              <v:imagedata r:id="rId29" o:title=""/>
            </v:shape>
            <v:rect style="position:absolute;left:2128;top:445;width:4815;height:2306" filled="false" stroked="true" strokeweight=".375pt" strokecolor="#9a9d9f"/>
            <v:shape style="position:absolute;left:3167;top:638;width:147;height:1061" type="#_x0000_t202" filled="false" stroked="false">
              <v:textbox inset="0,0,0,0">
                <w:txbxContent>
                  <w:p>
                    <w:pPr>
                      <w:spacing w:line="114" w:lineRule="exact" w:before="0"/>
                      <w:ind w:left="0" w:right="-19" w:firstLine="0"/>
                      <w:jc w:val="left"/>
                      <w:rPr>
                        <w:sz w:val="12"/>
                      </w:rPr>
                    </w:pPr>
                    <w:r>
                      <w:rPr>
                        <w:color w:val="231F20"/>
                        <w:sz w:val="12"/>
                      </w:rPr>
                      <w:t>80</w:t>
                    </w:r>
                  </w:p>
                  <w:p>
                    <w:pPr>
                      <w:spacing w:line="117" w:lineRule="exact" w:before="0"/>
                      <w:ind w:left="11" w:right="-18" w:firstLine="0"/>
                      <w:jc w:val="left"/>
                      <w:rPr>
                        <w:sz w:val="12"/>
                      </w:rPr>
                    </w:pPr>
                    <w:r>
                      <w:rPr>
                        <w:color w:val="231F20"/>
                        <w:sz w:val="12"/>
                      </w:rPr>
                      <w:t>70</w:t>
                    </w:r>
                  </w:p>
                  <w:p>
                    <w:pPr>
                      <w:spacing w:line="117" w:lineRule="exact" w:before="0"/>
                      <w:ind w:left="3" w:right="-18" w:firstLine="0"/>
                      <w:jc w:val="left"/>
                      <w:rPr>
                        <w:sz w:val="12"/>
                      </w:rPr>
                    </w:pPr>
                    <w:r>
                      <w:rPr>
                        <w:color w:val="231F20"/>
                        <w:sz w:val="12"/>
                      </w:rPr>
                      <w:t>60</w:t>
                    </w:r>
                  </w:p>
                  <w:p>
                    <w:pPr>
                      <w:spacing w:line="117" w:lineRule="exact" w:before="0"/>
                      <w:ind w:left="8" w:right="-19" w:firstLine="0"/>
                      <w:jc w:val="left"/>
                      <w:rPr>
                        <w:sz w:val="12"/>
                      </w:rPr>
                    </w:pPr>
                    <w:r>
                      <w:rPr>
                        <w:color w:val="231F20"/>
                        <w:sz w:val="12"/>
                      </w:rPr>
                      <w:t>50</w:t>
                    </w:r>
                  </w:p>
                  <w:p>
                    <w:pPr>
                      <w:spacing w:line="117" w:lineRule="exact" w:before="0"/>
                      <w:ind w:left="3" w:right="-18" w:firstLine="0"/>
                      <w:jc w:val="left"/>
                      <w:rPr>
                        <w:sz w:val="12"/>
                      </w:rPr>
                    </w:pPr>
                    <w:r>
                      <w:rPr>
                        <w:color w:val="231F20"/>
                        <w:sz w:val="12"/>
                      </w:rPr>
                      <w:t>40</w:t>
                    </w:r>
                  </w:p>
                  <w:p>
                    <w:pPr>
                      <w:spacing w:line="117" w:lineRule="exact" w:before="0"/>
                      <w:ind w:left="5" w:right="-18" w:firstLine="0"/>
                      <w:jc w:val="left"/>
                      <w:rPr>
                        <w:sz w:val="12"/>
                      </w:rPr>
                    </w:pPr>
                    <w:r>
                      <w:rPr>
                        <w:color w:val="231F20"/>
                        <w:sz w:val="12"/>
                      </w:rPr>
                      <w:t>30</w:t>
                    </w:r>
                  </w:p>
                  <w:p>
                    <w:pPr>
                      <w:spacing w:line="117" w:lineRule="exact" w:before="0"/>
                      <w:ind w:left="4" w:right="-18" w:firstLine="0"/>
                      <w:jc w:val="left"/>
                      <w:rPr>
                        <w:sz w:val="12"/>
                      </w:rPr>
                    </w:pPr>
                    <w:r>
                      <w:rPr>
                        <w:color w:val="231F20"/>
                        <w:sz w:val="12"/>
                      </w:rPr>
                      <w:t>20</w:t>
                    </w:r>
                  </w:p>
                  <w:p>
                    <w:pPr>
                      <w:spacing w:line="117" w:lineRule="exact" w:before="0"/>
                      <w:ind w:left="19" w:right="-18" w:firstLine="0"/>
                      <w:jc w:val="left"/>
                      <w:rPr>
                        <w:sz w:val="12"/>
                      </w:rPr>
                    </w:pPr>
                    <w:r>
                      <w:rPr>
                        <w:color w:val="231F20"/>
                        <w:sz w:val="12"/>
                      </w:rPr>
                      <w:t>10</w:t>
                    </w:r>
                  </w:p>
                  <w:p>
                    <w:pPr>
                      <w:spacing w:line="124" w:lineRule="exact" w:before="0"/>
                      <w:ind w:left="71" w:right="0" w:firstLine="0"/>
                      <w:jc w:val="left"/>
                      <w:rPr>
                        <w:sz w:val="12"/>
                      </w:rPr>
                    </w:pPr>
                    <w:r>
                      <w:rPr>
                        <w:color w:val="231F20"/>
                        <w:w w:val="100"/>
                        <w:sz w:val="12"/>
                      </w:rPr>
                      <w:t>0</w:t>
                    </w:r>
                  </w:p>
                </w:txbxContent>
              </v:textbox>
              <w10:wrap type="none"/>
            </v:shape>
            <v:shape style="position:absolute;left:4286;top:2419;width:1403;height:121" type="#_x0000_t202" filled="false" stroked="false">
              <v:textbox inset="0,0,0,0">
                <w:txbxContent>
                  <w:p>
                    <w:pPr>
                      <w:spacing w:line="121" w:lineRule="exact" w:before="0"/>
                      <w:ind w:left="0" w:right="-20" w:firstLine="0"/>
                      <w:jc w:val="left"/>
                      <w:rPr>
                        <w:sz w:val="12"/>
                      </w:rPr>
                    </w:pPr>
                    <w:r>
                      <w:rPr>
                        <w:color w:val="231F20"/>
                        <w:sz w:val="12"/>
                      </w:rPr>
                      <w:t>número de piezas dentales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pict>
          <v:shape style="position:absolute;margin-left:109.2985pt;margin-top:-93.633583pt;width:8.0500pt;height:59.8pt;mso-position-horizontal-relative:page;mso-position-vertical-relative:paragraph;z-index:-19024" type="#_x0000_t202" filled="false" stroked="false">
            <v:textbox inset="0,0,0,0" style="layout-flow:vertical;mso-layout-flow-alt:bottom-to-top">
              <w:txbxContent>
                <w:p>
                  <w:pPr>
                    <w:spacing w:before="7"/>
                    <w:ind w:left="20" w:right="0" w:firstLine="0"/>
                    <w:jc w:val="left"/>
                    <w:rPr>
                      <w:b/>
                      <w:sz w:val="12"/>
                    </w:rPr>
                  </w:pPr>
                  <w:r>
                    <w:rPr>
                      <w:b/>
                      <w:color w:val="231F20"/>
                      <w:w w:val="100"/>
                      <w:sz w:val="12"/>
                    </w:rPr>
                    <w:t>Ti</w:t>
                  </w:r>
                  <w:r>
                    <w:rPr>
                      <w:b/>
                      <w:color w:val="231F20"/>
                      <w:spacing w:val="-1"/>
                      <w:w w:val="100"/>
                      <w:sz w:val="12"/>
                    </w:rPr>
                    <w:t>p</w:t>
                  </w:r>
                  <w:r>
                    <w:rPr>
                      <w:b/>
                      <w:color w:val="231F20"/>
                      <w:w w:val="100"/>
                      <w:sz w:val="12"/>
                    </w:rPr>
                    <w:t>o</w:t>
                  </w:r>
                  <w:r>
                    <w:rPr>
                      <w:b/>
                      <w:color w:val="231F20"/>
                      <w:spacing w:val="-3"/>
                      <w:sz w:val="12"/>
                    </w:rPr>
                    <w:t> </w:t>
                  </w:r>
                  <w:r>
                    <w:rPr>
                      <w:b/>
                      <w:color w:val="231F20"/>
                      <w:spacing w:val="-1"/>
                      <w:w w:val="100"/>
                      <w:sz w:val="12"/>
                    </w:rPr>
                    <w:t>d</w:t>
                  </w:r>
                  <w:r>
                    <w:rPr>
                      <w:b/>
                      <w:color w:val="231F20"/>
                      <w:w w:val="100"/>
                      <w:sz w:val="12"/>
                    </w:rPr>
                    <w:t>e</w:t>
                  </w:r>
                  <w:r>
                    <w:rPr>
                      <w:b/>
                      <w:color w:val="231F20"/>
                      <w:spacing w:val="1"/>
                      <w:sz w:val="12"/>
                    </w:rPr>
                    <w:t> </w:t>
                  </w:r>
                  <w:r>
                    <w:rPr>
                      <w:b/>
                      <w:color w:val="231F20"/>
                      <w:w w:val="100"/>
                      <w:sz w:val="12"/>
                    </w:rPr>
                    <w:t>tra</w:t>
                  </w:r>
                  <w:r>
                    <w:rPr>
                      <w:b/>
                      <w:color w:val="231F20"/>
                      <w:spacing w:val="-1"/>
                      <w:w w:val="100"/>
                      <w:sz w:val="12"/>
                    </w:rPr>
                    <w:t>nsp</w:t>
                  </w:r>
                  <w:r>
                    <w:rPr>
                      <w:b/>
                      <w:color w:val="231F20"/>
                      <w:w w:val="100"/>
                      <w:sz w:val="12"/>
                    </w:rPr>
                    <w:t>orte</w:t>
                  </w:r>
                </w:p>
              </w:txbxContent>
            </v:textbox>
            <w10:wrap type="none"/>
          </v:shape>
        </w:pict>
      </w:r>
      <w:r>
        <w:rPr/>
        <w:pict>
          <v:shape style="position:absolute;margin-left:121.725403pt;margin-top:43.414589pt;width:8.0500pt;height:29.55pt;mso-position-horizontal-relative:page;mso-position-vertical-relative:paragraph;z-index:1672" type="#_x0000_t202" filled="false" stroked="false">
            <v:textbox inset="0,0,0,0" style="layout-flow:vertical;mso-layout-flow-alt:bottom-to-top">
              <w:txbxContent>
                <w:p>
                  <w:pPr>
                    <w:spacing w:before="7"/>
                    <w:ind w:left="20" w:right="-426" w:firstLine="0"/>
                    <w:jc w:val="left"/>
                    <w:rPr>
                      <w:sz w:val="12"/>
                    </w:rPr>
                  </w:pPr>
                  <w:r>
                    <w:rPr>
                      <w:color w:val="231F20"/>
                      <w:w w:val="100"/>
                      <w:sz w:val="12"/>
                    </w:rPr>
                    <w:t>f</w:t>
                  </w:r>
                  <w:r>
                    <w:rPr>
                      <w:color w:val="231F20"/>
                      <w:spacing w:val="-1"/>
                      <w:w w:val="100"/>
                      <w:sz w:val="12"/>
                    </w:rPr>
                    <w:t>rec</w:t>
                  </w:r>
                  <w:r>
                    <w:rPr>
                      <w:color w:val="231F20"/>
                      <w:w w:val="100"/>
                      <w:sz w:val="12"/>
                    </w:rPr>
                    <w:t>u</w:t>
                  </w:r>
                  <w:r>
                    <w:rPr>
                      <w:color w:val="231F20"/>
                      <w:spacing w:val="-1"/>
                      <w:w w:val="100"/>
                      <w:sz w:val="12"/>
                    </w:rPr>
                    <w:t>e</w:t>
                  </w:r>
                  <w:r>
                    <w:rPr>
                      <w:color w:val="231F20"/>
                      <w:w w:val="100"/>
                      <w:sz w:val="12"/>
                    </w:rPr>
                    <w:t>n</w:t>
                  </w:r>
                  <w:r>
                    <w:rPr>
                      <w:color w:val="231F20"/>
                      <w:spacing w:val="-1"/>
                      <w:w w:val="100"/>
                      <w:sz w:val="12"/>
                    </w:rPr>
                    <w:t>c</w:t>
                  </w:r>
                  <w:r>
                    <w:rPr>
                      <w:color w:val="231F20"/>
                      <w:w w:val="100"/>
                      <w:sz w:val="12"/>
                    </w:rPr>
                    <w:t>ia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105"/>
          <w:sz w:val="13"/>
        </w:rPr>
        <w:t>Figura 3.- Medio de transporte que utilizan para acudir a la escuela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22"/>
        </w:rPr>
      </w:pPr>
    </w:p>
    <w:tbl>
      <w:tblPr>
        <w:tblW w:w="0" w:type="auto"/>
        <w:jc w:val="left"/>
        <w:tblInd w:w="1407" w:type="dxa"/>
        <w:tblBorders>
          <w:top w:val="single" w:sz="3" w:space="0" w:color="9A9D9F"/>
          <w:left w:val="single" w:sz="3" w:space="0" w:color="9A9D9F"/>
          <w:bottom w:val="single" w:sz="3" w:space="0" w:color="9A9D9F"/>
          <w:right w:val="single" w:sz="3" w:space="0" w:color="9A9D9F"/>
          <w:insideH w:val="single" w:sz="3" w:space="0" w:color="9A9D9F"/>
          <w:insideV w:val="single" w:sz="3" w:space="0" w:color="9A9D9F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886"/>
        <w:gridCol w:w="286"/>
        <w:gridCol w:w="284"/>
        <w:gridCol w:w="286"/>
        <w:gridCol w:w="284"/>
        <w:gridCol w:w="286"/>
        <w:gridCol w:w="284"/>
        <w:gridCol w:w="286"/>
        <w:gridCol w:w="284"/>
        <w:gridCol w:w="286"/>
        <w:gridCol w:w="284"/>
        <w:gridCol w:w="286"/>
      </w:tblGrid>
      <w:tr>
        <w:trPr>
          <w:trHeight w:val="184" w:hRule="exact"/>
        </w:trPr>
        <w:tc>
          <w:tcPr>
            <w:tcW w:w="886" w:type="dxa"/>
            <w:tcBorders>
              <w:top w:val="nil"/>
              <w:left w:val="nil"/>
            </w:tcBorders>
          </w:tcPr>
          <w:p>
            <w:pPr/>
          </w:p>
        </w:tc>
        <w:tc>
          <w:tcPr>
            <w:tcW w:w="286" w:type="dxa"/>
            <w:tcBorders>
              <w:top w:val="nil"/>
            </w:tcBorders>
          </w:tcPr>
          <w:p>
            <w:pPr>
              <w:pStyle w:val="TableParagraph"/>
              <w:spacing w:before="47"/>
              <w:rPr>
                <w:sz w:val="12"/>
              </w:rPr>
            </w:pPr>
            <w:r>
              <w:rPr>
                <w:color w:val="231F20"/>
                <w:w w:val="100"/>
                <w:sz w:val="12"/>
              </w:rPr>
              <w:t>1</w:t>
            </w:r>
          </w:p>
        </w:tc>
        <w:tc>
          <w:tcPr>
            <w:tcW w:w="284" w:type="dxa"/>
            <w:tcBorders>
              <w:top w:val="nil"/>
            </w:tcBorders>
          </w:tcPr>
          <w:p>
            <w:pPr>
              <w:pStyle w:val="TableParagraph"/>
              <w:spacing w:before="47"/>
              <w:ind w:left="104"/>
              <w:jc w:val="left"/>
              <w:rPr>
                <w:sz w:val="12"/>
              </w:rPr>
            </w:pPr>
            <w:r>
              <w:rPr>
                <w:color w:val="231F20"/>
                <w:w w:val="100"/>
                <w:sz w:val="12"/>
              </w:rPr>
              <w:t>2</w:t>
            </w:r>
          </w:p>
        </w:tc>
        <w:tc>
          <w:tcPr>
            <w:tcW w:w="286" w:type="dxa"/>
            <w:tcBorders>
              <w:top w:val="nil"/>
            </w:tcBorders>
          </w:tcPr>
          <w:p>
            <w:pPr>
              <w:pStyle w:val="TableParagraph"/>
              <w:spacing w:before="47"/>
              <w:rPr>
                <w:sz w:val="12"/>
              </w:rPr>
            </w:pPr>
            <w:r>
              <w:rPr>
                <w:color w:val="231F20"/>
                <w:w w:val="100"/>
                <w:sz w:val="12"/>
              </w:rPr>
              <w:t>3</w:t>
            </w:r>
          </w:p>
        </w:tc>
        <w:tc>
          <w:tcPr>
            <w:tcW w:w="284" w:type="dxa"/>
            <w:tcBorders>
              <w:top w:val="nil"/>
            </w:tcBorders>
          </w:tcPr>
          <w:p>
            <w:pPr>
              <w:pStyle w:val="TableParagraph"/>
              <w:spacing w:before="47"/>
              <w:rPr>
                <w:sz w:val="12"/>
              </w:rPr>
            </w:pPr>
            <w:r>
              <w:rPr>
                <w:color w:val="231F20"/>
                <w:w w:val="100"/>
                <w:sz w:val="12"/>
              </w:rPr>
              <w:t>4</w:t>
            </w:r>
          </w:p>
        </w:tc>
        <w:tc>
          <w:tcPr>
            <w:tcW w:w="286" w:type="dxa"/>
            <w:tcBorders>
              <w:top w:val="nil"/>
            </w:tcBorders>
          </w:tcPr>
          <w:p>
            <w:pPr>
              <w:pStyle w:val="TableParagraph"/>
              <w:spacing w:before="47"/>
              <w:ind w:left="107"/>
              <w:jc w:val="left"/>
              <w:rPr>
                <w:sz w:val="12"/>
              </w:rPr>
            </w:pPr>
            <w:r>
              <w:rPr>
                <w:color w:val="231F20"/>
                <w:w w:val="100"/>
                <w:sz w:val="12"/>
              </w:rPr>
              <w:t>5</w:t>
            </w:r>
          </w:p>
        </w:tc>
        <w:tc>
          <w:tcPr>
            <w:tcW w:w="284" w:type="dxa"/>
            <w:tcBorders>
              <w:top w:val="nil"/>
            </w:tcBorders>
          </w:tcPr>
          <w:p>
            <w:pPr>
              <w:pStyle w:val="TableParagraph"/>
              <w:spacing w:before="47"/>
              <w:rPr>
                <w:sz w:val="12"/>
              </w:rPr>
            </w:pPr>
            <w:r>
              <w:rPr>
                <w:color w:val="231F20"/>
                <w:w w:val="100"/>
                <w:sz w:val="12"/>
              </w:rPr>
              <w:t>6</w:t>
            </w:r>
          </w:p>
        </w:tc>
        <w:tc>
          <w:tcPr>
            <w:tcW w:w="286" w:type="dxa"/>
            <w:tcBorders>
              <w:top w:val="nil"/>
            </w:tcBorders>
          </w:tcPr>
          <w:p>
            <w:pPr>
              <w:pStyle w:val="TableParagraph"/>
              <w:spacing w:before="47"/>
              <w:ind w:left="109"/>
              <w:jc w:val="left"/>
              <w:rPr>
                <w:sz w:val="12"/>
              </w:rPr>
            </w:pPr>
            <w:r>
              <w:rPr>
                <w:color w:val="231F20"/>
                <w:w w:val="100"/>
                <w:sz w:val="12"/>
              </w:rPr>
              <w:t>7</w:t>
            </w:r>
          </w:p>
        </w:tc>
        <w:tc>
          <w:tcPr>
            <w:tcW w:w="284" w:type="dxa"/>
            <w:tcBorders>
              <w:top w:val="nil"/>
            </w:tcBorders>
          </w:tcPr>
          <w:p>
            <w:pPr>
              <w:pStyle w:val="TableParagraph"/>
              <w:spacing w:before="47"/>
              <w:rPr>
                <w:sz w:val="12"/>
              </w:rPr>
            </w:pPr>
            <w:r>
              <w:rPr>
                <w:color w:val="231F20"/>
                <w:w w:val="100"/>
                <w:sz w:val="12"/>
              </w:rPr>
              <w:t>8</w:t>
            </w:r>
          </w:p>
        </w:tc>
        <w:tc>
          <w:tcPr>
            <w:tcW w:w="286" w:type="dxa"/>
            <w:tcBorders>
              <w:top w:val="nil"/>
            </w:tcBorders>
          </w:tcPr>
          <w:p>
            <w:pPr>
              <w:pStyle w:val="TableParagraph"/>
              <w:spacing w:before="47"/>
              <w:rPr>
                <w:sz w:val="12"/>
              </w:rPr>
            </w:pPr>
            <w:r>
              <w:rPr>
                <w:color w:val="231F20"/>
                <w:w w:val="100"/>
                <w:sz w:val="12"/>
              </w:rPr>
              <w:t>9</w:t>
            </w:r>
          </w:p>
        </w:tc>
        <w:tc>
          <w:tcPr>
            <w:tcW w:w="284" w:type="dxa"/>
            <w:tcBorders>
              <w:top w:val="nil"/>
            </w:tcBorders>
          </w:tcPr>
          <w:p>
            <w:pPr>
              <w:pStyle w:val="TableParagraph"/>
              <w:spacing w:before="47"/>
              <w:ind w:left="49" w:right="48"/>
              <w:rPr>
                <w:sz w:val="12"/>
              </w:rPr>
            </w:pPr>
            <w:r>
              <w:rPr>
                <w:color w:val="231F20"/>
                <w:sz w:val="12"/>
              </w:rPr>
              <w:t>10</w:t>
            </w:r>
          </w:p>
        </w:tc>
        <w:tc>
          <w:tcPr>
            <w:tcW w:w="286" w:type="dxa"/>
            <w:tcBorders>
              <w:top w:val="nil"/>
            </w:tcBorders>
          </w:tcPr>
          <w:p>
            <w:pPr>
              <w:pStyle w:val="TableParagraph"/>
              <w:spacing w:before="47"/>
              <w:ind w:left="68" w:right="67"/>
              <w:rPr>
                <w:sz w:val="12"/>
              </w:rPr>
            </w:pPr>
            <w:r>
              <w:rPr>
                <w:color w:val="231F20"/>
                <w:sz w:val="12"/>
              </w:rPr>
              <w:t>11</w:t>
            </w:r>
          </w:p>
        </w:tc>
      </w:tr>
      <w:tr>
        <w:trPr>
          <w:trHeight w:val="187" w:hRule="exact"/>
        </w:trPr>
        <w:tc>
          <w:tcPr>
            <w:tcW w:w="886" w:type="dxa"/>
          </w:tcPr>
          <w:p>
            <w:pPr>
              <w:pStyle w:val="TableParagraph"/>
              <w:spacing w:before="14"/>
              <w:ind w:left="124"/>
              <w:jc w:val="left"/>
              <w:rPr>
                <w:sz w:val="12"/>
              </w:rPr>
            </w:pPr>
            <w:r>
              <w:rPr>
                <w:color w:val="231F20"/>
                <w:sz w:val="12"/>
              </w:rPr>
              <w:t>CARIES</w:t>
            </w:r>
          </w:p>
        </w:tc>
        <w:tc>
          <w:tcPr>
            <w:tcW w:w="286" w:type="dxa"/>
          </w:tcPr>
          <w:p>
            <w:pPr>
              <w:pStyle w:val="TableParagraph"/>
              <w:ind w:left="50" w:right="49"/>
              <w:rPr>
                <w:sz w:val="12"/>
              </w:rPr>
            </w:pPr>
            <w:r>
              <w:rPr>
                <w:color w:val="231F20"/>
                <w:sz w:val="12"/>
              </w:rPr>
              <w:t>46</w:t>
            </w:r>
          </w:p>
        </w:tc>
        <w:tc>
          <w:tcPr>
            <w:tcW w:w="284" w:type="dxa"/>
          </w:tcPr>
          <w:p>
            <w:pPr>
              <w:pStyle w:val="TableParagraph"/>
              <w:ind w:left="82"/>
              <w:jc w:val="left"/>
              <w:rPr>
                <w:sz w:val="12"/>
              </w:rPr>
            </w:pPr>
            <w:r>
              <w:rPr>
                <w:color w:val="231F20"/>
                <w:sz w:val="12"/>
              </w:rPr>
              <w:t>71</w:t>
            </w:r>
          </w:p>
        </w:tc>
        <w:tc>
          <w:tcPr>
            <w:tcW w:w="286" w:type="dxa"/>
          </w:tcPr>
          <w:p>
            <w:pPr>
              <w:pStyle w:val="TableParagraph"/>
              <w:ind w:left="50" w:right="50"/>
              <w:rPr>
                <w:sz w:val="12"/>
              </w:rPr>
            </w:pPr>
            <w:r>
              <w:rPr>
                <w:color w:val="231F20"/>
                <w:sz w:val="12"/>
              </w:rPr>
              <w:t>50</w:t>
            </w:r>
          </w:p>
        </w:tc>
        <w:tc>
          <w:tcPr>
            <w:tcW w:w="284" w:type="dxa"/>
          </w:tcPr>
          <w:p>
            <w:pPr>
              <w:pStyle w:val="TableParagraph"/>
              <w:ind w:left="49" w:right="49"/>
              <w:rPr>
                <w:sz w:val="12"/>
              </w:rPr>
            </w:pPr>
            <w:r>
              <w:rPr>
                <w:color w:val="231F20"/>
                <w:sz w:val="12"/>
              </w:rPr>
              <w:t>38</w:t>
            </w:r>
          </w:p>
        </w:tc>
        <w:tc>
          <w:tcPr>
            <w:tcW w:w="286" w:type="dxa"/>
          </w:tcPr>
          <w:p>
            <w:pPr>
              <w:pStyle w:val="TableParagraph"/>
              <w:ind w:left="105"/>
              <w:jc w:val="left"/>
              <w:rPr>
                <w:sz w:val="12"/>
              </w:rPr>
            </w:pPr>
            <w:r>
              <w:rPr>
                <w:color w:val="231F20"/>
                <w:w w:val="100"/>
                <w:sz w:val="12"/>
              </w:rPr>
              <w:t>9</w:t>
            </w:r>
          </w:p>
        </w:tc>
        <w:tc>
          <w:tcPr>
            <w:tcW w:w="284" w:type="dxa"/>
          </w:tcPr>
          <w:p>
            <w:pPr>
              <w:pStyle w:val="TableParagraph"/>
              <w:rPr>
                <w:sz w:val="12"/>
              </w:rPr>
            </w:pPr>
            <w:r>
              <w:rPr>
                <w:color w:val="231F20"/>
                <w:w w:val="100"/>
                <w:sz w:val="12"/>
              </w:rPr>
              <w:t>9</w:t>
            </w:r>
          </w:p>
        </w:tc>
        <w:tc>
          <w:tcPr>
            <w:tcW w:w="286" w:type="dxa"/>
          </w:tcPr>
          <w:p>
            <w:pPr>
              <w:pStyle w:val="TableParagraph"/>
              <w:ind w:left="113"/>
              <w:jc w:val="left"/>
              <w:rPr>
                <w:sz w:val="12"/>
              </w:rPr>
            </w:pPr>
            <w:r>
              <w:rPr>
                <w:color w:val="231F20"/>
                <w:w w:val="100"/>
                <w:sz w:val="12"/>
              </w:rPr>
              <w:t>1</w:t>
            </w:r>
          </w:p>
        </w:tc>
        <w:tc>
          <w:tcPr>
            <w:tcW w:w="284" w:type="dxa"/>
          </w:tcPr>
          <w:p>
            <w:pPr>
              <w:pStyle w:val="TableParagraph"/>
              <w:rPr>
                <w:sz w:val="12"/>
              </w:rPr>
            </w:pPr>
            <w:r>
              <w:rPr>
                <w:color w:val="231F20"/>
                <w:w w:val="100"/>
                <w:sz w:val="12"/>
              </w:rPr>
              <w:t>6</w:t>
            </w:r>
          </w:p>
        </w:tc>
        <w:tc>
          <w:tcPr>
            <w:tcW w:w="286" w:type="dxa"/>
          </w:tcPr>
          <w:p>
            <w:pPr>
              <w:pStyle w:val="TableParagraph"/>
              <w:rPr>
                <w:sz w:val="12"/>
              </w:rPr>
            </w:pPr>
            <w:r>
              <w:rPr>
                <w:color w:val="231F20"/>
                <w:w w:val="100"/>
                <w:sz w:val="12"/>
              </w:rPr>
              <w:t>0</w:t>
            </w:r>
          </w:p>
        </w:tc>
        <w:tc>
          <w:tcPr>
            <w:tcW w:w="284" w:type="dxa"/>
          </w:tcPr>
          <w:p>
            <w:pPr>
              <w:pStyle w:val="TableParagraph"/>
              <w:rPr>
                <w:sz w:val="12"/>
              </w:rPr>
            </w:pPr>
            <w:r>
              <w:rPr>
                <w:color w:val="231F20"/>
                <w:w w:val="100"/>
                <w:sz w:val="12"/>
              </w:rPr>
              <w:t>0</w:t>
            </w:r>
          </w:p>
        </w:tc>
        <w:tc>
          <w:tcPr>
            <w:tcW w:w="286" w:type="dxa"/>
          </w:tcPr>
          <w:p>
            <w:pPr>
              <w:pStyle w:val="TableParagraph"/>
              <w:rPr>
                <w:sz w:val="12"/>
              </w:rPr>
            </w:pPr>
            <w:r>
              <w:rPr>
                <w:color w:val="231F20"/>
                <w:w w:val="100"/>
                <w:sz w:val="12"/>
              </w:rPr>
              <w:t>1</w:t>
            </w:r>
          </w:p>
        </w:tc>
      </w:tr>
      <w:tr>
        <w:trPr>
          <w:trHeight w:val="187" w:hRule="exact"/>
        </w:trPr>
        <w:tc>
          <w:tcPr>
            <w:tcW w:w="886" w:type="dxa"/>
          </w:tcPr>
          <w:p>
            <w:pPr>
              <w:pStyle w:val="TableParagraph"/>
              <w:spacing w:before="14"/>
              <w:ind w:left="124"/>
              <w:jc w:val="left"/>
              <w:rPr>
                <w:sz w:val="12"/>
              </w:rPr>
            </w:pPr>
            <w:r>
              <w:rPr>
                <w:color w:val="231F20"/>
                <w:sz w:val="12"/>
              </w:rPr>
              <w:t>REPARADAS</w:t>
            </w:r>
          </w:p>
        </w:tc>
        <w:tc>
          <w:tcPr>
            <w:tcW w:w="286" w:type="dxa"/>
          </w:tcPr>
          <w:p>
            <w:pPr>
              <w:pStyle w:val="TableParagraph"/>
              <w:ind w:left="50" w:right="49"/>
              <w:rPr>
                <w:sz w:val="12"/>
              </w:rPr>
            </w:pPr>
            <w:r>
              <w:rPr>
                <w:color w:val="231F20"/>
                <w:sz w:val="12"/>
              </w:rPr>
              <w:t>45</w:t>
            </w:r>
          </w:p>
        </w:tc>
        <w:tc>
          <w:tcPr>
            <w:tcW w:w="284" w:type="dxa"/>
          </w:tcPr>
          <w:p>
            <w:pPr>
              <w:pStyle w:val="TableParagraph"/>
              <w:ind w:left="70"/>
              <w:jc w:val="left"/>
              <w:rPr>
                <w:sz w:val="12"/>
              </w:rPr>
            </w:pPr>
            <w:r>
              <w:rPr>
                <w:color w:val="231F20"/>
                <w:sz w:val="12"/>
              </w:rPr>
              <w:t>49</w:t>
            </w:r>
          </w:p>
        </w:tc>
        <w:tc>
          <w:tcPr>
            <w:tcW w:w="286" w:type="dxa"/>
          </w:tcPr>
          <w:p>
            <w:pPr>
              <w:pStyle w:val="TableParagraph"/>
              <w:ind w:left="50" w:right="50"/>
              <w:rPr>
                <w:sz w:val="12"/>
              </w:rPr>
            </w:pPr>
            <w:r>
              <w:rPr>
                <w:color w:val="231F20"/>
                <w:sz w:val="12"/>
              </w:rPr>
              <w:t>32</w:t>
            </w:r>
          </w:p>
        </w:tc>
        <w:tc>
          <w:tcPr>
            <w:tcW w:w="284" w:type="dxa"/>
          </w:tcPr>
          <w:p>
            <w:pPr>
              <w:pStyle w:val="TableParagraph"/>
              <w:ind w:left="49" w:right="49"/>
              <w:rPr>
                <w:sz w:val="12"/>
              </w:rPr>
            </w:pPr>
            <w:r>
              <w:rPr>
                <w:color w:val="231F20"/>
                <w:sz w:val="12"/>
              </w:rPr>
              <w:t>27</w:t>
            </w:r>
          </w:p>
        </w:tc>
        <w:tc>
          <w:tcPr>
            <w:tcW w:w="286" w:type="dxa"/>
          </w:tcPr>
          <w:p>
            <w:pPr>
              <w:pStyle w:val="TableParagraph"/>
              <w:ind w:left="80"/>
              <w:jc w:val="left"/>
              <w:rPr>
                <w:sz w:val="12"/>
              </w:rPr>
            </w:pPr>
            <w:r>
              <w:rPr>
                <w:color w:val="231F20"/>
                <w:sz w:val="12"/>
              </w:rPr>
              <w:t>13</w:t>
            </w:r>
          </w:p>
        </w:tc>
        <w:tc>
          <w:tcPr>
            <w:tcW w:w="284" w:type="dxa"/>
          </w:tcPr>
          <w:p>
            <w:pPr>
              <w:pStyle w:val="TableParagraph"/>
              <w:rPr>
                <w:sz w:val="12"/>
              </w:rPr>
            </w:pPr>
            <w:r>
              <w:rPr>
                <w:color w:val="231F20"/>
                <w:w w:val="100"/>
                <w:sz w:val="12"/>
              </w:rPr>
              <w:t>5</w:t>
            </w:r>
          </w:p>
        </w:tc>
        <w:tc>
          <w:tcPr>
            <w:tcW w:w="286" w:type="dxa"/>
          </w:tcPr>
          <w:p>
            <w:pPr>
              <w:pStyle w:val="TableParagraph"/>
              <w:ind w:left="102"/>
              <w:jc w:val="left"/>
              <w:rPr>
                <w:sz w:val="12"/>
              </w:rPr>
            </w:pPr>
            <w:r>
              <w:rPr>
                <w:color w:val="231F20"/>
                <w:w w:val="100"/>
                <w:sz w:val="12"/>
              </w:rPr>
              <w:t>0</w:t>
            </w:r>
          </w:p>
        </w:tc>
        <w:tc>
          <w:tcPr>
            <w:tcW w:w="284" w:type="dxa"/>
          </w:tcPr>
          <w:p>
            <w:pPr>
              <w:pStyle w:val="TableParagraph"/>
              <w:rPr>
                <w:sz w:val="12"/>
              </w:rPr>
            </w:pPr>
            <w:r>
              <w:rPr>
                <w:color w:val="231F20"/>
                <w:w w:val="100"/>
                <w:sz w:val="12"/>
              </w:rPr>
              <w:t>7</w:t>
            </w:r>
          </w:p>
        </w:tc>
        <w:tc>
          <w:tcPr>
            <w:tcW w:w="286" w:type="dxa"/>
          </w:tcPr>
          <w:p>
            <w:pPr>
              <w:pStyle w:val="TableParagraph"/>
              <w:rPr>
                <w:sz w:val="12"/>
              </w:rPr>
            </w:pPr>
            <w:r>
              <w:rPr>
                <w:color w:val="231F20"/>
                <w:w w:val="100"/>
                <w:sz w:val="12"/>
              </w:rPr>
              <w:t>1</w:t>
            </w:r>
          </w:p>
        </w:tc>
        <w:tc>
          <w:tcPr>
            <w:tcW w:w="284" w:type="dxa"/>
          </w:tcPr>
          <w:p>
            <w:pPr>
              <w:pStyle w:val="TableParagraph"/>
              <w:rPr>
                <w:sz w:val="12"/>
              </w:rPr>
            </w:pPr>
            <w:r>
              <w:rPr>
                <w:color w:val="231F20"/>
                <w:w w:val="100"/>
                <w:sz w:val="12"/>
              </w:rPr>
              <w:t>3</w:t>
            </w:r>
          </w:p>
        </w:tc>
        <w:tc>
          <w:tcPr>
            <w:tcW w:w="286" w:type="dxa"/>
          </w:tcPr>
          <w:p>
            <w:pPr>
              <w:pStyle w:val="TableParagraph"/>
              <w:rPr>
                <w:sz w:val="12"/>
              </w:rPr>
            </w:pPr>
            <w:r>
              <w:rPr>
                <w:color w:val="231F20"/>
                <w:w w:val="100"/>
                <w:sz w:val="12"/>
              </w:rPr>
              <w:t>4</w:t>
            </w:r>
          </w:p>
        </w:tc>
      </w:tr>
      <w:tr>
        <w:trPr>
          <w:trHeight w:val="187" w:hRule="exact"/>
        </w:trPr>
        <w:tc>
          <w:tcPr>
            <w:tcW w:w="886" w:type="dxa"/>
          </w:tcPr>
          <w:p>
            <w:pPr>
              <w:pStyle w:val="TableParagraph"/>
              <w:spacing w:before="14"/>
              <w:ind w:left="124"/>
              <w:jc w:val="left"/>
              <w:rPr>
                <w:sz w:val="12"/>
              </w:rPr>
            </w:pPr>
            <w:r>
              <w:rPr>
                <w:color w:val="231F20"/>
                <w:sz w:val="12"/>
              </w:rPr>
              <w:t>EXTRAIDAS</w:t>
            </w:r>
          </w:p>
        </w:tc>
        <w:tc>
          <w:tcPr>
            <w:tcW w:w="286" w:type="dxa"/>
          </w:tcPr>
          <w:p>
            <w:pPr>
              <w:pStyle w:val="TableParagraph"/>
              <w:ind w:left="50" w:right="50"/>
              <w:rPr>
                <w:sz w:val="12"/>
              </w:rPr>
            </w:pPr>
            <w:r>
              <w:rPr>
                <w:color w:val="231F20"/>
                <w:sz w:val="12"/>
              </w:rPr>
              <w:t>53</w:t>
            </w:r>
          </w:p>
        </w:tc>
        <w:tc>
          <w:tcPr>
            <w:tcW w:w="284" w:type="dxa"/>
          </w:tcPr>
          <w:p>
            <w:pPr>
              <w:pStyle w:val="TableParagraph"/>
              <w:ind w:left="74"/>
              <w:jc w:val="left"/>
              <w:rPr>
                <w:sz w:val="12"/>
              </w:rPr>
            </w:pPr>
            <w:r>
              <w:rPr>
                <w:color w:val="231F20"/>
                <w:sz w:val="12"/>
              </w:rPr>
              <w:t>27</w:t>
            </w:r>
          </w:p>
        </w:tc>
        <w:tc>
          <w:tcPr>
            <w:tcW w:w="286" w:type="dxa"/>
          </w:tcPr>
          <w:p>
            <w:pPr>
              <w:pStyle w:val="TableParagraph"/>
              <w:rPr>
                <w:sz w:val="12"/>
              </w:rPr>
            </w:pPr>
            <w:r>
              <w:rPr>
                <w:color w:val="231F20"/>
                <w:w w:val="100"/>
                <w:sz w:val="12"/>
              </w:rPr>
              <w:t>9</w:t>
            </w:r>
          </w:p>
        </w:tc>
        <w:tc>
          <w:tcPr>
            <w:tcW w:w="284" w:type="dxa"/>
          </w:tcPr>
          <w:p>
            <w:pPr>
              <w:pStyle w:val="TableParagraph"/>
              <w:ind w:left="49" w:right="48"/>
              <w:rPr>
                <w:sz w:val="12"/>
              </w:rPr>
            </w:pPr>
            <w:r>
              <w:rPr>
                <w:color w:val="231F20"/>
                <w:sz w:val="12"/>
              </w:rPr>
              <w:t>16</w:t>
            </w:r>
          </w:p>
        </w:tc>
        <w:tc>
          <w:tcPr>
            <w:tcW w:w="286" w:type="dxa"/>
          </w:tcPr>
          <w:p>
            <w:pPr>
              <w:pStyle w:val="TableParagraph"/>
              <w:ind w:left="106"/>
              <w:jc w:val="left"/>
              <w:rPr>
                <w:sz w:val="12"/>
              </w:rPr>
            </w:pPr>
            <w:r>
              <w:rPr>
                <w:color w:val="231F20"/>
                <w:w w:val="100"/>
                <w:sz w:val="12"/>
              </w:rPr>
              <w:t>3</w:t>
            </w:r>
          </w:p>
        </w:tc>
        <w:tc>
          <w:tcPr>
            <w:tcW w:w="284" w:type="dxa"/>
          </w:tcPr>
          <w:p>
            <w:pPr>
              <w:pStyle w:val="TableParagraph"/>
              <w:rPr>
                <w:sz w:val="12"/>
              </w:rPr>
            </w:pPr>
            <w:r>
              <w:rPr>
                <w:color w:val="231F20"/>
                <w:w w:val="100"/>
                <w:sz w:val="12"/>
              </w:rPr>
              <w:t>2</w:t>
            </w:r>
          </w:p>
        </w:tc>
        <w:tc>
          <w:tcPr>
            <w:tcW w:w="286" w:type="dxa"/>
          </w:tcPr>
          <w:p>
            <w:pPr>
              <w:pStyle w:val="TableParagraph"/>
              <w:ind w:left="102"/>
              <w:jc w:val="left"/>
              <w:rPr>
                <w:sz w:val="12"/>
              </w:rPr>
            </w:pPr>
            <w:r>
              <w:rPr>
                <w:color w:val="231F20"/>
                <w:w w:val="100"/>
                <w:sz w:val="12"/>
              </w:rPr>
              <w:t>0</w:t>
            </w:r>
          </w:p>
        </w:tc>
        <w:tc>
          <w:tcPr>
            <w:tcW w:w="284" w:type="dxa"/>
          </w:tcPr>
          <w:p>
            <w:pPr>
              <w:pStyle w:val="TableParagraph"/>
              <w:rPr>
                <w:sz w:val="12"/>
              </w:rPr>
            </w:pPr>
            <w:r>
              <w:rPr>
                <w:color w:val="231F20"/>
                <w:w w:val="100"/>
                <w:sz w:val="12"/>
              </w:rPr>
              <w:t>1</w:t>
            </w:r>
          </w:p>
        </w:tc>
        <w:tc>
          <w:tcPr>
            <w:tcW w:w="286" w:type="dxa"/>
          </w:tcPr>
          <w:p>
            <w:pPr>
              <w:pStyle w:val="TableParagraph"/>
              <w:rPr>
                <w:sz w:val="12"/>
              </w:rPr>
            </w:pPr>
            <w:r>
              <w:rPr>
                <w:color w:val="231F20"/>
                <w:w w:val="100"/>
                <w:sz w:val="12"/>
              </w:rPr>
              <w:t>0</w:t>
            </w:r>
          </w:p>
        </w:tc>
        <w:tc>
          <w:tcPr>
            <w:tcW w:w="284" w:type="dxa"/>
          </w:tcPr>
          <w:p>
            <w:pPr>
              <w:pStyle w:val="TableParagraph"/>
              <w:rPr>
                <w:sz w:val="12"/>
              </w:rPr>
            </w:pPr>
            <w:r>
              <w:rPr>
                <w:color w:val="231F20"/>
                <w:w w:val="100"/>
                <w:sz w:val="12"/>
              </w:rPr>
              <w:t>0</w:t>
            </w:r>
          </w:p>
        </w:tc>
        <w:tc>
          <w:tcPr>
            <w:tcW w:w="286" w:type="dxa"/>
          </w:tcPr>
          <w:p>
            <w:pPr>
              <w:pStyle w:val="TableParagraph"/>
              <w:rPr>
                <w:sz w:val="12"/>
              </w:rPr>
            </w:pPr>
            <w:r>
              <w:rPr>
                <w:color w:val="231F20"/>
                <w:w w:val="100"/>
                <w:sz w:val="12"/>
              </w:rPr>
              <w:t>0</w:t>
            </w:r>
          </w:p>
        </w:tc>
      </w:tr>
    </w:tbl>
    <w:p>
      <w:pPr>
        <w:pStyle w:val="BodyText"/>
        <w:rPr>
          <w:sz w:val="14"/>
        </w:rPr>
      </w:pPr>
    </w:p>
    <w:p>
      <w:pPr>
        <w:pStyle w:val="BodyText"/>
        <w:spacing w:before="9"/>
        <w:rPr>
          <w:sz w:val="19"/>
        </w:rPr>
      </w:pPr>
    </w:p>
    <w:p>
      <w:pPr>
        <w:spacing w:before="0"/>
        <w:ind w:left="1263" w:right="2380" w:firstLine="0"/>
        <w:jc w:val="center"/>
        <w:rPr>
          <w:sz w:val="13"/>
        </w:rPr>
      </w:pPr>
      <w:r>
        <w:rPr>
          <w:color w:val="231F20"/>
          <w:w w:val="105"/>
          <w:sz w:val="13"/>
        </w:rPr>
        <w:t>Figura 4.- Número de piezas dentales con caries, reparadas o extraídas.</w:t>
      </w:r>
    </w:p>
    <w:p>
      <w:pPr>
        <w:pStyle w:val="BodyText"/>
        <w:spacing w:line="360" w:lineRule="auto" w:before="1"/>
        <w:ind w:left="101" w:right="1347" w:firstLine="212"/>
      </w:pPr>
      <w:r>
        <w:rPr>
          <w:color w:val="231F20"/>
        </w:rPr>
        <w:t>El 71% de los participantes acude al médico ante síntomas de enfermedad, 88% sigue las indicaciones médicas y 42% de los participantes se automedica.</w:t>
      </w:r>
    </w:p>
    <w:p>
      <w:pPr>
        <w:pStyle w:val="BodyText"/>
        <w:spacing w:line="360" w:lineRule="auto" w:before="1"/>
        <w:ind w:left="101" w:right="1353" w:firstLine="212"/>
      </w:pPr>
      <w:r>
        <w:rPr>
          <w:color w:val="231F20"/>
        </w:rPr>
        <w:t>La importancia de realizar estudios descriptivos y exploratorios sobre las condiciones y estilos de vida de grupos de personas permite presentar de manera general un perfil de sus condiciones de salud-enfermedad y psicosociales. Al demostrar riesgos, es posible señalar la probabilidad de ocurrencia de problemas de salud que repercutirán de manera individual y familiar. Dichos estudios permiten además la recolección de evidencias referentes a las características comunes del estilo de vida de las personas de un determinado grupo para diseñar, desarrollar y ofrecer programas de prevención y de tratamiento para modificar aquél.</w:t>
      </w:r>
    </w:p>
    <w:p>
      <w:pPr>
        <w:spacing w:before="1"/>
        <w:ind w:left="101" w:right="1347" w:firstLine="0"/>
        <w:jc w:val="left"/>
        <w:rPr>
          <w:b/>
          <w:i/>
          <w:sz w:val="18"/>
        </w:rPr>
      </w:pPr>
      <w:r>
        <w:rPr>
          <w:b/>
          <w:i/>
          <w:color w:val="231F20"/>
          <w:sz w:val="18"/>
        </w:rPr>
        <w:t>Referencias</w:t>
      </w:r>
    </w:p>
    <w:p>
      <w:pPr>
        <w:spacing w:before="101"/>
        <w:ind w:left="526" w:right="1267" w:hanging="425"/>
        <w:jc w:val="left"/>
        <w:rPr>
          <w:sz w:val="18"/>
        </w:rPr>
      </w:pPr>
      <w:r>
        <w:rPr>
          <w:color w:val="231F20"/>
          <w:sz w:val="18"/>
        </w:rPr>
        <w:t>Camacho Rábago, L.A., Echeverría, S. y Reynoso-Erazo, L. (2010). Estilos de vida y riesgos en la salud de trabajadores universitarios. </w:t>
      </w:r>
      <w:r>
        <w:rPr>
          <w:i/>
          <w:color w:val="231F20"/>
          <w:sz w:val="18"/>
        </w:rPr>
        <w:t>Journal of Behavior, </w:t>
      </w:r>
      <w:r>
        <w:rPr>
          <w:i/>
          <w:color w:val="231F20"/>
          <w:sz w:val="18"/>
        </w:rPr>
        <w:t>Health &amp; Social Issues, 2-1, </w:t>
      </w:r>
      <w:r>
        <w:rPr>
          <w:color w:val="231F20"/>
          <w:sz w:val="18"/>
        </w:rPr>
        <w:t>91-103 ISSN 2007-0780</w:t>
      </w:r>
    </w:p>
    <w:p>
      <w:pPr>
        <w:spacing w:after="0"/>
        <w:jc w:val="left"/>
        <w:rPr>
          <w:sz w:val="18"/>
        </w:rPr>
        <w:sectPr>
          <w:pgSz w:w="9080" w:h="12480"/>
          <w:pgMar w:header="491" w:footer="1047" w:top="680" w:bottom="1240" w:left="1120" w:right="0"/>
        </w:sectPr>
      </w:pPr>
    </w:p>
    <w:p>
      <w:pPr>
        <w:pStyle w:val="BodyText"/>
        <w:rPr>
          <w:sz w:val="20"/>
        </w:rPr>
      </w:pPr>
      <w:r>
        <w:rPr/>
        <w:pict>
          <v:shape style="position:absolute;margin-left:319.369995pt;margin-top:561.26001pt;width:88.85pt;height:34.050pt;mso-position-horizontal-relative:page;mso-position-vertical-relative:page;z-index:-18976" type="#_x0000_t202" filled="false" stroked="false">
            <v:textbox inset="0,0,0,0">
              <w:txbxContent>
                <w:p>
                  <w:pPr>
                    <w:pStyle w:val="BodyText"/>
                    <w:spacing w:before="2"/>
                    <w:ind w:left="1161"/>
                    <w:rPr>
                      <w:rFonts w:ascii="Arial"/>
                    </w:rPr>
                  </w:pPr>
                  <w:r>
                    <w:rPr>
                      <w:rFonts w:ascii="Arial"/>
                    </w:rPr>
                    <w:t>646</w:t>
                  </w:r>
                </w:p>
              </w:txbxContent>
            </v:textbox>
            <w10:wrap type="none"/>
          </v:shape>
        </w:pict>
      </w:r>
    </w:p>
    <w:p>
      <w:pPr>
        <w:pStyle w:val="BodyText"/>
        <w:rPr>
          <w:sz w:val="20"/>
        </w:rPr>
      </w:pPr>
    </w:p>
    <w:p>
      <w:pPr>
        <w:pStyle w:val="BodyText"/>
        <w:spacing w:before="7"/>
      </w:pPr>
    </w:p>
    <w:p>
      <w:pPr>
        <w:spacing w:before="0"/>
        <w:ind w:left="526" w:right="474" w:hanging="425"/>
        <w:jc w:val="left"/>
        <w:rPr>
          <w:sz w:val="18"/>
        </w:rPr>
      </w:pPr>
      <w:r>
        <w:rPr>
          <w:sz w:val="18"/>
        </w:rPr>
        <w:t>Frenk, J., Lozano, R. y Bobadilla, J.L. (1991). La transición epidemiológica en América Latina. </w:t>
      </w:r>
      <w:r>
        <w:rPr>
          <w:i/>
          <w:sz w:val="18"/>
        </w:rPr>
        <w:t>Boletín de la Oficina Sanitaria Panamericana, 111, </w:t>
      </w:r>
      <w:r>
        <w:rPr>
          <w:sz w:val="18"/>
        </w:rPr>
        <w:t>485-496.</w:t>
      </w:r>
    </w:p>
    <w:p>
      <w:pPr>
        <w:pStyle w:val="BodyText"/>
        <w:ind w:left="526" w:right="462" w:hanging="425"/>
        <w:rPr>
          <w:i/>
        </w:rPr>
      </w:pPr>
      <w:r>
        <w:rPr/>
        <w:t>García Hernández C, Ramos Estrada DY, Serrano Encinas DM, Sotelo Castillo MA, Flores Ivich LG. y Reynoso-Erazo L. (2009). Estilos de vida y riesgos a la salud en profesores universitarios: un estudio descriptivo. </w:t>
      </w:r>
      <w:r>
        <w:rPr>
          <w:i/>
        </w:rPr>
        <w:t>Psicología y Salud, </w:t>
      </w:r>
      <w:r>
        <w:rPr>
          <w:i/>
        </w:rPr>
        <w:t>19-1, 141-149.</w:t>
      </w:r>
    </w:p>
    <w:p>
      <w:pPr>
        <w:pStyle w:val="BodyText"/>
        <w:ind w:left="526" w:right="558" w:hanging="425"/>
      </w:pPr>
      <w:r>
        <w:rPr/>
        <w:t>Gutiérrez JP, Rivera-Dommarco J, Shamah-Levy T, Villalpando-Hernández S, Franco A, Cuevas-Nasu L, Romero-Martínez M, Hernández-Ávila M. (2012). Encuesta Nacional de Salud y Nutrición 2012. Resultados Nacionales.</w:t>
      </w:r>
    </w:p>
    <w:p>
      <w:pPr>
        <w:pStyle w:val="BodyText"/>
        <w:ind w:left="526" w:right="438"/>
      </w:pPr>
      <w:r>
        <w:rPr/>
        <w:t>Cuernavaca, México: Instituto Nacional de Salud Pública.</w:t>
      </w:r>
    </w:p>
    <w:p>
      <w:pPr>
        <w:pStyle w:val="BodyText"/>
        <w:ind w:left="526" w:right="448" w:hanging="425"/>
      </w:pPr>
      <w:r>
        <w:rPr/>
        <w:t>Reynoso-Erazo, L.y Seligson, I.(2002)(coordinadores). </w:t>
      </w:r>
      <w:r>
        <w:rPr>
          <w:i/>
        </w:rPr>
        <w:t>Psicología y Salud. </w:t>
      </w:r>
      <w:r>
        <w:rPr/>
        <w:t>México: Ed. Facultad de Psicología-UNAM-CONACyT. (ISBN 968-36-9729-1)</w:t>
      </w:r>
    </w:p>
    <w:p>
      <w:pPr>
        <w:spacing w:before="0"/>
        <w:ind w:left="526" w:right="531" w:hanging="425"/>
        <w:jc w:val="left"/>
        <w:rPr>
          <w:sz w:val="18"/>
        </w:rPr>
      </w:pPr>
      <w:r>
        <w:rPr>
          <w:sz w:val="18"/>
        </w:rPr>
        <w:t>Reynoso-Erazo, L. y Seligson, I. (2005). </w:t>
      </w:r>
      <w:r>
        <w:rPr>
          <w:i/>
          <w:sz w:val="18"/>
        </w:rPr>
        <w:t>Psicología clínica de la salud: un enfoque </w:t>
      </w:r>
      <w:r>
        <w:rPr>
          <w:i/>
          <w:sz w:val="18"/>
        </w:rPr>
        <w:t>conductual. </w:t>
      </w:r>
      <w:r>
        <w:rPr>
          <w:sz w:val="18"/>
        </w:rPr>
        <w:t>México: El Manual Moderno. (ISBN: 970-729-097-8)</w:t>
      </w:r>
    </w:p>
    <w:p>
      <w:pPr>
        <w:pStyle w:val="BodyText"/>
        <w:spacing w:line="203" w:lineRule="exact"/>
        <w:ind w:left="101" w:right="438"/>
      </w:pPr>
      <w:r>
        <w:rPr/>
        <w:t>Reynoso-Erazo, L. (2006). Cuestionario de Evaluación de Factores de Riesgo.</w:t>
      </w:r>
    </w:p>
    <w:p>
      <w:pPr>
        <w:pStyle w:val="BodyText"/>
        <w:spacing w:before="17"/>
        <w:ind w:left="526" w:right="438"/>
      </w:pPr>
      <w:r>
        <w:rPr/>
        <w:t>México: UNAM.</w:t>
      </w:r>
    </w:p>
    <w:p>
      <w:pPr>
        <w:pStyle w:val="BodyText"/>
        <w:spacing w:before="11"/>
        <w:ind w:left="101" w:right="438"/>
      </w:pPr>
      <w:r>
        <w:rPr/>
        <w:t>SINAIS (2013) Estadísticas en salud. Descargado de: </w:t>
      </w:r>
      <w:hyperlink r:id="rId30">
        <w:r>
          <w:rPr>
            <w:color w:val="0562C1"/>
            <w:u w:val="single" w:color="0562C1"/>
          </w:rPr>
          <w:t>http://sinais.salud.gob.mx/</w:t>
        </w:r>
      </w:hyperlink>
    </w:p>
    <w:sectPr>
      <w:pgSz w:w="9080" w:h="12480"/>
      <w:pgMar w:header="491" w:footer="1047" w:top="680" w:bottom="1240" w:left="1120" w:right="80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0"/>
    <w:family w:val="roman"/>
    <w:pitch w:val="variable"/>
  </w:font>
  <w:font w:name="Calibri">
    <w:altName w:val="Calibri"/>
    <w:charset w:val="0"/>
    <w:family w:val="swiss"/>
    <w:pitch w:val="variable"/>
  </w:font>
  <w:font w:name="Cambria">
    <w:altName w:val="Cambria"/>
    <w:charset w:val="0"/>
    <w:family w:val="roman"/>
    <w:pitch w:val="variable"/>
  </w:font>
  <w:font w:name="Georgia">
    <w:altName w:val="Georgia"/>
    <w:charset w:val="0"/>
    <w:family w:val="roman"/>
    <w:pitch w:val="variable"/>
  </w:font>
  <w:font w:name="Malgun Gothic">
    <w:altName w:val="Malgun Gothic"/>
    <w:charset w:val="0"/>
    <w:family w:val="swiss"/>
    <w:pitch w:val="variable"/>
  </w:font>
  <w:font w:name="Arial">
    <w:altName w:val="Arial"/>
    <w:charset w:val="0"/>
    <w:family w:val="swiss"/>
    <w:pitch w:val="variable"/>
  </w:font>
  <w:font w:name="Trebuchet MS">
    <w:altName w:val="Trebuchet MS"/>
    <w:charset w:val="0"/>
    <w:family w:val="swiss"/>
    <w:pitch w:val="variable"/>
  </w:font>
  <w:font w:name="Symbol">
    <w:altName w:val="Symbol"/>
    <w:charset w:val="2"/>
    <w:family w:val="roman"/>
    <w:pitch w:val="variable"/>
  </w:font>
  <w:font w:name="Calibri Light">
    <w:altName w:val="Calibri Light"/>
    <w:charset w:val="0"/>
    <w:family w:val="swiss"/>
    <w:pitch w:val="variable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rect style="position:absolute;margin-left:319.369995pt;margin-top:561.26001pt;width:88.819pt;height:34.016pt;mso-position-horizontal-relative:page;mso-position-vertical-relative:page;z-index:-19624" filled="true" fillcolor="#ffffff" stroked="false">
          <v:fill type="solid"/>
          <w10:wrap type="none"/>
        </v:rect>
      </w:pict>
    </w:r>
    <w:r>
      <w:rPr/>
      <w:pict>
        <v:shape style="position:absolute;margin-left:372.681488pt;margin-top:584.634399pt;width:20.5pt;height:12pt;mso-position-horizontal-relative:page;mso-position-vertical-relative:page;z-index:-19600" type="#_x0000_t202" filled="false" stroked="false">
          <v:textbox inset="0,0,0,0">
            <w:txbxContent>
              <w:p>
                <w:pPr>
                  <w:spacing w:line="227" w:lineRule="exact" w:before="0"/>
                  <w:ind w:left="40" w:right="0" w:firstLine="0"/>
                  <w:jc w:val="left"/>
                  <w:rPr>
                    <w:rFonts w:ascii="Malgun Gothic"/>
                    <w:sz w:val="20"/>
                  </w:rPr>
                </w:pPr>
                <w:r>
                  <w:rPr/>
                  <w:fldChar w:fldCharType="begin"/>
                </w:r>
                <w:r>
                  <w:rPr>
                    <w:rFonts w:ascii="Malgun Gothic"/>
                    <w:color w:val="231F20"/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640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type id="_x0000_t202" o:spt="202" coordsize="21600,21600" path="m,l,21600r21600,l21600,xe">
          <v:stroke joinstyle="miter"/>
          <v:path gradientshapeok="t" o:connecttype="rect"/>
        </v:shapetype>
        <v:shape style="position:absolute;margin-left:119.848pt;margin-top:27.528637pt;width:213.15pt;height:8pt;mso-position-horizontal-relative:page;mso-position-vertical-relative:page;z-index:-19648" type="#_x0000_t202" filled="false" stroked="false">
          <v:textbox inset="0,0,0,0">
            <w:txbxContent>
              <w:p>
                <w:pPr>
                  <w:spacing w:before="2"/>
                  <w:ind w:left="20" w:right="0" w:firstLine="0"/>
                  <w:jc w:val="left"/>
                  <w:rPr>
                    <w:rFonts w:ascii="Trebuchet MS" w:hAnsi="Trebuchet MS"/>
                    <w:sz w:val="12"/>
                  </w:rPr>
                </w:pPr>
                <w:r>
                  <w:rPr>
                    <w:rFonts w:ascii="Trebuchet MS" w:hAnsi="Trebuchet MS"/>
                    <w:color w:val="231F20"/>
                    <w:w w:val="105"/>
                    <w:sz w:val="12"/>
                  </w:rPr>
                  <w:t>INVESTIGACIÓN</w:t>
                </w:r>
                <w:r>
                  <w:rPr>
                    <w:rFonts w:ascii="Trebuchet MS" w:hAnsi="Trebuchet MS"/>
                    <w:color w:val="231F20"/>
                    <w:spacing w:val="-23"/>
                    <w:w w:val="105"/>
                    <w:sz w:val="12"/>
                  </w:rPr>
                  <w:t> </w:t>
                </w:r>
                <w:r>
                  <w:rPr>
                    <w:rFonts w:ascii="Trebuchet MS" w:hAnsi="Trebuchet MS"/>
                    <w:color w:val="231F20"/>
                    <w:w w:val="105"/>
                    <w:sz w:val="12"/>
                  </w:rPr>
                  <w:t>EN</w:t>
                </w:r>
                <w:r>
                  <w:rPr>
                    <w:rFonts w:ascii="Trebuchet MS" w:hAnsi="Trebuchet MS"/>
                    <w:color w:val="231F20"/>
                    <w:spacing w:val="-23"/>
                    <w:w w:val="105"/>
                    <w:sz w:val="12"/>
                  </w:rPr>
                  <w:t> </w:t>
                </w:r>
                <w:r>
                  <w:rPr>
                    <w:rFonts w:ascii="Trebuchet MS" w:hAnsi="Trebuchet MS"/>
                    <w:color w:val="231F20"/>
                    <w:w w:val="105"/>
                    <w:sz w:val="12"/>
                  </w:rPr>
                  <w:t>PSICOLOGÍA</w:t>
                </w:r>
                <w:r>
                  <w:rPr>
                    <w:rFonts w:ascii="Trebuchet MS" w:hAnsi="Trebuchet MS"/>
                    <w:color w:val="231F20"/>
                    <w:spacing w:val="-23"/>
                    <w:w w:val="105"/>
                    <w:sz w:val="12"/>
                  </w:rPr>
                  <w:t> </w:t>
                </w:r>
                <w:r>
                  <w:rPr>
                    <w:rFonts w:ascii="Trebuchet MS" w:hAnsi="Trebuchet MS"/>
                    <w:color w:val="231F20"/>
                    <w:w w:val="105"/>
                    <w:sz w:val="12"/>
                  </w:rPr>
                  <w:t>BÁSICA</w:t>
                </w:r>
                <w:r>
                  <w:rPr>
                    <w:rFonts w:ascii="Trebuchet MS" w:hAnsi="Trebuchet MS"/>
                    <w:color w:val="231F20"/>
                    <w:spacing w:val="-23"/>
                    <w:w w:val="105"/>
                    <w:sz w:val="12"/>
                  </w:rPr>
                  <w:t> </w:t>
                </w:r>
                <w:r>
                  <w:rPr>
                    <w:rFonts w:ascii="Trebuchet MS" w:hAnsi="Trebuchet MS"/>
                    <w:color w:val="231F20"/>
                    <w:w w:val="105"/>
                    <w:sz w:val="12"/>
                  </w:rPr>
                  <w:t>Y</w:t>
                </w:r>
                <w:r>
                  <w:rPr>
                    <w:rFonts w:ascii="Trebuchet MS" w:hAnsi="Trebuchet MS"/>
                    <w:color w:val="231F20"/>
                    <w:spacing w:val="-23"/>
                    <w:w w:val="105"/>
                    <w:sz w:val="12"/>
                  </w:rPr>
                  <w:t> </w:t>
                </w:r>
                <w:r>
                  <w:rPr>
                    <w:rFonts w:ascii="Trebuchet MS" w:hAnsi="Trebuchet MS"/>
                    <w:color w:val="231F20"/>
                    <w:w w:val="105"/>
                    <w:sz w:val="12"/>
                  </w:rPr>
                  <w:t>APLICADA:</w:t>
                </w:r>
                <w:r>
                  <w:rPr>
                    <w:rFonts w:ascii="Trebuchet MS" w:hAnsi="Trebuchet MS"/>
                    <w:color w:val="231F20"/>
                    <w:spacing w:val="-23"/>
                    <w:w w:val="105"/>
                    <w:sz w:val="12"/>
                  </w:rPr>
                  <w:t> </w:t>
                </w:r>
                <w:r>
                  <w:rPr>
                    <w:rFonts w:ascii="Trebuchet MS" w:hAnsi="Trebuchet MS"/>
                    <w:color w:val="231F20"/>
                    <w:spacing w:val="-3"/>
                    <w:w w:val="105"/>
                    <w:sz w:val="12"/>
                  </w:rPr>
                  <w:t>AVANCES</w:t>
                </w:r>
                <w:r>
                  <w:rPr>
                    <w:rFonts w:ascii="Trebuchet MS" w:hAnsi="Trebuchet MS"/>
                    <w:color w:val="231F20"/>
                    <w:spacing w:val="-23"/>
                    <w:w w:val="105"/>
                    <w:sz w:val="12"/>
                  </w:rPr>
                  <w:t> </w:t>
                </w:r>
                <w:r>
                  <w:rPr>
                    <w:rFonts w:ascii="Trebuchet MS" w:hAnsi="Trebuchet MS"/>
                    <w:color w:val="231F20"/>
                    <w:w w:val="105"/>
                    <w:sz w:val="12"/>
                  </w:rPr>
                  <w:t>Y</w:t>
                </w:r>
                <w:r>
                  <w:rPr>
                    <w:rFonts w:ascii="Trebuchet MS" w:hAnsi="Trebuchet MS"/>
                    <w:color w:val="231F20"/>
                    <w:spacing w:val="-23"/>
                    <w:w w:val="105"/>
                    <w:sz w:val="12"/>
                  </w:rPr>
                  <w:t> </w:t>
                </w:r>
                <w:r>
                  <w:rPr>
                    <w:rFonts w:ascii="Trebuchet MS" w:hAnsi="Trebuchet MS"/>
                    <w:color w:val="231F20"/>
                    <w:w w:val="105"/>
                    <w:sz w:val="12"/>
                  </w:rPr>
                  <w:t>PERSPECTIVAS</w:t>
                </w:r>
              </w:p>
            </w:txbxContent>
          </v:textbox>
          <w10:wrap type="none"/>
        </v:shape>
      </w:pic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1">
    <w:multiLevelType w:val="hybridMultilevel"/>
    <w:lvl w:ilvl="0">
      <w:start w:val="1"/>
      <w:numFmt w:val="bullet"/>
      <w:lvlText w:val=""/>
      <w:lvlJc w:val="left"/>
      <w:pPr>
        <w:ind w:left="641" w:hanging="270"/>
      </w:pPr>
      <w:rPr>
        <w:rFonts w:hint="default" w:ascii="Symbol" w:hAnsi="Symbol" w:eastAsia="Symbol" w:cs="Symbol"/>
        <w:w w:val="100"/>
        <w:sz w:val="18"/>
        <w:szCs w:val="18"/>
      </w:rPr>
    </w:lvl>
    <w:lvl w:ilvl="1">
      <w:start w:val="1"/>
      <w:numFmt w:val="bullet"/>
      <w:lvlText w:val="•"/>
      <w:lvlJc w:val="left"/>
      <w:pPr>
        <w:ind w:left="1291" w:hanging="27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1942" w:hanging="27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593" w:hanging="27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244" w:hanging="27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3895" w:hanging="27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4546" w:hanging="27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5197" w:hanging="27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5848" w:hanging="270"/>
      </w:pPr>
      <w:rPr>
        <w:rFonts w:hint="default"/>
      </w:rPr>
    </w:lvl>
  </w:abstractNum>
  <w:abstractNum w:abstractNumId="0">
    <w:multiLevelType w:val="hybridMultilevel"/>
    <w:lvl w:ilvl="0">
      <w:start w:val="1"/>
      <w:numFmt w:val="decimal"/>
      <w:lvlText w:val="%1."/>
      <w:lvlJc w:val="left"/>
      <w:pPr>
        <w:ind w:left="641" w:hanging="270"/>
        <w:jc w:val="left"/>
      </w:pPr>
      <w:rPr>
        <w:rFonts w:hint="default" w:ascii="Georgia" w:hAnsi="Georgia" w:eastAsia="Georgia" w:cs="Georgia"/>
        <w:spacing w:val="-1"/>
        <w:w w:val="100"/>
        <w:sz w:val="18"/>
        <w:szCs w:val="18"/>
      </w:rPr>
    </w:lvl>
    <w:lvl w:ilvl="1">
      <w:start w:val="1"/>
      <w:numFmt w:val="bullet"/>
      <w:lvlText w:val="•"/>
      <w:lvlJc w:val="left"/>
      <w:pPr>
        <w:ind w:left="1291" w:hanging="27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1942" w:hanging="27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593" w:hanging="27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244" w:hanging="27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3895" w:hanging="27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4546" w:hanging="27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5197" w:hanging="27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5848" w:hanging="270"/>
      </w:pPr>
      <w:rPr>
        <w:rFonts w:hint="default"/>
      </w:rPr>
    </w:lvl>
  </w:abstractNum>
  <w:num w:numId="2">
    <w:abstractNumId w:val="1"/>
  </w: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Georgia" w:hAnsi="Georgia" w:eastAsia="Georgia" w:cs="Georgia"/>
    </w:rPr>
  </w:style>
  <w:style w:styleId="BodyText" w:type="paragraph">
    <w:name w:val="Body Text"/>
    <w:basedOn w:val="Normal"/>
    <w:uiPriority w:val="1"/>
    <w:qFormat/>
    <w:pPr/>
    <w:rPr>
      <w:rFonts w:ascii="Georgia" w:hAnsi="Georgia" w:eastAsia="Georgia" w:cs="Georgia"/>
      <w:sz w:val="18"/>
      <w:szCs w:val="18"/>
    </w:rPr>
  </w:style>
  <w:style w:styleId="Heading1" w:type="paragraph">
    <w:name w:val="Heading 1"/>
    <w:basedOn w:val="Normal"/>
    <w:uiPriority w:val="1"/>
    <w:qFormat/>
    <w:pPr>
      <w:ind w:left="1432" w:right="1444"/>
      <w:jc w:val="center"/>
      <w:outlineLvl w:val="1"/>
    </w:pPr>
    <w:rPr>
      <w:rFonts w:ascii="Times New Roman" w:hAnsi="Times New Roman" w:eastAsia="Times New Roman" w:cs="Times New Roman"/>
      <w:sz w:val="20"/>
      <w:szCs w:val="20"/>
    </w:rPr>
  </w:style>
  <w:style w:styleId="Heading2" w:type="paragraph">
    <w:name w:val="Heading 2"/>
    <w:basedOn w:val="Normal"/>
    <w:uiPriority w:val="1"/>
    <w:qFormat/>
    <w:pPr>
      <w:spacing w:before="1"/>
      <w:ind w:left="101" w:right="438"/>
      <w:outlineLvl w:val="2"/>
    </w:pPr>
    <w:rPr>
      <w:rFonts w:ascii="Georgia" w:hAnsi="Georgia" w:eastAsia="Georgia" w:cs="Georgia"/>
      <w:b/>
      <w:bCs/>
      <w:sz w:val="18"/>
      <w:szCs w:val="18"/>
    </w:rPr>
  </w:style>
  <w:style w:styleId="ListParagraph" w:type="paragraph">
    <w:name w:val="List Paragraph"/>
    <w:basedOn w:val="Normal"/>
    <w:uiPriority w:val="1"/>
    <w:qFormat/>
    <w:pPr>
      <w:ind w:left="641" w:hanging="270"/>
    </w:pPr>
    <w:rPr>
      <w:rFonts w:ascii="Georgia" w:hAnsi="Georgia" w:eastAsia="Georgia" w:cs="Georgia"/>
    </w:rPr>
  </w:style>
  <w:style w:styleId="TableParagraph" w:type="paragraph">
    <w:name w:val="Table Paragraph"/>
    <w:basedOn w:val="Normal"/>
    <w:uiPriority w:val="1"/>
    <w:qFormat/>
    <w:pPr>
      <w:spacing w:before="17"/>
      <w:jc w:val="center"/>
    </w:pPr>
    <w:rPr>
      <w:rFonts w:ascii="Georgia" w:hAnsi="Georgia" w:eastAsia="Georgia" w:cs="Georgia"/>
    </w:rPr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image" Target="media/image1.png"/><Relationship Id="rId6" Type="http://schemas.openxmlformats.org/officeDocument/2006/relationships/image" Target="media/image2.png"/><Relationship Id="rId7" Type="http://schemas.openxmlformats.org/officeDocument/2006/relationships/image" Target="media/image3.png"/><Relationship Id="rId8" Type="http://schemas.openxmlformats.org/officeDocument/2006/relationships/image" Target="media/image4.png"/><Relationship Id="rId9" Type="http://schemas.openxmlformats.org/officeDocument/2006/relationships/image" Target="media/image5.png"/><Relationship Id="rId10" Type="http://schemas.openxmlformats.org/officeDocument/2006/relationships/image" Target="media/image6.png"/><Relationship Id="rId11" Type="http://schemas.openxmlformats.org/officeDocument/2006/relationships/image" Target="media/image7.png"/><Relationship Id="rId12" Type="http://schemas.openxmlformats.org/officeDocument/2006/relationships/image" Target="media/image8.png"/><Relationship Id="rId13" Type="http://schemas.openxmlformats.org/officeDocument/2006/relationships/image" Target="media/image9.png"/><Relationship Id="rId14" Type="http://schemas.openxmlformats.org/officeDocument/2006/relationships/image" Target="media/image10.png"/><Relationship Id="rId15" Type="http://schemas.openxmlformats.org/officeDocument/2006/relationships/image" Target="media/image11.png"/><Relationship Id="rId16" Type="http://schemas.openxmlformats.org/officeDocument/2006/relationships/image" Target="media/image12.png"/><Relationship Id="rId17" Type="http://schemas.openxmlformats.org/officeDocument/2006/relationships/image" Target="media/image13.png"/><Relationship Id="rId18" Type="http://schemas.openxmlformats.org/officeDocument/2006/relationships/image" Target="media/image14.png"/><Relationship Id="rId19" Type="http://schemas.openxmlformats.org/officeDocument/2006/relationships/hyperlink" Target="mailto:tony.padilla@academicos.udg.mx" TargetMode="External"/><Relationship Id="rId20" Type="http://schemas.openxmlformats.org/officeDocument/2006/relationships/hyperlink" Target="http://www.ceic.cucba.udg.mx/" TargetMode="External"/><Relationship Id="rId21" Type="http://schemas.openxmlformats.org/officeDocument/2006/relationships/header" Target="header1.xml"/><Relationship Id="rId22" Type="http://schemas.openxmlformats.org/officeDocument/2006/relationships/footer" Target="footer1.xml"/><Relationship Id="rId23" Type="http://schemas.openxmlformats.org/officeDocument/2006/relationships/image" Target="media/image15.png"/><Relationship Id="rId24" Type="http://schemas.openxmlformats.org/officeDocument/2006/relationships/image" Target="media/image16.png"/><Relationship Id="rId25" Type="http://schemas.openxmlformats.org/officeDocument/2006/relationships/image" Target="media/image17.png"/><Relationship Id="rId26" Type="http://schemas.openxmlformats.org/officeDocument/2006/relationships/image" Target="media/image18.png"/><Relationship Id="rId27" Type="http://schemas.openxmlformats.org/officeDocument/2006/relationships/image" Target="media/image19.png"/><Relationship Id="rId28" Type="http://schemas.openxmlformats.org/officeDocument/2006/relationships/image" Target="media/image20.png"/><Relationship Id="rId29" Type="http://schemas.openxmlformats.org/officeDocument/2006/relationships/image" Target="media/image21.png"/><Relationship Id="rId30" Type="http://schemas.openxmlformats.org/officeDocument/2006/relationships/hyperlink" Target="http://sinais.salud.gob.mx/" TargetMode="External"/><Relationship Id="rId31" Type="http://schemas.openxmlformats.org/officeDocument/2006/relationships/numbering" Target="numbering.xml"/></Relationships>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2017-05-29T18:49:43Z</dcterms:created>
  <dcterms:modified xsi:type="dcterms:W3CDTF">2017-05-29T18:49:43Z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2016-07-18T00:00:00Z</vt:filetime>
  </property>
  <property fmtid="{D5CDD505-2E9C-101B-9397-08002B2CF9AE}" pid="3" name="Creator">
    <vt:lpwstr>Adobe InDesign CC 2014 (Windows)</vt:lpwstr>
  </property>
  <property fmtid="{D5CDD505-2E9C-101B-9397-08002B2CF9AE}" pid="4" name="LastSaved">
    <vt:filetime>2017-05-29T00:00:00Z</vt:filetime>
  </property>
</Properties>
</file>