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2601" w:val="left" w:leader="none"/>
        </w:tabs>
        <w:spacing w:line="240" w:lineRule="auto"/>
        <w:ind w:left="110" w:right="0" w:firstLine="0"/>
        <w:rPr>
          <w:rFonts w:ascii="Times New Roman"/>
          <w:sz w:val="20"/>
        </w:rPr>
      </w:pPr>
      <w:r>
        <w:rPr>
          <w:rFonts w:ascii="Times New Roman"/>
          <w:sz w:val="20"/>
        </w:rPr>
        <w:drawing>
          <wp:inline distT="0" distB="0" distL="0" distR="0">
            <wp:extent cx="1398167" cy="130016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98167" cy="1300162"/>
                    </a:xfrm>
                    <a:prstGeom prst="rect">
                      <a:avLst/>
                    </a:prstGeom>
                  </pic:spPr>
                </pic:pic>
              </a:graphicData>
            </a:graphic>
          </wp:inline>
        </w:drawing>
      </w:r>
      <w:r>
        <w:rPr>
          <w:rFonts w:ascii="Times New Roman"/>
          <w:sz w:val="20"/>
        </w:rPr>
      </w:r>
      <w:r>
        <w:rPr>
          <w:rFonts w:ascii="Times New Roman"/>
          <w:sz w:val="20"/>
        </w:rPr>
        <w:tab/>
      </w:r>
      <w:r>
        <w:rPr>
          <w:rFonts w:ascii="Times New Roman"/>
          <w:position w:val="80"/>
          <w:sz w:val="20"/>
        </w:rPr>
        <w:pict>
          <v:shapetype id="_x0000_t202" o:spt="202" coordsize="21600,21600" path="m,l,21600r21600,l21600,xe">
            <v:stroke joinstyle="miter"/>
            <v:path gradientshapeok="t" o:connecttype="rect"/>
          </v:shapetype>
          <v:shape style="width:310pt;height:25.8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00"/>
                  </w:tblGrid>
                  <w:tr>
                    <w:trPr>
                      <w:trHeight w:val="258" w:hRule="exact"/>
                    </w:trPr>
                    <w:tc>
                      <w:tcPr>
                        <w:tcW w:w="6200" w:type="dxa"/>
                      </w:tcPr>
                      <w:p>
                        <w:pPr>
                          <w:pStyle w:val="TableParagraph"/>
                          <w:tabs>
                            <w:tab w:pos="1645" w:val="left" w:leader="none"/>
                            <w:tab w:pos="3026" w:val="left" w:leader="none"/>
                            <w:tab w:pos="3573" w:val="left" w:leader="none"/>
                            <w:tab w:pos="4573" w:val="left" w:leader="none"/>
                            <w:tab w:pos="5052" w:val="left" w:leader="none"/>
                          </w:tabs>
                          <w:spacing w:line="245" w:lineRule="exact" w:before="0"/>
                          <w:ind w:right="65"/>
                          <w:jc w:val="center"/>
                          <w:rPr>
                            <w:rFonts w:ascii="Arial" w:hAnsi="Arial"/>
                            <w:b/>
                            <w:sz w:val="24"/>
                          </w:rPr>
                        </w:pPr>
                        <w:r>
                          <w:rPr>
                            <w:rFonts w:ascii="Arial" w:hAnsi="Arial"/>
                            <w:b/>
                            <w:sz w:val="24"/>
                            <w:u w:val="thick"/>
                          </w:rPr>
                          <w:t> Universidad</w:t>
                          <w:tab/>
                          <w:t>Autónoma</w:t>
                          <w:tab/>
                          <w:t>del</w:t>
                          <w:tab/>
                          <w:t>Estado</w:t>
                          <w:tab/>
                          <w:t>de</w:t>
                          <w:tab/>
                          <w:t>México</w:t>
                        </w:r>
                      </w:p>
                    </w:tc>
                  </w:tr>
                  <w:tr>
                    <w:trPr>
                      <w:trHeight w:val="258" w:hRule="exact"/>
                    </w:trPr>
                    <w:tc>
                      <w:tcPr>
                        <w:tcW w:w="6200" w:type="dxa"/>
                      </w:tcPr>
                      <w:p>
                        <w:pPr>
                          <w:pStyle w:val="TableParagraph"/>
                          <w:spacing w:line="263" w:lineRule="exact" w:before="0"/>
                          <w:ind w:right="66"/>
                          <w:jc w:val="center"/>
                          <w:rPr>
                            <w:rFonts w:ascii="Arial"/>
                            <w:b/>
                            <w:sz w:val="24"/>
                          </w:rPr>
                        </w:pPr>
                        <w:r>
                          <w:rPr>
                            <w:rFonts w:ascii="Arial"/>
                            <w:b/>
                            <w:sz w:val="24"/>
                          </w:rPr>
                          <w:t>Centro Universitario UAEM Texcoco</w:t>
                        </w:r>
                      </w:p>
                    </w:tc>
                  </w:tr>
                </w:tbl>
                <w:p>
                  <w:pPr>
                    <w:pStyle w:val="BodyText"/>
                  </w:pPr>
                </w:p>
              </w:txbxContent>
            </v:textbox>
          </v:shape>
        </w:pict>
      </w:r>
      <w:r>
        <w:rPr>
          <w:rFonts w:ascii="Times New Roman"/>
          <w:position w:val="80"/>
          <w:sz w:val="20"/>
        </w:rPr>
      </w:r>
    </w:p>
    <w:p>
      <w:pPr>
        <w:pStyle w:val="BodyText"/>
        <w:rPr>
          <w:rFonts w:ascii="Times New Roman"/>
          <w:sz w:val="20"/>
        </w:rPr>
      </w:pPr>
    </w:p>
    <w:p>
      <w:pPr>
        <w:pStyle w:val="BodyText"/>
        <w:rPr>
          <w:rFonts w:ascii="Times New Roman"/>
          <w:sz w:val="20"/>
        </w:rPr>
      </w:pPr>
    </w:p>
    <w:p>
      <w:pPr>
        <w:pStyle w:val="Heading1"/>
        <w:spacing w:line="276" w:lineRule="auto" w:before="192"/>
        <w:ind w:left="527" w:right="410"/>
      </w:pPr>
      <w:r>
        <w:rPr/>
        <w:t>Impactos culturales del turismo de nostalgia: Una perspectiva desde la comunidad El Tephé, Hidalgo, México</w:t>
      </w:r>
    </w:p>
    <w:p>
      <w:pPr>
        <w:pStyle w:val="BodyText"/>
        <w:rPr>
          <w:b/>
          <w:sz w:val="28"/>
        </w:rPr>
      </w:pPr>
    </w:p>
    <w:p>
      <w:pPr>
        <w:pStyle w:val="BodyText"/>
        <w:rPr>
          <w:b/>
          <w:sz w:val="28"/>
        </w:rPr>
      </w:pPr>
    </w:p>
    <w:p>
      <w:pPr>
        <w:pStyle w:val="BodyText"/>
        <w:rPr>
          <w:b/>
          <w:sz w:val="28"/>
        </w:rPr>
      </w:pPr>
    </w:p>
    <w:p>
      <w:pPr>
        <w:pStyle w:val="BodyText"/>
        <w:spacing w:before="8"/>
        <w:rPr>
          <w:b/>
          <w:sz w:val="23"/>
        </w:rPr>
      </w:pPr>
    </w:p>
    <w:p>
      <w:pPr>
        <w:pStyle w:val="Heading3"/>
        <w:ind w:right="404"/>
      </w:pPr>
      <w:r>
        <w:rPr/>
        <w:t>T E S I S</w:t>
      </w:r>
    </w:p>
    <w:p>
      <w:pPr>
        <w:pStyle w:val="BodyText"/>
        <w:spacing w:before="10"/>
        <w:rPr>
          <w:b/>
          <w:sz w:val="20"/>
        </w:rPr>
      </w:pPr>
    </w:p>
    <w:p>
      <w:pPr>
        <w:pStyle w:val="BodyText"/>
        <w:ind w:left="527" w:right="408"/>
        <w:jc w:val="center"/>
      </w:pPr>
      <w:r>
        <w:rPr/>
        <w:t>Que para obtener el título de Licenciado en Turismo</w:t>
      </w:r>
    </w:p>
    <w:p>
      <w:pPr>
        <w:pStyle w:val="BodyText"/>
      </w:pPr>
    </w:p>
    <w:p>
      <w:pPr>
        <w:pStyle w:val="BodyText"/>
      </w:pPr>
    </w:p>
    <w:p>
      <w:pPr>
        <w:pStyle w:val="Heading3"/>
        <w:spacing w:before="206"/>
        <w:ind w:right="403"/>
      </w:pPr>
      <w:r>
        <w:rPr/>
        <w:t>P R E S E N T A</w:t>
      </w:r>
    </w:p>
    <w:p>
      <w:pPr>
        <w:pStyle w:val="BodyText"/>
        <w:rPr>
          <w:b/>
          <w:sz w:val="21"/>
        </w:rPr>
      </w:pPr>
    </w:p>
    <w:p>
      <w:pPr>
        <w:pStyle w:val="BodyText"/>
        <w:spacing w:before="1"/>
        <w:ind w:left="3180" w:right="2492"/>
      </w:pPr>
      <w:r>
        <w:rPr/>
        <w:t>Thalía Hernández Mendoza</w:t>
      </w:r>
    </w:p>
    <w:p>
      <w:pPr>
        <w:pStyle w:val="BodyText"/>
      </w:pPr>
    </w:p>
    <w:p>
      <w:pPr>
        <w:pStyle w:val="BodyText"/>
      </w:pPr>
    </w:p>
    <w:p>
      <w:pPr>
        <w:pStyle w:val="Heading3"/>
        <w:spacing w:before="207"/>
        <w:ind w:right="406"/>
      </w:pPr>
      <w:r>
        <w:rPr/>
        <w:t>D I R E C T O R  D E  T E S I S</w:t>
      </w:r>
    </w:p>
    <w:p>
      <w:pPr>
        <w:pStyle w:val="BodyText"/>
        <w:rPr>
          <w:b/>
          <w:sz w:val="21"/>
        </w:rPr>
      </w:pPr>
    </w:p>
    <w:p>
      <w:pPr>
        <w:pStyle w:val="BodyText"/>
        <w:spacing w:before="1"/>
        <w:ind w:left="527" w:right="409"/>
        <w:jc w:val="center"/>
      </w:pPr>
      <w:r>
        <w:rPr/>
        <w:t>Dr. en T. Juan Carlos Monterrubio Cordero</w:t>
      </w:r>
    </w:p>
    <w:p>
      <w:pPr>
        <w:pStyle w:val="BodyText"/>
      </w:pPr>
    </w:p>
    <w:p>
      <w:pPr>
        <w:pStyle w:val="BodyText"/>
      </w:pPr>
    </w:p>
    <w:p>
      <w:pPr>
        <w:pStyle w:val="Heading3"/>
        <w:spacing w:before="206"/>
        <w:ind w:right="403"/>
      </w:pPr>
      <w:r>
        <w:rPr/>
        <w:t>R E V I S O R E S</w:t>
      </w:r>
    </w:p>
    <w:p>
      <w:pPr>
        <w:pStyle w:val="BodyText"/>
        <w:rPr>
          <w:b/>
        </w:rPr>
      </w:pPr>
    </w:p>
    <w:p>
      <w:pPr>
        <w:pStyle w:val="BodyText"/>
        <w:rPr>
          <w:b/>
        </w:rPr>
      </w:pPr>
    </w:p>
    <w:p>
      <w:pPr>
        <w:pStyle w:val="BodyText"/>
        <w:spacing w:line="451" w:lineRule="auto" w:before="206"/>
        <w:ind w:left="2632" w:right="2492" w:firstLine="154"/>
      </w:pPr>
      <w:r>
        <w:rPr/>
        <w:t>M.P.E Alma Patricia Aguilar Cedillo Dra. en C. Gregoria Rodríguez Muñoz</w:t>
      </w:r>
    </w:p>
    <w:p>
      <w:pPr>
        <w:pStyle w:val="BodyText"/>
      </w:pPr>
    </w:p>
    <w:p>
      <w:pPr>
        <w:pStyle w:val="BodyText"/>
      </w:pPr>
    </w:p>
    <w:p>
      <w:pPr>
        <w:pStyle w:val="BodyText"/>
      </w:pPr>
    </w:p>
    <w:p>
      <w:pPr>
        <w:pStyle w:val="BodyText"/>
      </w:pPr>
    </w:p>
    <w:p>
      <w:pPr>
        <w:pStyle w:val="BodyText"/>
      </w:pPr>
    </w:p>
    <w:p>
      <w:pPr>
        <w:pStyle w:val="BodyText"/>
        <w:spacing w:before="177"/>
        <w:ind w:left="3079"/>
      </w:pPr>
      <w:r>
        <w:rPr/>
        <w:t>TEXCOCO, ESTADO DE MÉXICO, SEPTIEMBRE 2013</w:t>
      </w:r>
    </w:p>
    <w:p>
      <w:pPr>
        <w:spacing w:after="0"/>
        <w:sectPr>
          <w:type w:val="continuous"/>
          <w:pgSz w:w="12240" w:h="15840"/>
          <w:pgMar w:top="1060" w:bottom="280" w:left="1460" w:right="1580"/>
        </w:sectPr>
      </w:pPr>
    </w:p>
    <w:p>
      <w:pPr>
        <w:pStyle w:val="Heading1"/>
        <w:ind w:right="16"/>
      </w:pPr>
      <w:r>
        <w:rPr/>
        <w:t>CONTENIDO</w:t>
      </w:r>
    </w:p>
    <w:p>
      <w:pPr>
        <w:spacing w:after="0"/>
        <w:sectPr>
          <w:footerReference w:type="default" r:id="rId6"/>
          <w:pgSz w:w="12240" w:h="15840"/>
          <w:pgMar w:footer="1003" w:header="0" w:top="1360" w:bottom="1688" w:left="1600" w:right="1580"/>
          <w:pgNumType w:start="7"/>
        </w:sectPr>
      </w:pPr>
    </w:p>
    <w:sdt>
      <w:sdtPr>
        <w:docPartObj>
          <w:docPartGallery w:val="Table of Contents"/>
          <w:docPartUnique/>
        </w:docPartObj>
      </w:sdtPr>
      <w:sdtEndPr/>
      <w:sdtContent>
        <w:p>
          <w:pPr>
            <w:pStyle w:val="TOC1"/>
            <w:tabs>
              <w:tab w:pos="8815" w:val="left" w:leader="dot"/>
            </w:tabs>
            <w:spacing w:before="758"/>
          </w:pPr>
          <w:hyperlink w:history="true" w:anchor="_TOC_250013">
            <w:r>
              <w:rPr/>
              <w:t>ÍNDICE</w:t>
            </w:r>
            <w:r>
              <w:rPr>
                <w:spacing w:val="-3"/>
              </w:rPr>
              <w:t> </w:t>
            </w:r>
            <w:r>
              <w:rPr/>
              <w:t>DE</w:t>
            </w:r>
            <w:r>
              <w:rPr>
                <w:spacing w:val="-3"/>
              </w:rPr>
              <w:t> </w:t>
            </w:r>
            <w:r>
              <w:rPr/>
              <w:t>FOTOGRAFÍAS</w:t>
              <w:tab/>
              <w:t>9</w:t>
            </w:r>
          </w:hyperlink>
        </w:p>
        <w:p>
          <w:pPr>
            <w:pStyle w:val="TOC1"/>
            <w:tabs>
              <w:tab w:pos="8685" w:val="left" w:leader="dot"/>
            </w:tabs>
            <w:spacing w:before="133"/>
          </w:pPr>
          <w:hyperlink w:history="true" w:anchor="_bookmark0">
            <w:r>
              <w:rPr/>
              <w:t>ÍNDICE</w:t>
            </w:r>
            <w:r>
              <w:rPr>
                <w:spacing w:val="-3"/>
              </w:rPr>
              <w:t> </w:t>
            </w:r>
            <w:r>
              <w:rPr/>
              <w:t>DE</w:t>
            </w:r>
            <w:r>
              <w:rPr>
                <w:spacing w:val="-5"/>
              </w:rPr>
              <w:t> </w:t>
            </w:r>
            <w:r>
              <w:rPr/>
              <w:t>IMÁGENES</w:t>
              <w:tab/>
              <w:t>10</w:t>
            </w:r>
          </w:hyperlink>
        </w:p>
        <w:p>
          <w:pPr>
            <w:pStyle w:val="TOC1"/>
            <w:tabs>
              <w:tab w:pos="8685" w:val="left" w:leader="dot"/>
            </w:tabs>
          </w:pPr>
          <w:hyperlink w:history="true" w:anchor="_bookmark1">
            <w:r>
              <w:rPr/>
              <w:t>ÍNDICE</w:t>
            </w:r>
            <w:r>
              <w:rPr>
                <w:spacing w:val="-2"/>
              </w:rPr>
              <w:t> </w:t>
            </w:r>
            <w:r>
              <w:rPr/>
              <w:t>DE</w:t>
            </w:r>
            <w:r>
              <w:rPr>
                <w:spacing w:val="-3"/>
              </w:rPr>
              <w:t> </w:t>
            </w:r>
            <w:r>
              <w:rPr/>
              <w:t>TABLAS</w:t>
              <w:tab/>
              <w:t>11</w:t>
            </w:r>
          </w:hyperlink>
        </w:p>
        <w:p>
          <w:pPr>
            <w:pStyle w:val="TOC1"/>
            <w:tabs>
              <w:tab w:pos="8685" w:val="left" w:leader="dot"/>
            </w:tabs>
          </w:pPr>
          <w:hyperlink w:history="true" w:anchor="_bookmark2">
            <w:r>
              <w:rPr/>
              <w:t>INTRODUCCIÓN</w:t>
              <w:tab/>
              <w:t>12</w:t>
            </w:r>
          </w:hyperlink>
        </w:p>
        <w:p>
          <w:pPr>
            <w:pStyle w:val="TOC1"/>
            <w:tabs>
              <w:tab w:pos="8685" w:val="left" w:leader="dot"/>
            </w:tabs>
            <w:spacing w:before="628"/>
          </w:pPr>
          <w:hyperlink w:history="true" w:anchor="_bookmark3">
            <w:r>
              <w:rPr/>
              <w:t>CAPÍTULO 1 IMPACTOS SOCIOCULTURALES</w:t>
            </w:r>
            <w:r>
              <w:rPr>
                <w:spacing w:val="-14"/>
              </w:rPr>
              <w:t> </w:t>
            </w:r>
            <w:r>
              <w:rPr/>
              <w:t>DEL</w:t>
            </w:r>
            <w:r>
              <w:rPr>
                <w:spacing w:val="-4"/>
              </w:rPr>
              <w:t> </w:t>
            </w:r>
            <w:r>
              <w:rPr/>
              <w:t>TURISMO</w:t>
              <w:tab/>
              <w:t>14</w:t>
            </w:r>
          </w:hyperlink>
        </w:p>
        <w:p>
          <w:pPr>
            <w:pStyle w:val="TOC2"/>
            <w:numPr>
              <w:ilvl w:val="1"/>
              <w:numId w:val="1"/>
            </w:numPr>
            <w:tabs>
              <w:tab w:pos="1421" w:val="left" w:leader="none"/>
              <w:tab w:pos="1422" w:val="left" w:leader="none"/>
              <w:tab w:pos="8685" w:val="left" w:leader="dot"/>
            </w:tabs>
            <w:spacing w:line="240" w:lineRule="auto" w:before="139" w:after="0"/>
            <w:ind w:left="1422" w:right="0" w:hanging="641"/>
            <w:jc w:val="left"/>
          </w:pPr>
          <w:hyperlink w:history="true" w:anchor="_bookmark4">
            <w:r>
              <w:rPr/>
              <w:t>El turismo como agente</w:t>
            </w:r>
            <w:r>
              <w:rPr>
                <w:spacing w:val="-7"/>
              </w:rPr>
              <w:t> </w:t>
            </w:r>
            <w:r>
              <w:rPr/>
              <w:t>de</w:t>
            </w:r>
            <w:r>
              <w:rPr>
                <w:spacing w:val="-1"/>
              </w:rPr>
              <w:t> </w:t>
            </w:r>
            <w:r>
              <w:rPr/>
              <w:t>cambio</w:t>
              <w:tab/>
              <w:t>14</w:t>
            </w:r>
          </w:hyperlink>
        </w:p>
        <w:p>
          <w:pPr>
            <w:pStyle w:val="TOC2"/>
            <w:numPr>
              <w:ilvl w:val="1"/>
              <w:numId w:val="1"/>
            </w:numPr>
            <w:tabs>
              <w:tab w:pos="1421" w:val="left" w:leader="none"/>
              <w:tab w:pos="1422" w:val="left" w:leader="none"/>
              <w:tab w:pos="8685" w:val="left" w:leader="dot"/>
            </w:tabs>
            <w:spacing w:line="240" w:lineRule="auto" w:before="227" w:after="0"/>
            <w:ind w:left="1422" w:right="0" w:hanging="641"/>
            <w:jc w:val="left"/>
          </w:pPr>
          <w:hyperlink w:history="true" w:anchor="_bookmark5">
            <w:r>
              <w:rPr/>
              <w:t>¿Qué es un impacto</w:t>
            </w:r>
            <w:r>
              <w:rPr>
                <w:spacing w:val="-2"/>
              </w:rPr>
              <w:t> </w:t>
            </w:r>
            <w:r>
              <w:rPr/>
              <w:t>del</w:t>
            </w:r>
            <w:r>
              <w:rPr>
                <w:spacing w:val="-3"/>
              </w:rPr>
              <w:t> </w:t>
            </w:r>
            <w:r>
              <w:rPr/>
              <w:t>turismo?</w:t>
              <w:tab/>
              <w:t>14</w:t>
            </w:r>
          </w:hyperlink>
        </w:p>
        <w:p>
          <w:pPr>
            <w:pStyle w:val="TOC2"/>
            <w:numPr>
              <w:ilvl w:val="1"/>
              <w:numId w:val="1"/>
            </w:numPr>
            <w:tabs>
              <w:tab w:pos="1421" w:val="left" w:leader="none"/>
              <w:tab w:pos="1422" w:val="left" w:leader="none"/>
              <w:tab w:pos="8685" w:val="left" w:leader="dot"/>
            </w:tabs>
            <w:spacing w:line="240" w:lineRule="auto" w:before="227" w:after="0"/>
            <w:ind w:left="1422" w:right="0" w:hanging="641"/>
            <w:jc w:val="left"/>
          </w:pPr>
          <w:hyperlink w:history="true" w:anchor="_bookmark6">
            <w:r>
              <w:rPr/>
              <w:t>Impactos</w:t>
            </w:r>
            <w:r>
              <w:rPr>
                <w:spacing w:val="-3"/>
              </w:rPr>
              <w:t> </w:t>
            </w:r>
            <w:r>
              <w:rPr/>
              <w:t>ambientales</w:t>
              <w:tab/>
              <w:t>15</w:t>
            </w:r>
          </w:hyperlink>
        </w:p>
        <w:p>
          <w:pPr>
            <w:pStyle w:val="TOC2"/>
            <w:numPr>
              <w:ilvl w:val="1"/>
              <w:numId w:val="1"/>
            </w:numPr>
            <w:tabs>
              <w:tab w:pos="1421" w:val="left" w:leader="none"/>
              <w:tab w:pos="1422" w:val="left" w:leader="none"/>
              <w:tab w:pos="8685" w:val="left" w:leader="dot"/>
            </w:tabs>
            <w:spacing w:line="240" w:lineRule="auto" w:before="224" w:after="0"/>
            <w:ind w:left="1422" w:right="0" w:hanging="641"/>
            <w:jc w:val="left"/>
          </w:pPr>
          <w:hyperlink w:history="true" w:anchor="_bookmark7">
            <w:r>
              <w:rPr/>
              <w:t>Impactos</w:t>
            </w:r>
            <w:r>
              <w:rPr>
                <w:spacing w:val="-3"/>
              </w:rPr>
              <w:t> </w:t>
            </w:r>
            <w:r>
              <w:rPr/>
              <w:t>económicos</w:t>
              <w:tab/>
              <w:t>16</w:t>
            </w:r>
          </w:hyperlink>
        </w:p>
        <w:p>
          <w:pPr>
            <w:pStyle w:val="TOC2"/>
            <w:numPr>
              <w:ilvl w:val="1"/>
              <w:numId w:val="1"/>
            </w:numPr>
            <w:tabs>
              <w:tab w:pos="1421" w:val="left" w:leader="none"/>
              <w:tab w:pos="1422" w:val="left" w:leader="none"/>
              <w:tab w:pos="8685" w:val="left" w:leader="dot"/>
            </w:tabs>
            <w:spacing w:line="240" w:lineRule="auto" w:before="227" w:after="0"/>
            <w:ind w:left="1422" w:right="0" w:hanging="641"/>
            <w:jc w:val="left"/>
          </w:pPr>
          <w:hyperlink w:history="true" w:anchor="_bookmark8">
            <w:r>
              <w:rPr/>
              <w:t>Impactos</w:t>
            </w:r>
            <w:r>
              <w:rPr>
                <w:spacing w:val="-3"/>
              </w:rPr>
              <w:t> </w:t>
            </w:r>
            <w:r>
              <w:rPr/>
              <w:t>socioculturales</w:t>
              <w:tab/>
              <w:t>17</w:t>
            </w:r>
          </w:hyperlink>
        </w:p>
        <w:p>
          <w:pPr>
            <w:pStyle w:val="TOC2"/>
            <w:numPr>
              <w:ilvl w:val="1"/>
              <w:numId w:val="1"/>
            </w:numPr>
            <w:tabs>
              <w:tab w:pos="1421" w:val="left" w:leader="none"/>
              <w:tab w:pos="1422" w:val="left" w:leader="none"/>
              <w:tab w:pos="8685" w:val="left" w:leader="dot"/>
            </w:tabs>
            <w:spacing w:line="240" w:lineRule="auto" w:before="227" w:after="0"/>
            <w:ind w:left="1422" w:right="0" w:hanging="641"/>
            <w:jc w:val="left"/>
          </w:pPr>
          <w:hyperlink w:history="true" w:anchor="_bookmark9">
            <w:r>
              <w:rPr/>
              <w:t>Algunas evidencias de impactos culturales</w:t>
            </w:r>
            <w:r>
              <w:rPr>
                <w:spacing w:val="-8"/>
              </w:rPr>
              <w:t> </w:t>
            </w:r>
            <w:r>
              <w:rPr/>
              <w:t>del</w:t>
            </w:r>
            <w:r>
              <w:rPr>
                <w:spacing w:val="-5"/>
              </w:rPr>
              <w:t> </w:t>
            </w:r>
            <w:r>
              <w:rPr/>
              <w:t>turismo</w:t>
              <w:tab/>
              <w:t>20</w:t>
            </w:r>
          </w:hyperlink>
        </w:p>
        <w:p>
          <w:pPr>
            <w:pStyle w:val="TOC2"/>
            <w:numPr>
              <w:ilvl w:val="1"/>
              <w:numId w:val="1"/>
            </w:numPr>
            <w:tabs>
              <w:tab w:pos="1421" w:val="left" w:leader="none"/>
              <w:tab w:pos="1422" w:val="left" w:leader="none"/>
              <w:tab w:pos="8685" w:val="left" w:leader="dot"/>
            </w:tabs>
            <w:spacing w:line="240" w:lineRule="auto" w:before="227" w:after="0"/>
            <w:ind w:left="1422" w:right="0" w:hanging="641"/>
            <w:jc w:val="left"/>
          </w:pPr>
          <w:hyperlink w:history="true" w:anchor="_bookmark10">
            <w:r>
              <w:rPr/>
              <w:t>Turismo</w:t>
            </w:r>
            <w:r>
              <w:rPr>
                <w:spacing w:val="-1"/>
              </w:rPr>
              <w:t> </w:t>
            </w:r>
            <w:r>
              <w:rPr/>
              <w:t>de</w:t>
            </w:r>
            <w:r>
              <w:rPr>
                <w:spacing w:val="-3"/>
              </w:rPr>
              <w:t> </w:t>
            </w:r>
            <w:r>
              <w:rPr/>
              <w:t>nostalgia</w:t>
              <w:tab/>
              <w:t>21</w:t>
            </w:r>
          </w:hyperlink>
        </w:p>
        <w:p>
          <w:pPr>
            <w:pStyle w:val="TOC1"/>
            <w:tabs>
              <w:tab w:pos="8685" w:val="left" w:leader="dot"/>
            </w:tabs>
            <w:spacing w:before="717"/>
          </w:pPr>
          <w:hyperlink w:history="true" w:anchor="_bookmark11">
            <w:r>
              <w:rPr/>
              <w:t>CAPÍTULO 2</w:t>
            </w:r>
            <w:r>
              <w:rPr>
                <w:spacing w:val="-6"/>
              </w:rPr>
              <w:t> </w:t>
            </w:r>
            <w:r>
              <w:rPr/>
              <w:t>MARCO</w:t>
            </w:r>
            <w:r>
              <w:rPr>
                <w:spacing w:val="-1"/>
              </w:rPr>
              <w:t> </w:t>
            </w:r>
            <w:r>
              <w:rPr/>
              <w:t>CONTEXTUAL</w:t>
              <w:tab/>
              <w:t>25</w:t>
            </w:r>
          </w:hyperlink>
        </w:p>
        <w:p>
          <w:pPr>
            <w:pStyle w:val="TOC2"/>
            <w:numPr>
              <w:ilvl w:val="1"/>
              <w:numId w:val="2"/>
            </w:numPr>
            <w:tabs>
              <w:tab w:pos="1395" w:val="left" w:leader="none"/>
              <w:tab w:pos="1396" w:val="left" w:leader="none"/>
              <w:tab w:pos="8685" w:val="left" w:leader="dot"/>
            </w:tabs>
            <w:spacing w:line="240" w:lineRule="auto" w:before="138" w:after="0"/>
            <w:ind w:left="781" w:right="0" w:firstLine="0"/>
            <w:jc w:val="left"/>
          </w:pPr>
          <w:hyperlink w:history="true" w:anchor="_bookmark12">
            <w:r>
              <w:rPr/>
              <w:t>El municipio de</w:t>
            </w:r>
            <w:r>
              <w:rPr>
                <w:spacing w:val="-11"/>
              </w:rPr>
              <w:t> </w:t>
            </w:r>
            <w:r>
              <w:rPr/>
              <w:t>Ixmiquilpan,</w:t>
            </w:r>
            <w:r>
              <w:rPr>
                <w:spacing w:val="-3"/>
              </w:rPr>
              <w:t> </w:t>
            </w:r>
            <w:r>
              <w:rPr/>
              <w:t>Hidalgo</w:t>
              <w:tab/>
              <w:t>25</w:t>
            </w:r>
          </w:hyperlink>
        </w:p>
        <w:p>
          <w:pPr>
            <w:pStyle w:val="TOC2"/>
            <w:numPr>
              <w:ilvl w:val="1"/>
              <w:numId w:val="2"/>
            </w:numPr>
            <w:tabs>
              <w:tab w:pos="1395" w:val="left" w:leader="none"/>
              <w:tab w:pos="1396" w:val="left" w:leader="none"/>
              <w:tab w:pos="8681" w:val="left" w:leader="dot"/>
            </w:tabs>
            <w:spacing w:line="357" w:lineRule="auto" w:before="229" w:after="0"/>
            <w:ind w:left="781" w:right="133" w:firstLine="0"/>
            <w:jc w:val="left"/>
          </w:pPr>
          <w:hyperlink w:history="true" w:anchor="_bookmark13">
            <w:r>
              <w:rPr/>
              <w:t>Destinos frecuentes de la corriente migratoria de la población de</w:t>
            </w:r>
          </w:hyperlink>
          <w:r>
            <w:rPr/>
            <w:t>   </w:t>
          </w:r>
          <w:hyperlink w:history="true" w:anchor="_bookmark13">
            <w:r>
              <w:rPr/>
              <w:t>Ixmiquilpan</w:t>
              <w:tab/>
            </w:r>
            <w:r>
              <w:rPr>
                <w:spacing w:val="-1"/>
              </w:rPr>
              <w:t>27</w:t>
            </w:r>
          </w:hyperlink>
        </w:p>
        <w:p>
          <w:pPr>
            <w:pStyle w:val="TOC2"/>
            <w:tabs>
              <w:tab w:pos="1395" w:val="left" w:leader="none"/>
              <w:tab w:pos="8693" w:val="left" w:leader="dot"/>
            </w:tabs>
            <w:spacing w:before="108"/>
            <w:ind w:left="781" w:firstLine="0"/>
          </w:pPr>
          <w:hyperlink w:history="true" w:anchor="_TOC_250012">
            <w:r>
              <w:rPr/>
              <w:t>2.3</w:t>
              <w:tab/>
              <w:t>La comunidad</w:t>
            </w:r>
            <w:r>
              <w:rPr>
                <w:spacing w:val="-3"/>
              </w:rPr>
              <w:t> </w:t>
            </w:r>
            <w:r>
              <w:rPr/>
              <w:t>El</w:t>
            </w:r>
            <w:r>
              <w:rPr>
                <w:spacing w:val="-4"/>
              </w:rPr>
              <w:t> </w:t>
            </w:r>
            <w:r>
              <w:rPr/>
              <w:t>Tephé</w:t>
              <w:tab/>
              <w:t>28</w:t>
            </w:r>
          </w:hyperlink>
        </w:p>
        <w:p>
          <w:pPr>
            <w:pStyle w:val="TOC1"/>
            <w:spacing w:before="723"/>
          </w:pPr>
          <w:r>
            <w:rPr/>
            <w:t>CAPITULO 3 PROCEDIMIENTO METODOLOGICO</w:t>
          </w:r>
        </w:p>
        <w:p>
          <w:pPr>
            <w:pStyle w:val="TOC2"/>
            <w:numPr>
              <w:ilvl w:val="1"/>
              <w:numId w:val="3"/>
            </w:numPr>
            <w:tabs>
              <w:tab w:pos="1606" w:val="left" w:leader="none"/>
              <w:tab w:pos="1607" w:val="left" w:leader="none"/>
              <w:tab w:pos="8651" w:val="left" w:leader="dot"/>
            </w:tabs>
            <w:spacing w:line="240" w:lineRule="auto" w:before="139" w:after="0"/>
            <w:ind w:left="1606" w:right="0" w:hanging="796"/>
            <w:jc w:val="left"/>
          </w:pPr>
          <w:hyperlink w:history="true" w:anchor="_TOC_250011">
            <w:r>
              <w:rPr/>
              <w:t>Relevancia de la</w:t>
            </w:r>
            <w:r>
              <w:rPr>
                <w:spacing w:val="-9"/>
              </w:rPr>
              <w:t> </w:t>
            </w:r>
            <w:r>
              <w:rPr/>
              <w:t>investigación</w:t>
            </w:r>
            <w:r>
              <w:rPr>
                <w:spacing w:val="-3"/>
              </w:rPr>
              <w:t> </w:t>
            </w:r>
            <w:r>
              <w:rPr/>
              <w:t>cualitativa</w:t>
            </w:r>
            <w:r>
              <w:rPr>
                <w:rFonts w:ascii="Times New Roman" w:hAnsi="Times New Roman"/>
              </w:rPr>
              <w:tab/>
            </w:r>
            <w:r>
              <w:rPr/>
              <w:t>31</w:t>
            </w:r>
          </w:hyperlink>
        </w:p>
        <w:p>
          <w:pPr>
            <w:pStyle w:val="TOC2"/>
            <w:numPr>
              <w:ilvl w:val="2"/>
              <w:numId w:val="3"/>
            </w:numPr>
            <w:tabs>
              <w:tab w:pos="1606" w:val="left" w:leader="none"/>
              <w:tab w:pos="1607" w:val="left" w:leader="none"/>
              <w:tab w:pos="8664" w:val="left" w:leader="dot"/>
            </w:tabs>
            <w:spacing w:line="240" w:lineRule="auto" w:before="239" w:after="0"/>
            <w:ind w:left="1606" w:right="0" w:hanging="796"/>
            <w:jc w:val="left"/>
          </w:pPr>
          <w:r>
            <w:rPr/>
            <w:t>Fases de la</w:t>
          </w:r>
          <w:r>
            <w:rPr>
              <w:spacing w:val="-6"/>
            </w:rPr>
            <w:t> </w:t>
          </w:r>
          <w:r>
            <w:rPr/>
            <w:t>investihación</w:t>
          </w:r>
          <w:r>
            <w:rPr>
              <w:spacing w:val="-2"/>
            </w:rPr>
            <w:t> </w:t>
          </w:r>
          <w:r>
            <w:rPr/>
            <w:t>cualitativa</w:t>
          </w:r>
          <w:r>
            <w:rPr>
              <w:rFonts w:ascii="Times New Roman" w:hAnsi="Times New Roman"/>
            </w:rPr>
            <w:tab/>
          </w:r>
          <w:r>
            <w:rPr/>
            <w:t>33</w:t>
          </w:r>
        </w:p>
        <w:p>
          <w:pPr>
            <w:pStyle w:val="TOC2"/>
            <w:numPr>
              <w:ilvl w:val="2"/>
              <w:numId w:val="3"/>
            </w:numPr>
            <w:tabs>
              <w:tab w:pos="1606" w:val="left" w:leader="none"/>
              <w:tab w:pos="1607" w:val="left" w:leader="none"/>
              <w:tab w:pos="8637" w:val="left" w:leader="dot"/>
            </w:tabs>
            <w:spacing w:line="240" w:lineRule="auto" w:before="239" w:after="0"/>
            <w:ind w:left="1606" w:right="0" w:hanging="796"/>
            <w:jc w:val="left"/>
          </w:pPr>
          <w:hyperlink w:history="true" w:anchor="_TOC_250010">
            <w:r>
              <w:rPr/>
              <w:t>Ventajas de la</w:t>
            </w:r>
            <w:r>
              <w:rPr>
                <w:spacing w:val="-7"/>
              </w:rPr>
              <w:t> </w:t>
            </w:r>
            <w:r>
              <w:rPr/>
              <w:t>investigación</w:t>
            </w:r>
            <w:r>
              <w:rPr>
                <w:spacing w:val="-2"/>
              </w:rPr>
              <w:t> </w:t>
            </w:r>
            <w:r>
              <w:rPr/>
              <w:t>cualitativa…</w:t>
            </w:r>
            <w:r>
              <w:rPr>
                <w:rFonts w:ascii="Times New Roman" w:hAnsi="Times New Roman"/>
              </w:rPr>
              <w:tab/>
            </w:r>
            <w:r>
              <w:rPr/>
              <w:t>34</w:t>
            </w:r>
          </w:hyperlink>
        </w:p>
        <w:p>
          <w:pPr>
            <w:pStyle w:val="TOC2"/>
            <w:numPr>
              <w:ilvl w:val="2"/>
              <w:numId w:val="3"/>
            </w:numPr>
            <w:tabs>
              <w:tab w:pos="1606" w:val="left" w:leader="none"/>
              <w:tab w:pos="1607" w:val="left" w:leader="none"/>
              <w:tab w:pos="8640" w:val="left" w:leader="dot"/>
            </w:tabs>
            <w:spacing w:line="240" w:lineRule="auto" w:before="236" w:after="0"/>
            <w:ind w:left="1606" w:right="0" w:hanging="796"/>
            <w:jc w:val="left"/>
          </w:pPr>
          <w:r>
            <w:rPr/>
            <w:t>Desventajas de la</w:t>
          </w:r>
          <w:r>
            <w:rPr>
              <w:spacing w:val="-10"/>
            </w:rPr>
            <w:t> </w:t>
          </w:r>
          <w:r>
            <w:rPr/>
            <w:t>investiugación</w:t>
          </w:r>
          <w:r>
            <w:rPr>
              <w:spacing w:val="-3"/>
            </w:rPr>
            <w:t> </w:t>
          </w:r>
          <w:r>
            <w:rPr/>
            <w:t>cualitativa…</w:t>
          </w:r>
          <w:r>
            <w:rPr>
              <w:rFonts w:ascii="Times New Roman" w:hAnsi="Times New Roman"/>
            </w:rPr>
            <w:tab/>
          </w:r>
          <w:r>
            <w:rPr/>
            <w:t>34</w:t>
          </w:r>
        </w:p>
        <w:p>
          <w:pPr>
            <w:pStyle w:val="TOC2"/>
            <w:numPr>
              <w:ilvl w:val="2"/>
              <w:numId w:val="3"/>
            </w:numPr>
            <w:tabs>
              <w:tab w:pos="1630" w:val="left" w:leader="none"/>
              <w:tab w:pos="1631" w:val="left" w:leader="none"/>
              <w:tab w:pos="8664" w:val="left" w:leader="dot"/>
            </w:tabs>
            <w:spacing w:line="240" w:lineRule="auto" w:before="239" w:after="0"/>
            <w:ind w:left="1630" w:right="0" w:hanging="792"/>
            <w:jc w:val="left"/>
          </w:pPr>
          <w:r>
            <w:rPr/>
            <w:t>Tecnicas de</w:t>
          </w:r>
          <w:r>
            <w:rPr>
              <w:spacing w:val="53"/>
            </w:rPr>
            <w:t> </w:t>
          </w:r>
          <w:r>
            <w:rPr/>
            <w:t>investigacion</w:t>
          </w:r>
          <w:r>
            <w:rPr>
              <w:spacing w:val="-1"/>
            </w:rPr>
            <w:t> </w:t>
          </w:r>
          <w:r>
            <w:rPr/>
            <w:t>cualitativa</w:t>
            <w:tab/>
            <w:t>36</w:t>
          </w:r>
        </w:p>
        <w:p>
          <w:pPr>
            <w:pStyle w:val="TOC2"/>
            <w:numPr>
              <w:ilvl w:val="3"/>
              <w:numId w:val="3"/>
            </w:numPr>
            <w:tabs>
              <w:tab w:pos="1791" w:val="left" w:leader="none"/>
              <w:tab w:pos="1792" w:val="left" w:leader="none"/>
              <w:tab w:pos="8688" w:val="left" w:leader="dot"/>
            </w:tabs>
            <w:spacing w:line="240" w:lineRule="auto" w:before="53" w:after="0"/>
            <w:ind w:left="1791" w:right="0" w:hanging="981"/>
            <w:jc w:val="left"/>
          </w:pPr>
          <w:hyperlink w:history="true" w:anchor="_TOC_250009">
            <w:r>
              <w:rPr/>
              <w:t>Entrevista</w:t>
            </w:r>
            <w:r>
              <w:rPr>
                <w:spacing w:val="-2"/>
              </w:rPr>
              <w:t> </w:t>
            </w:r>
            <w:r>
              <w:rPr/>
              <w:t>a</w:t>
            </w:r>
            <w:r>
              <w:rPr>
                <w:spacing w:val="-3"/>
              </w:rPr>
              <w:t> </w:t>
            </w:r>
            <w:r>
              <w:rPr/>
              <w:t>profundidad…</w:t>
              <w:tab/>
              <w:t>36</w:t>
            </w:r>
          </w:hyperlink>
        </w:p>
        <w:p>
          <w:pPr>
            <w:pStyle w:val="TOC2"/>
            <w:numPr>
              <w:ilvl w:val="2"/>
              <w:numId w:val="3"/>
            </w:numPr>
            <w:tabs>
              <w:tab w:pos="1789" w:val="left" w:leader="none"/>
              <w:tab w:pos="1790" w:val="left" w:leader="none"/>
              <w:tab w:pos="8676" w:val="left" w:leader="dot"/>
            </w:tabs>
            <w:spacing w:line="240" w:lineRule="auto" w:before="239" w:after="0"/>
            <w:ind w:left="1789" w:right="0" w:hanging="979"/>
            <w:jc w:val="left"/>
          </w:pPr>
          <w:hyperlink w:history="true" w:anchor="_TOC_250008">
            <w:r>
              <w:rPr/>
              <w:t>Tipos</w:t>
            </w:r>
            <w:r>
              <w:rPr>
                <w:spacing w:val="-4"/>
              </w:rPr>
              <w:t> </w:t>
            </w:r>
            <w:r>
              <w:rPr/>
              <w:t>de</w:t>
            </w:r>
            <w:r>
              <w:rPr>
                <w:spacing w:val="-2"/>
              </w:rPr>
              <w:t> </w:t>
            </w:r>
            <w:r>
              <w:rPr/>
              <w:t>entrevista…</w:t>
              <w:tab/>
              <w:t>37</w:t>
            </w:r>
          </w:hyperlink>
        </w:p>
        <w:p>
          <w:pPr>
            <w:pStyle w:val="TOC2"/>
            <w:numPr>
              <w:ilvl w:val="2"/>
              <w:numId w:val="3"/>
            </w:numPr>
            <w:tabs>
              <w:tab w:pos="1791" w:val="left" w:leader="none"/>
              <w:tab w:pos="1792" w:val="left" w:leader="none"/>
              <w:tab w:pos="8649" w:val="left" w:leader="dot"/>
            </w:tabs>
            <w:spacing w:line="240" w:lineRule="auto" w:before="239" w:after="0"/>
            <w:ind w:left="1791" w:right="0" w:hanging="981"/>
            <w:jc w:val="left"/>
          </w:pPr>
          <w:hyperlink w:history="true" w:anchor="_TOC_250007">
            <w:r>
              <w:rPr/>
              <w:t>La</w:t>
            </w:r>
            <w:r>
              <w:rPr>
                <w:spacing w:val="-4"/>
              </w:rPr>
              <w:t> </w:t>
            </w:r>
            <w:r>
              <w:rPr/>
              <w:t>observación</w:t>
              <w:tab/>
              <w:t>38</w:t>
            </w:r>
          </w:hyperlink>
        </w:p>
        <w:p>
          <w:pPr>
            <w:pStyle w:val="TOC2"/>
            <w:numPr>
              <w:ilvl w:val="2"/>
              <w:numId w:val="3"/>
            </w:numPr>
            <w:tabs>
              <w:tab w:pos="1791" w:val="left" w:leader="none"/>
              <w:tab w:pos="1792" w:val="left" w:leader="none"/>
              <w:tab w:pos="8673" w:val="left" w:leader="dot"/>
            </w:tabs>
            <w:spacing w:line="240" w:lineRule="auto" w:before="236" w:after="0"/>
            <w:ind w:left="1791" w:right="0" w:hanging="981"/>
            <w:jc w:val="left"/>
          </w:pPr>
          <w:hyperlink w:history="true" w:anchor="_TOC_250006">
            <w:r>
              <w:rPr/>
              <w:t>El</w:t>
            </w:r>
            <w:r>
              <w:rPr>
                <w:spacing w:val="-4"/>
              </w:rPr>
              <w:t> </w:t>
            </w:r>
            <w:r>
              <w:rPr/>
              <w:t>muestreo</w:t>
              <w:tab/>
              <w:t>39</w:t>
            </w:r>
          </w:hyperlink>
        </w:p>
        <w:p>
          <w:pPr>
            <w:pStyle w:val="TOC2"/>
            <w:numPr>
              <w:ilvl w:val="3"/>
              <w:numId w:val="3"/>
            </w:numPr>
            <w:tabs>
              <w:tab w:pos="1791" w:val="left" w:leader="none"/>
              <w:tab w:pos="1792" w:val="left" w:leader="none"/>
              <w:tab w:pos="8688" w:val="left" w:leader="dot"/>
            </w:tabs>
            <w:spacing w:line="240" w:lineRule="auto" w:before="239" w:after="0"/>
            <w:ind w:left="1791" w:right="0" w:hanging="981"/>
            <w:jc w:val="left"/>
          </w:pPr>
          <w:r>
            <w:rPr/>
            <w:t>Muestreo</w:t>
          </w:r>
          <w:r>
            <w:rPr>
              <w:spacing w:val="-5"/>
            </w:rPr>
            <w:t> </w:t>
          </w:r>
          <w:r>
            <w:rPr/>
            <w:t>no</w:t>
          </w:r>
          <w:r>
            <w:rPr>
              <w:spacing w:val="-3"/>
            </w:rPr>
            <w:t> </w:t>
          </w:r>
          <w:r>
            <w:rPr/>
            <w:t>probabilistico…</w:t>
            <w:tab/>
            <w:t>39</w:t>
          </w:r>
        </w:p>
        <w:p>
          <w:pPr>
            <w:pStyle w:val="TOC2"/>
            <w:tabs>
              <w:tab w:pos="1791" w:val="left" w:leader="none"/>
              <w:tab w:pos="8652" w:val="left" w:leader="dot"/>
            </w:tabs>
            <w:spacing w:before="236"/>
            <w:ind w:left="810" w:firstLine="0"/>
          </w:pPr>
          <w:r>
            <w:rPr/>
            <w:t>3.2.</w:t>
            <w:tab/>
            <w:t>Descripcion del procedimiento metodológico</w:t>
          </w:r>
          <w:r>
            <w:rPr>
              <w:spacing w:val="-13"/>
            </w:rPr>
            <w:t> </w:t>
          </w:r>
          <w:r>
            <w:rPr/>
            <w:t>cualitativo</w:t>
          </w:r>
          <w:r>
            <w:rPr>
              <w:spacing w:val="-2"/>
            </w:rPr>
            <w:t> </w:t>
          </w:r>
          <w:r>
            <w:rPr/>
            <w:t>adoptado</w:t>
            <w:tab/>
            <w:t>40</w:t>
          </w:r>
        </w:p>
        <w:p>
          <w:pPr>
            <w:pStyle w:val="TOC1"/>
            <w:tabs>
              <w:tab w:pos="8688" w:val="left" w:leader="dot"/>
            </w:tabs>
            <w:spacing w:before="726"/>
          </w:pPr>
          <w:hyperlink w:history="true" w:anchor="_bookmark14">
            <w:r>
              <w:rPr/>
              <w:t>CAPITULO 4</w:t>
            </w:r>
            <w:r>
              <w:rPr>
                <w:spacing w:val="-4"/>
              </w:rPr>
              <w:t> </w:t>
            </w:r>
            <w:r>
              <w:rPr/>
              <w:t>HALLAZGOS</w:t>
              <w:tab/>
              <w:t>43</w:t>
            </w:r>
          </w:hyperlink>
        </w:p>
        <w:p>
          <w:pPr>
            <w:pStyle w:val="TOC2"/>
            <w:numPr>
              <w:ilvl w:val="1"/>
              <w:numId w:val="4"/>
            </w:numPr>
            <w:tabs>
              <w:tab w:pos="1424" w:val="left" w:leader="none"/>
              <w:tab w:pos="1425" w:val="left" w:leader="none"/>
              <w:tab w:pos="8673" w:val="left" w:leader="dot"/>
            </w:tabs>
            <w:spacing w:line="240" w:lineRule="auto" w:before="141" w:after="0"/>
            <w:ind w:left="1424" w:right="0" w:hanging="614"/>
            <w:jc w:val="left"/>
          </w:pPr>
          <w:hyperlink w:history="true" w:anchor="_TOC_250005">
            <w:r>
              <w:rPr/>
              <w:t>Perfil de</w:t>
            </w:r>
            <w:r>
              <w:rPr>
                <w:spacing w:val="-3"/>
              </w:rPr>
              <w:t> </w:t>
            </w:r>
            <w:r>
              <w:rPr/>
              <w:t>los</w:t>
            </w:r>
            <w:r>
              <w:rPr>
                <w:spacing w:val="-4"/>
              </w:rPr>
              <w:t> </w:t>
            </w:r>
            <w:r>
              <w:rPr/>
              <w:t>informantes</w:t>
              <w:tab/>
              <w:t>43</w:t>
            </w:r>
          </w:hyperlink>
        </w:p>
        <w:p>
          <w:pPr>
            <w:pStyle w:val="TOC2"/>
            <w:numPr>
              <w:ilvl w:val="1"/>
              <w:numId w:val="4"/>
            </w:numPr>
            <w:tabs>
              <w:tab w:pos="1395" w:val="left" w:leader="none"/>
              <w:tab w:pos="1396" w:val="left" w:leader="none"/>
              <w:tab w:pos="8671" w:val="left" w:leader="dot"/>
            </w:tabs>
            <w:spacing w:line="240" w:lineRule="auto" w:before="236" w:after="0"/>
            <w:ind w:left="1395" w:right="0" w:hanging="614"/>
            <w:jc w:val="left"/>
          </w:pPr>
          <w:r>
            <w:rPr/>
            <w:t>Caracteristicas de</w:t>
          </w:r>
          <w:r>
            <w:rPr>
              <w:spacing w:val="-6"/>
            </w:rPr>
            <w:t> </w:t>
          </w:r>
          <w:r>
            <w:rPr/>
            <w:t>la</w:t>
          </w:r>
          <w:r>
            <w:rPr>
              <w:spacing w:val="-2"/>
            </w:rPr>
            <w:t> </w:t>
          </w:r>
          <w:r>
            <w:rPr/>
            <w:t>migracion</w:t>
            <w:tab/>
            <w:t>43</w:t>
          </w:r>
        </w:p>
        <w:p>
          <w:pPr>
            <w:pStyle w:val="TOC2"/>
            <w:numPr>
              <w:ilvl w:val="1"/>
              <w:numId w:val="4"/>
            </w:numPr>
            <w:tabs>
              <w:tab w:pos="1395" w:val="left" w:leader="none"/>
              <w:tab w:pos="1396" w:val="left" w:leader="none"/>
              <w:tab w:pos="8695" w:val="left" w:leader="dot"/>
            </w:tabs>
            <w:spacing w:line="240" w:lineRule="auto" w:before="227" w:after="0"/>
            <w:ind w:left="1395" w:right="0" w:hanging="614"/>
            <w:jc w:val="left"/>
          </w:pPr>
          <w:hyperlink w:history="true" w:anchor="_TOC_250004">
            <w:r>
              <w:rPr/>
              <w:t>Cambios en</w:t>
            </w:r>
            <w:r>
              <w:rPr>
                <w:spacing w:val="-5"/>
              </w:rPr>
              <w:t> </w:t>
            </w:r>
            <w:r>
              <w:rPr/>
              <w:t>la</w:t>
            </w:r>
            <w:r>
              <w:rPr>
                <w:spacing w:val="-2"/>
              </w:rPr>
              <w:t> </w:t>
            </w:r>
            <w:r>
              <w:rPr/>
              <w:t>vivienda</w:t>
              <w:tab/>
              <w:t>45</w:t>
            </w:r>
          </w:hyperlink>
        </w:p>
        <w:p>
          <w:pPr>
            <w:pStyle w:val="TOC2"/>
            <w:numPr>
              <w:ilvl w:val="1"/>
              <w:numId w:val="4"/>
            </w:numPr>
            <w:tabs>
              <w:tab w:pos="1395" w:val="left" w:leader="none"/>
              <w:tab w:pos="1396" w:val="left" w:leader="none"/>
              <w:tab w:pos="8659" w:val="left" w:leader="dot"/>
            </w:tabs>
            <w:spacing w:line="240" w:lineRule="auto" w:before="224" w:after="0"/>
            <w:ind w:left="1395" w:right="0" w:hanging="614"/>
            <w:jc w:val="left"/>
          </w:pPr>
          <w:r>
            <w:rPr/>
            <w:t>Cambios en</w:t>
          </w:r>
          <w:r>
            <w:rPr>
              <w:spacing w:val="-4"/>
            </w:rPr>
            <w:t> </w:t>
          </w:r>
          <w:r>
            <w:rPr/>
            <w:t>en</w:t>
          </w:r>
          <w:r>
            <w:rPr>
              <w:spacing w:val="-2"/>
            </w:rPr>
            <w:t> </w:t>
          </w:r>
          <w:r>
            <w:rPr/>
            <w:t>lenguaje</w:t>
            <w:tab/>
            <w:t>49</w:t>
          </w:r>
        </w:p>
        <w:p>
          <w:pPr>
            <w:pStyle w:val="TOC2"/>
            <w:numPr>
              <w:ilvl w:val="1"/>
              <w:numId w:val="4"/>
            </w:numPr>
            <w:tabs>
              <w:tab w:pos="1395" w:val="left" w:leader="none"/>
              <w:tab w:pos="1396" w:val="left" w:leader="none"/>
              <w:tab w:pos="8694" w:val="left" w:leader="dot"/>
            </w:tabs>
            <w:spacing w:line="240" w:lineRule="auto" w:before="227" w:after="0"/>
            <w:ind w:left="1395" w:right="0" w:hanging="614"/>
            <w:jc w:val="left"/>
          </w:pPr>
          <w:hyperlink w:history="true" w:anchor="_TOC_250003">
            <w:r>
              <w:rPr/>
              <w:t>Cambios en</w:t>
            </w:r>
            <w:r>
              <w:rPr>
                <w:spacing w:val="-3"/>
              </w:rPr>
              <w:t> </w:t>
            </w:r>
            <w:r>
              <w:rPr/>
              <w:t>la</w:t>
            </w:r>
            <w:r>
              <w:rPr>
                <w:spacing w:val="-1"/>
              </w:rPr>
              <w:t> </w:t>
            </w:r>
            <w:r>
              <w:rPr/>
              <w:t>vestimenta</w:t>
            </w:r>
            <w:r>
              <w:rPr>
                <w:rFonts w:ascii="Times New Roman"/>
              </w:rPr>
              <w:tab/>
            </w:r>
            <w:r>
              <w:rPr/>
              <w:t>50</w:t>
            </w:r>
          </w:hyperlink>
        </w:p>
        <w:p>
          <w:pPr>
            <w:pStyle w:val="TOC2"/>
            <w:numPr>
              <w:ilvl w:val="1"/>
              <w:numId w:val="5"/>
            </w:numPr>
            <w:tabs>
              <w:tab w:pos="1424" w:val="left" w:leader="none"/>
              <w:tab w:pos="1425" w:val="left" w:leader="none"/>
              <w:tab w:pos="8688" w:val="left" w:leader="dot"/>
            </w:tabs>
            <w:spacing w:line="240" w:lineRule="auto" w:before="229" w:after="0"/>
            <w:ind w:left="1424" w:right="0" w:hanging="614"/>
            <w:jc w:val="left"/>
          </w:pPr>
          <w:r>
            <w:rPr/>
            <w:t>Cambios en</w:t>
          </w:r>
          <w:r>
            <w:rPr>
              <w:spacing w:val="-6"/>
            </w:rPr>
            <w:t> </w:t>
          </w:r>
          <w:r>
            <w:rPr/>
            <w:t>la</w:t>
          </w:r>
          <w:r>
            <w:rPr>
              <w:spacing w:val="-4"/>
            </w:rPr>
            <w:t> </w:t>
          </w:r>
          <w:r>
            <w:rPr/>
            <w:t>gastronomia</w:t>
            <w:tab/>
            <w:t>53</w:t>
          </w:r>
        </w:p>
        <w:p>
          <w:pPr>
            <w:pStyle w:val="TOC2"/>
            <w:numPr>
              <w:ilvl w:val="1"/>
              <w:numId w:val="5"/>
            </w:numPr>
            <w:tabs>
              <w:tab w:pos="1421" w:val="left" w:leader="none"/>
              <w:tab w:pos="1422" w:val="left" w:leader="none"/>
              <w:tab w:pos="8683" w:val="left" w:leader="dot"/>
            </w:tabs>
            <w:spacing w:line="240" w:lineRule="auto" w:before="236" w:after="0"/>
            <w:ind w:left="1422" w:right="0" w:hanging="612"/>
            <w:jc w:val="left"/>
          </w:pPr>
          <w:hyperlink w:history="true" w:anchor="_TOC_250002">
            <w:r>
              <w:rPr/>
              <w:t>Otros</w:t>
            </w:r>
            <w:r>
              <w:rPr>
                <w:spacing w:val="-2"/>
              </w:rPr>
              <w:t> </w:t>
            </w:r>
            <w:r>
              <w:rPr/>
              <w:t>cambios</w:t>
              <w:tab/>
              <w:t>55</w:t>
            </w:r>
          </w:hyperlink>
        </w:p>
        <w:p>
          <w:pPr>
            <w:pStyle w:val="TOC1"/>
            <w:tabs>
              <w:tab w:pos="8672" w:val="left" w:leader="dot"/>
            </w:tabs>
            <w:spacing w:before="729"/>
          </w:pPr>
          <w:hyperlink w:history="true" w:anchor="_TOC_250001">
            <w:r>
              <w:rPr/>
              <w:t>CONCLUSIONES</w:t>
            </w:r>
            <w:r>
              <w:rPr>
                <w:rFonts w:ascii="Times New Roman"/>
              </w:rPr>
              <w:tab/>
            </w:r>
            <w:r>
              <w:rPr/>
              <w:t>57</w:t>
            </w:r>
          </w:hyperlink>
        </w:p>
        <w:p>
          <w:pPr>
            <w:pStyle w:val="TOC1"/>
            <w:tabs>
              <w:tab w:pos="8673" w:val="left" w:leader="dot"/>
            </w:tabs>
            <w:spacing w:before="136"/>
          </w:pPr>
          <w:hyperlink w:history="true" w:anchor="_TOC_250000">
            <w:r>
              <w:rPr/>
              <w:t>FUENTES</w:t>
            </w:r>
            <w:r>
              <w:rPr>
                <w:spacing w:val="-2"/>
              </w:rPr>
              <w:t> </w:t>
            </w:r>
            <w:r>
              <w:rPr/>
              <w:t>CITADAS</w:t>
            </w:r>
            <w:r>
              <w:rPr>
                <w:rFonts w:ascii="Times New Roman"/>
              </w:rPr>
              <w:tab/>
            </w:r>
            <w:r>
              <w:rPr/>
              <w:t>59</w:t>
            </w:r>
          </w:hyperlink>
        </w:p>
      </w:sdtContent>
    </w:sdt>
    <w:p>
      <w:pPr>
        <w:spacing w:after="0"/>
        <w:sectPr>
          <w:type w:val="continuous"/>
          <w:pgSz w:w="12240" w:h="15840"/>
          <w:pgMar w:top="1360" w:bottom="1688" w:left="1600" w:right="1580"/>
        </w:sectPr>
      </w:pPr>
    </w:p>
    <w:p>
      <w:pPr>
        <w:spacing w:before="140"/>
        <w:ind w:left="102" w:right="0" w:firstLine="0"/>
        <w:jc w:val="left"/>
        <w:rPr>
          <w:sz w:val="22"/>
        </w:rPr>
      </w:pPr>
      <w:r>
        <w:rPr>
          <w:sz w:val="22"/>
        </w:rPr>
        <w:t>ANEXO 1</w:t>
      </w:r>
    </w:p>
    <w:p>
      <w:pPr>
        <w:spacing w:after="0"/>
        <w:jc w:val="left"/>
        <w:rPr>
          <w:sz w:val="22"/>
        </w:rPr>
        <w:sectPr>
          <w:type w:val="continuous"/>
          <w:pgSz w:w="12240" w:h="15840"/>
          <w:pgMar w:top="1360" w:bottom="1200" w:left="1600" w:right="1580"/>
        </w:sectPr>
      </w:pPr>
    </w:p>
    <w:p>
      <w:pPr>
        <w:pStyle w:val="Heading1"/>
        <w:ind w:right="17"/>
      </w:pPr>
      <w:bookmarkStart w:name="_TOC_250013" w:id="1"/>
      <w:bookmarkEnd w:id="1"/>
      <w:r>
        <w:rPr/>
        <w:t>ÍNDICE DE FOTOGRAFÍAS</w:t>
      </w:r>
    </w:p>
    <w:p>
      <w:pPr>
        <w:pStyle w:val="BodyText"/>
        <w:rPr>
          <w:b/>
          <w:sz w:val="28"/>
        </w:rPr>
      </w:pPr>
    </w:p>
    <w:p>
      <w:pPr>
        <w:pStyle w:val="BodyText"/>
        <w:rPr>
          <w:b/>
          <w:sz w:val="28"/>
        </w:rPr>
      </w:pPr>
    </w:p>
    <w:p>
      <w:pPr>
        <w:pStyle w:val="BodyText"/>
        <w:rPr>
          <w:b/>
          <w:sz w:val="28"/>
        </w:rPr>
      </w:pPr>
    </w:p>
    <w:p>
      <w:pPr>
        <w:pStyle w:val="BodyText"/>
        <w:spacing w:before="7"/>
        <w:rPr>
          <w:b/>
          <w:sz w:val="31"/>
        </w:rPr>
      </w:pPr>
    </w:p>
    <w:p>
      <w:pPr>
        <w:tabs>
          <w:tab w:pos="8138" w:val="left" w:leader="none"/>
        </w:tabs>
        <w:spacing w:before="1"/>
        <w:ind w:left="102" w:right="0" w:firstLine="0"/>
        <w:jc w:val="left"/>
        <w:rPr>
          <w:b/>
          <w:sz w:val="20"/>
        </w:rPr>
      </w:pPr>
      <w:r>
        <w:rPr>
          <w:b/>
          <w:sz w:val="20"/>
        </w:rPr>
        <w:t>FOTOGRAFÍA</w:t>
      </w:r>
      <w:r>
        <w:rPr>
          <w:b/>
          <w:spacing w:val="-7"/>
          <w:sz w:val="20"/>
        </w:rPr>
        <w:t> </w:t>
      </w:r>
      <w:r>
        <w:rPr>
          <w:b/>
          <w:sz w:val="20"/>
        </w:rPr>
        <w:t>No.</w:t>
        <w:tab/>
        <w:t>PÁGINA</w:t>
      </w:r>
    </w:p>
    <w:p>
      <w:pPr>
        <w:pStyle w:val="BodyText"/>
        <w:spacing w:before="3"/>
        <w:rPr>
          <w:b/>
          <w:sz w:val="20"/>
        </w:rPr>
      </w:pPr>
    </w:p>
    <w:p>
      <w:pPr>
        <w:tabs>
          <w:tab w:pos="8685" w:val="left" w:leader="dot"/>
        </w:tabs>
        <w:spacing w:before="0"/>
        <w:ind w:left="102" w:right="0" w:firstLine="0"/>
        <w:jc w:val="left"/>
        <w:rPr>
          <w:sz w:val="22"/>
        </w:rPr>
      </w:pPr>
      <w:hyperlink w:history="true" w:anchor="_bookmark15">
        <w:r>
          <w:rPr>
            <w:sz w:val="22"/>
          </w:rPr>
          <w:t>Fotografía 1 Vivienda típica El Tephé (Foto tomada por</w:t>
        </w:r>
        <w:r>
          <w:rPr>
            <w:spacing w:val="-17"/>
            <w:sz w:val="22"/>
          </w:rPr>
          <w:t> </w:t>
        </w:r>
        <w:r>
          <w:rPr>
            <w:sz w:val="22"/>
          </w:rPr>
          <w:t>la</w:t>
        </w:r>
        <w:r>
          <w:rPr>
            <w:spacing w:val="-2"/>
            <w:sz w:val="22"/>
          </w:rPr>
          <w:t> </w:t>
        </w:r>
        <w:r>
          <w:rPr>
            <w:sz w:val="22"/>
          </w:rPr>
          <w:t>autora)</w:t>
          <w:tab/>
          <w:t>45</w:t>
        </w:r>
      </w:hyperlink>
    </w:p>
    <w:p>
      <w:pPr>
        <w:tabs>
          <w:tab w:pos="8685" w:val="left" w:leader="dot"/>
        </w:tabs>
        <w:spacing w:line="278" w:lineRule="auto" w:before="37"/>
        <w:ind w:left="102" w:right="127" w:firstLine="0"/>
        <w:jc w:val="left"/>
        <w:rPr>
          <w:sz w:val="22"/>
        </w:rPr>
      </w:pPr>
      <w:hyperlink w:history="true" w:anchor="_bookmark16">
        <w:r>
          <w:rPr>
            <w:sz w:val="22"/>
          </w:rPr>
          <w:t>Fotografía 2 El estilo y el tamaño de las viviendas se han transformado como</w:t>
        </w:r>
      </w:hyperlink>
      <w:r>
        <w:rPr>
          <w:sz w:val="22"/>
        </w:rPr>
        <w:t> </w:t>
      </w:r>
      <w:hyperlink w:history="true" w:anchor="_bookmark16">
        <w:r>
          <w:rPr>
            <w:sz w:val="22"/>
          </w:rPr>
          <w:t>consecuencia del turismo de nostalgia (foto tomada por</w:t>
        </w:r>
        <w:r>
          <w:rPr>
            <w:spacing w:val="-16"/>
            <w:sz w:val="22"/>
          </w:rPr>
          <w:t> </w:t>
        </w:r>
        <w:r>
          <w:rPr>
            <w:sz w:val="22"/>
          </w:rPr>
          <w:t>la</w:t>
        </w:r>
        <w:r>
          <w:rPr>
            <w:spacing w:val="-1"/>
            <w:sz w:val="22"/>
          </w:rPr>
          <w:t> </w:t>
        </w:r>
        <w:r>
          <w:rPr>
            <w:sz w:val="22"/>
          </w:rPr>
          <w:t>autora)</w:t>
          <w:tab/>
          <w:t>46</w:t>
        </w:r>
      </w:hyperlink>
    </w:p>
    <w:p>
      <w:pPr>
        <w:tabs>
          <w:tab w:pos="8685" w:val="left" w:leader="dot"/>
        </w:tabs>
        <w:spacing w:line="251" w:lineRule="exact" w:before="0"/>
        <w:ind w:left="102" w:right="0" w:firstLine="0"/>
        <w:jc w:val="left"/>
        <w:rPr>
          <w:sz w:val="22"/>
        </w:rPr>
      </w:pPr>
      <w:hyperlink w:history="true" w:anchor="_bookmark17">
        <w:r>
          <w:rPr>
            <w:sz w:val="22"/>
          </w:rPr>
          <w:t>Fotografía 3 Vivienda estilo americano (foto tomada por</w:t>
        </w:r>
        <w:r>
          <w:rPr>
            <w:spacing w:val="-16"/>
            <w:sz w:val="22"/>
          </w:rPr>
          <w:t> </w:t>
        </w:r>
        <w:r>
          <w:rPr>
            <w:sz w:val="22"/>
          </w:rPr>
          <w:t>la</w:t>
        </w:r>
        <w:r>
          <w:rPr>
            <w:spacing w:val="-2"/>
            <w:sz w:val="22"/>
          </w:rPr>
          <w:t> </w:t>
        </w:r>
        <w:r>
          <w:rPr>
            <w:sz w:val="22"/>
          </w:rPr>
          <w:t>autora)</w:t>
          <w:tab/>
          <w:t>47</w:t>
        </w:r>
      </w:hyperlink>
    </w:p>
    <w:p>
      <w:pPr>
        <w:tabs>
          <w:tab w:pos="8685" w:val="left" w:leader="dot"/>
        </w:tabs>
        <w:spacing w:before="37"/>
        <w:ind w:left="102" w:right="0" w:firstLine="0"/>
        <w:jc w:val="left"/>
        <w:rPr>
          <w:sz w:val="22"/>
        </w:rPr>
      </w:pPr>
      <w:hyperlink w:history="true" w:anchor="_bookmark18">
        <w:r>
          <w:rPr>
            <w:sz w:val="22"/>
          </w:rPr>
          <w:t>Fotografía 4 Vivienda en obra negra (foto tomada por</w:t>
        </w:r>
        <w:r>
          <w:rPr>
            <w:spacing w:val="-18"/>
            <w:sz w:val="22"/>
          </w:rPr>
          <w:t> </w:t>
        </w:r>
        <w:r>
          <w:rPr>
            <w:sz w:val="22"/>
          </w:rPr>
          <w:t>la</w:t>
        </w:r>
        <w:r>
          <w:rPr>
            <w:spacing w:val="-2"/>
            <w:sz w:val="22"/>
          </w:rPr>
          <w:t> </w:t>
        </w:r>
        <w:r>
          <w:rPr>
            <w:sz w:val="22"/>
          </w:rPr>
          <w:t>autora)</w:t>
          <w:tab/>
          <w:t>47</w:t>
        </w:r>
      </w:hyperlink>
    </w:p>
    <w:p>
      <w:pPr>
        <w:tabs>
          <w:tab w:pos="8685" w:val="left" w:leader="dot"/>
        </w:tabs>
        <w:spacing w:before="38"/>
        <w:ind w:left="102" w:right="0" w:firstLine="0"/>
        <w:jc w:val="left"/>
        <w:rPr>
          <w:sz w:val="22"/>
        </w:rPr>
      </w:pPr>
      <w:hyperlink w:history="true" w:anchor="_bookmark19">
        <w:r>
          <w:rPr>
            <w:sz w:val="22"/>
          </w:rPr>
          <w:t>Fotografía 5 Vivienda en obra negra (foto tomada por</w:t>
        </w:r>
        <w:r>
          <w:rPr>
            <w:spacing w:val="-16"/>
            <w:sz w:val="22"/>
          </w:rPr>
          <w:t> </w:t>
        </w:r>
        <w:r>
          <w:rPr>
            <w:sz w:val="22"/>
          </w:rPr>
          <w:t>la</w:t>
        </w:r>
        <w:r>
          <w:rPr>
            <w:spacing w:val="-2"/>
            <w:sz w:val="22"/>
          </w:rPr>
          <w:t> </w:t>
        </w:r>
        <w:r>
          <w:rPr>
            <w:sz w:val="22"/>
          </w:rPr>
          <w:t>autora)</w:t>
          <w:tab/>
          <w:t>48</w:t>
        </w:r>
      </w:hyperlink>
    </w:p>
    <w:p>
      <w:pPr>
        <w:tabs>
          <w:tab w:pos="8685" w:val="left" w:leader="dot"/>
        </w:tabs>
        <w:spacing w:before="40"/>
        <w:ind w:left="102" w:right="0" w:firstLine="0"/>
        <w:jc w:val="left"/>
        <w:rPr>
          <w:sz w:val="22"/>
        </w:rPr>
      </w:pPr>
      <w:hyperlink w:history="true" w:anchor="_bookmark20">
        <w:r>
          <w:rPr>
            <w:sz w:val="22"/>
          </w:rPr>
          <w:t>Fotografía 6 Vivienda desocupada (foto tomada por</w:t>
        </w:r>
        <w:r>
          <w:rPr>
            <w:spacing w:val="-13"/>
            <w:sz w:val="22"/>
          </w:rPr>
          <w:t> </w:t>
        </w:r>
        <w:r>
          <w:rPr>
            <w:sz w:val="22"/>
          </w:rPr>
          <w:t>la</w:t>
        </w:r>
        <w:r>
          <w:rPr>
            <w:spacing w:val="-2"/>
            <w:sz w:val="22"/>
          </w:rPr>
          <w:t> </w:t>
        </w:r>
        <w:r>
          <w:rPr>
            <w:sz w:val="22"/>
          </w:rPr>
          <w:t>autora)</w:t>
          <w:tab/>
          <w:t>48</w:t>
        </w:r>
      </w:hyperlink>
    </w:p>
    <w:p>
      <w:pPr>
        <w:spacing w:after="0"/>
        <w:jc w:val="left"/>
        <w:rPr>
          <w:sz w:val="22"/>
        </w:rPr>
        <w:sectPr>
          <w:pgSz w:w="12240" w:h="15840"/>
          <w:pgMar w:header="0" w:footer="1003" w:top="1360" w:bottom="1200" w:left="1600" w:right="1580"/>
        </w:sectPr>
      </w:pPr>
    </w:p>
    <w:p>
      <w:pPr>
        <w:pStyle w:val="BodyText"/>
        <w:spacing w:before="10"/>
        <w:rPr>
          <w:sz w:val="28"/>
        </w:rPr>
      </w:pPr>
    </w:p>
    <w:p>
      <w:pPr>
        <w:pStyle w:val="Heading1"/>
        <w:spacing w:before="65"/>
        <w:ind w:right="19"/>
      </w:pPr>
      <w:bookmarkStart w:name="_bookmark0" w:id="2"/>
      <w:bookmarkEnd w:id="2"/>
      <w:r>
        <w:rPr>
          <w:b w:val="0"/>
        </w:rPr>
      </w:r>
      <w:r>
        <w:rPr/>
        <w:t>ÍNDICE DE IMÁGENES</w:t>
      </w:r>
    </w:p>
    <w:p>
      <w:pPr>
        <w:pStyle w:val="BodyText"/>
        <w:rPr>
          <w:b/>
          <w:sz w:val="28"/>
        </w:rPr>
      </w:pPr>
    </w:p>
    <w:p>
      <w:pPr>
        <w:pStyle w:val="BodyText"/>
        <w:rPr>
          <w:b/>
          <w:sz w:val="28"/>
        </w:rPr>
      </w:pPr>
    </w:p>
    <w:p>
      <w:pPr>
        <w:pStyle w:val="BodyText"/>
        <w:rPr>
          <w:b/>
          <w:sz w:val="28"/>
        </w:rPr>
      </w:pPr>
    </w:p>
    <w:p>
      <w:pPr>
        <w:tabs>
          <w:tab w:pos="7962" w:val="left" w:leader="none"/>
        </w:tabs>
        <w:spacing w:before="251"/>
        <w:ind w:left="0" w:right="34" w:firstLine="0"/>
        <w:jc w:val="center"/>
        <w:rPr>
          <w:b/>
          <w:sz w:val="22"/>
        </w:rPr>
      </w:pPr>
      <w:r>
        <w:rPr>
          <w:b/>
          <w:sz w:val="22"/>
        </w:rPr>
        <w:t>IMAGEN</w:t>
      </w:r>
      <w:r>
        <w:rPr>
          <w:b/>
          <w:spacing w:val="-2"/>
          <w:sz w:val="22"/>
        </w:rPr>
        <w:t> </w:t>
      </w:r>
      <w:r>
        <w:rPr>
          <w:b/>
          <w:sz w:val="22"/>
        </w:rPr>
        <w:t>No.</w:t>
        <w:tab/>
        <w:t>PÁGINA</w:t>
      </w:r>
    </w:p>
    <w:p>
      <w:pPr>
        <w:tabs>
          <w:tab w:pos="8930" w:val="right" w:leader="dot"/>
        </w:tabs>
        <w:spacing w:before="277"/>
        <w:ind w:left="102" w:right="0" w:firstLine="0"/>
        <w:jc w:val="left"/>
        <w:rPr>
          <w:sz w:val="22"/>
        </w:rPr>
      </w:pPr>
      <w:hyperlink w:history="true" w:anchor="_bookmark21">
        <w:r>
          <w:rPr>
            <w:sz w:val="22"/>
          </w:rPr>
          <w:t>Imagen 1 Traje</w:t>
        </w:r>
        <w:r>
          <w:rPr>
            <w:spacing w:val="-6"/>
            <w:sz w:val="22"/>
          </w:rPr>
          <w:t> </w:t>
        </w:r>
        <w:r>
          <w:rPr>
            <w:sz w:val="22"/>
          </w:rPr>
          <w:t>típico Hñähñú</w:t>
          <w:tab/>
          <w:t>51</w:t>
        </w:r>
      </w:hyperlink>
    </w:p>
    <w:p>
      <w:pPr>
        <w:tabs>
          <w:tab w:pos="8930" w:val="right" w:leader="dot"/>
        </w:tabs>
        <w:spacing w:before="40"/>
        <w:ind w:left="102" w:right="0" w:firstLine="0"/>
        <w:jc w:val="left"/>
        <w:rPr>
          <w:sz w:val="22"/>
        </w:rPr>
      </w:pPr>
      <w:hyperlink w:history="true" w:anchor="_bookmark22">
        <w:r>
          <w:rPr>
            <w:sz w:val="22"/>
          </w:rPr>
          <w:t>Imagen 2 Comida</w:t>
        </w:r>
        <w:r>
          <w:rPr>
            <w:spacing w:val="-3"/>
            <w:sz w:val="22"/>
          </w:rPr>
          <w:t> </w:t>
        </w:r>
        <w:r>
          <w:rPr>
            <w:sz w:val="22"/>
          </w:rPr>
          <w:t>típica</w:t>
        </w:r>
        <w:r>
          <w:rPr>
            <w:spacing w:val="1"/>
            <w:sz w:val="22"/>
          </w:rPr>
          <w:t> </w:t>
        </w:r>
        <w:r>
          <w:rPr>
            <w:sz w:val="22"/>
          </w:rPr>
          <w:t>Ximbo</w:t>
          <w:tab/>
          <w:t>54</w:t>
        </w:r>
      </w:hyperlink>
    </w:p>
    <w:p>
      <w:pPr>
        <w:spacing w:after="0"/>
        <w:jc w:val="left"/>
        <w:rPr>
          <w:sz w:val="22"/>
        </w:rPr>
        <w:sectPr>
          <w:footerReference w:type="default" r:id="rId7"/>
          <w:pgSz w:w="12240" w:h="15840"/>
          <w:pgMar w:footer="1003" w:header="0" w:top="1500" w:bottom="1200" w:left="1600" w:right="1580"/>
        </w:sectPr>
      </w:pPr>
    </w:p>
    <w:p>
      <w:pPr>
        <w:pStyle w:val="Heading1"/>
        <w:ind w:right="17"/>
      </w:pPr>
      <w:bookmarkStart w:name="_bookmark1" w:id="3"/>
      <w:bookmarkEnd w:id="3"/>
      <w:r>
        <w:rPr>
          <w:b w:val="0"/>
        </w:rPr>
      </w:r>
      <w:r>
        <w:rPr/>
        <w:t>ÍNDICE DE TABLAS</w:t>
      </w:r>
    </w:p>
    <w:p>
      <w:pPr>
        <w:pStyle w:val="BodyText"/>
        <w:rPr>
          <w:b/>
          <w:sz w:val="28"/>
        </w:rPr>
      </w:pPr>
    </w:p>
    <w:p>
      <w:pPr>
        <w:pStyle w:val="BodyText"/>
        <w:rPr>
          <w:b/>
          <w:sz w:val="28"/>
        </w:rPr>
      </w:pPr>
    </w:p>
    <w:p>
      <w:pPr>
        <w:pStyle w:val="BodyText"/>
        <w:rPr>
          <w:b/>
          <w:sz w:val="28"/>
        </w:rPr>
      </w:pPr>
    </w:p>
    <w:p>
      <w:pPr>
        <w:tabs>
          <w:tab w:pos="7952" w:val="left" w:leader="none"/>
        </w:tabs>
        <w:spacing w:before="213"/>
        <w:ind w:left="0" w:right="47" w:firstLine="0"/>
        <w:jc w:val="center"/>
        <w:rPr>
          <w:b/>
          <w:sz w:val="22"/>
        </w:rPr>
      </w:pPr>
      <w:r>
        <w:rPr>
          <w:b/>
          <w:sz w:val="22"/>
        </w:rPr>
        <w:t>TABLA</w:t>
      </w:r>
      <w:r>
        <w:rPr>
          <w:b/>
          <w:spacing w:val="-6"/>
          <w:sz w:val="22"/>
        </w:rPr>
        <w:t> </w:t>
      </w:r>
      <w:r>
        <w:rPr>
          <w:b/>
          <w:sz w:val="22"/>
        </w:rPr>
        <w:t>No.</w:t>
        <w:tab/>
        <w:t>PÁGINA</w:t>
      </w:r>
    </w:p>
    <w:p>
      <w:pPr>
        <w:pStyle w:val="BodyText"/>
        <w:spacing w:before="9"/>
        <w:rPr>
          <w:b/>
          <w:sz w:val="20"/>
        </w:rPr>
      </w:pPr>
    </w:p>
    <w:p>
      <w:pPr>
        <w:tabs>
          <w:tab w:pos="8685" w:val="left" w:leader="dot"/>
        </w:tabs>
        <w:spacing w:before="0"/>
        <w:ind w:left="102" w:right="0" w:firstLine="0"/>
        <w:jc w:val="left"/>
        <w:rPr>
          <w:sz w:val="22"/>
        </w:rPr>
      </w:pPr>
      <w:r>
        <w:rPr>
          <w:sz w:val="22"/>
        </w:rPr>
        <w:t>Tabla 1 Comunidades con más de 25% de población emigrantes a</w:t>
      </w:r>
      <w:r>
        <w:rPr>
          <w:spacing w:val="-19"/>
          <w:sz w:val="22"/>
        </w:rPr>
        <w:t> </w:t>
      </w:r>
      <w:r>
        <w:rPr>
          <w:sz w:val="22"/>
        </w:rPr>
        <w:t>estados unidos</w:t>
        <w:tab/>
        <w:t>26</w:t>
      </w:r>
    </w:p>
    <w:p>
      <w:pPr>
        <w:tabs>
          <w:tab w:pos="8685" w:val="left" w:leader="dot"/>
        </w:tabs>
        <w:spacing w:before="37"/>
        <w:ind w:left="102" w:right="0" w:firstLine="0"/>
        <w:jc w:val="left"/>
        <w:rPr>
          <w:sz w:val="22"/>
        </w:rPr>
      </w:pPr>
      <w:r>
        <w:rPr>
          <w:sz w:val="22"/>
        </w:rPr>
        <w:t>Tabla 2 Perfil de</w:t>
      </w:r>
      <w:r>
        <w:rPr>
          <w:spacing w:val="-6"/>
          <w:sz w:val="22"/>
        </w:rPr>
        <w:t> </w:t>
      </w:r>
      <w:r>
        <w:rPr>
          <w:sz w:val="22"/>
        </w:rPr>
        <w:t>los</w:t>
      </w:r>
      <w:r>
        <w:rPr>
          <w:spacing w:val="-1"/>
          <w:sz w:val="22"/>
        </w:rPr>
        <w:t> </w:t>
      </w:r>
      <w:r>
        <w:rPr>
          <w:sz w:val="22"/>
        </w:rPr>
        <w:t>informantes</w:t>
        <w:tab/>
        <w:t>43</w:t>
      </w:r>
    </w:p>
    <w:p>
      <w:pPr>
        <w:spacing w:after="0"/>
        <w:jc w:val="left"/>
        <w:rPr>
          <w:sz w:val="22"/>
        </w:rPr>
        <w:sectPr>
          <w:footerReference w:type="default" r:id="rId8"/>
          <w:pgSz w:w="12240" w:h="15840"/>
          <w:pgMar w:footer="1003" w:header="0" w:top="1360" w:bottom="1200" w:left="1600" w:right="1580"/>
          <w:pgNumType w:start="11"/>
        </w:sectPr>
      </w:pPr>
    </w:p>
    <w:p>
      <w:pPr>
        <w:pStyle w:val="Heading1"/>
        <w:ind w:right="17"/>
      </w:pPr>
      <w:bookmarkStart w:name="_bookmark2" w:id="4"/>
      <w:bookmarkEnd w:id="4"/>
      <w:r>
        <w:rPr>
          <w:b w:val="0"/>
        </w:rPr>
      </w:r>
      <w:r>
        <w:rPr/>
        <w:t>INTRODUCCIÓN</w:t>
      </w:r>
    </w:p>
    <w:p>
      <w:pPr>
        <w:pStyle w:val="BodyText"/>
        <w:rPr>
          <w:b/>
          <w:sz w:val="28"/>
        </w:rPr>
      </w:pPr>
    </w:p>
    <w:p>
      <w:pPr>
        <w:pStyle w:val="BodyText"/>
        <w:spacing w:before="2"/>
        <w:rPr>
          <w:b/>
          <w:sz w:val="31"/>
        </w:rPr>
      </w:pPr>
    </w:p>
    <w:p>
      <w:pPr>
        <w:pStyle w:val="BodyText"/>
        <w:spacing w:line="360" w:lineRule="auto"/>
        <w:ind w:left="102" w:right="119"/>
        <w:jc w:val="both"/>
      </w:pPr>
      <w:r>
        <w:rPr/>
        <w:t>Los impactos del turismo se han definido como los cambios que se producen a consecuencia del turismo a través del tiempo (Hall y Lew, 2009). Particularmente, el encuentro generado entre visitantes y residentes locales conduce aunque no siempre de manera inmediata a transformaciones socioculturales. Desde un inicio, la literatura sobre los impactos del turismo se concentraron en la economía que versaba, por ejemplo, sobre la contribución que el turismo tiene en la balanza de pagos y la generación de empleos, así como los impactos ambientales que éste genera en el entorno ecológico. Sin embargo, es a partir de la década de los 1970 que los efectos socioculturales del turismo han sido también reconocidos como temas de investigación (Pearce </w:t>
      </w:r>
      <w:r>
        <w:rPr>
          <w:i/>
        </w:rPr>
        <w:t>et al</w:t>
      </w:r>
      <w:r>
        <w:rPr/>
        <w:t>., 1996).</w:t>
      </w:r>
    </w:p>
    <w:p>
      <w:pPr>
        <w:pStyle w:val="BodyText"/>
        <w:spacing w:line="360" w:lineRule="auto" w:before="110"/>
        <w:ind w:left="102" w:right="115"/>
        <w:jc w:val="both"/>
      </w:pPr>
      <w:r>
        <w:rPr/>
        <w:t>Los flujos migratorios en el contexto global del siglo XXI han variado considerablemente, lo que hace cada vez más necesario comprender mejor las estrechas relaciones que existen entre el turismo y el fenómeno migratorio, la migración de mexicanos hacia Estados Unidos es un fenómeno en el que se aprecia claramente las diferencias económicas entre ambos países. Si bien no es un fenómeno nuevo, la migración de los últimos 30 años presenta características distintivas, por ejemplo el retorno de migrantes a sus comunidades de origen, fenómeno que se ha denominado turismo de nostalgia. En este sentido, aunque  no se ha estudiado a fondo el turismo de nostalgia, es indispensable reconocer los cambios culturales que se generan en las comunidades receptoras. Conocer estos cambios es importante en dos sentidos, primero para darle relevancia a la  situación social, histórica y económica de la comunidad estudiada y en segundo a nivel académico, desde diferentes disciplinas como la antropología, sociología, psicología, entre otras, visibilicen los cambios producidos por dicho</w:t>
      </w:r>
      <w:r>
        <w:rPr>
          <w:spacing w:val="-16"/>
        </w:rPr>
        <w:t> </w:t>
      </w:r>
      <w:r>
        <w:rPr/>
        <w:t>fenómeno.</w:t>
      </w:r>
    </w:p>
    <w:p>
      <w:pPr>
        <w:pStyle w:val="BodyText"/>
      </w:pPr>
    </w:p>
    <w:p>
      <w:pPr>
        <w:pStyle w:val="BodyText"/>
        <w:spacing w:line="360" w:lineRule="auto" w:before="142"/>
        <w:ind w:left="102" w:right="115"/>
        <w:jc w:val="both"/>
      </w:pPr>
      <w:r>
        <w:rPr/>
        <w:t>En este contexto la investigación aquí presentada aborda los impactos culturales del turismo de nostalgia en la comunidad llamada El Tephé, Hidalgo. El Tephé es una comunidad indígena Hñähñú que se caracteriza por la migración de sus habitantes desde los años 80 hacia    Estados Unidos, migración que es constante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por el retorno periódico. Si bien los impactos económicos del turismo de nostalgia en las comunidades receptoras han sido citados anteriormente (Reyes </w:t>
      </w:r>
      <w:r>
        <w:rPr>
          <w:i/>
        </w:rPr>
        <w:t>et  al</w:t>
      </w:r>
      <w:r>
        <w:rPr/>
        <w:t>., 2009), los impactos culturales que ha provocado el turismo de nostalgia, particularmente en esta comunidad, son totalmente desconocidos. Es así que esta investigación tuvo como objetivo identificar los impactos culturales del turismo de nostalgia en la comunidad El Tephé, a partir de la perspectiva de residentes locales.</w:t>
      </w:r>
    </w:p>
    <w:p>
      <w:pPr>
        <w:pStyle w:val="BodyText"/>
        <w:spacing w:line="360" w:lineRule="auto" w:before="204"/>
        <w:ind w:left="102" w:right="118"/>
        <w:jc w:val="both"/>
      </w:pPr>
      <w:r>
        <w:rPr/>
        <w:t>Cabe mencionar que el estudio es de carácter exploratorio, el cual es necesario cuando no se tienen estudios previos sobre el problema a investigar o cuando el investigador se enfrenta a un fenómeno poco conocido para él; los estudios exploratorios pretenden dar una visión general del fenómeno, se realizan cuando el tema elegido ha sido poco reconocido (Silva, 2007). Es así que este nivel de análisis, y con ello la investigación aquí presentada, permite solamente tener un primer acercamiento en forma exploratoria y conceptual al fenómeno del turismo de nostalgia y algunas de sus implicaciones</w:t>
      </w:r>
      <w:r>
        <w:rPr>
          <w:spacing w:val="-11"/>
        </w:rPr>
        <w:t> </w:t>
      </w:r>
      <w:r>
        <w:rPr/>
        <w:t>culturales.</w:t>
      </w:r>
    </w:p>
    <w:p>
      <w:pPr>
        <w:pStyle w:val="BodyText"/>
        <w:spacing w:line="360" w:lineRule="auto" w:before="202"/>
        <w:ind w:left="102" w:right="116"/>
        <w:jc w:val="both"/>
      </w:pPr>
      <w:r>
        <w:rPr/>
        <w:t>El trabajo está  estructurado de la siguiente manera. El Capítulo 1 da cuenta de  los dos conceptos que componen el eje central de la tesis, por un lado  los impactos socioculturales del turismo, y por otro, el turismo de nostalgia. El  Capítulo 2 versa en una descripción del contexto del estudio, El Tephé, es decir la ubicación geográfica de la comunidad, las características poblacionales, fiestas, etc. En el Capítulo 3 describo el procedimiento metodológico adoptado para alcanzar el objetivo de este estudio, las características del trabajo de campo, fechas, limitaciones, etc. Enseguida en el capítulo 4 presento los hallazgos a los que se llegó a través de este estudio. Finalmente se exponen las</w:t>
      </w:r>
      <w:r>
        <w:rPr>
          <w:spacing w:val="-22"/>
        </w:rPr>
        <w:t> </w:t>
      </w:r>
      <w:r>
        <w:rPr/>
        <w:t>conclusiones.</w:t>
      </w:r>
    </w:p>
    <w:p>
      <w:pPr>
        <w:spacing w:after="0" w:line="360" w:lineRule="auto"/>
        <w:jc w:val="both"/>
        <w:sectPr>
          <w:pgSz w:w="12240" w:h="15840"/>
          <w:pgMar w:header="0" w:footer="1003" w:top="1360" w:bottom="1200" w:left="1600" w:right="1580"/>
        </w:sectPr>
      </w:pPr>
    </w:p>
    <w:p>
      <w:pPr>
        <w:pStyle w:val="Heading1"/>
        <w:ind w:left="466"/>
        <w:jc w:val="left"/>
      </w:pPr>
      <w:bookmarkStart w:name="_bookmark3" w:id="5"/>
      <w:bookmarkEnd w:id="5"/>
      <w:r>
        <w:rPr>
          <w:b w:val="0"/>
        </w:rPr>
      </w:r>
      <w:r>
        <w:rPr/>
        <w:t>CAPÍTULO 1 IMPACTOS SOCIOCULTURALES DEL TURISMO</w:t>
      </w:r>
    </w:p>
    <w:p>
      <w:pPr>
        <w:pStyle w:val="BodyText"/>
        <w:rPr>
          <w:b/>
          <w:sz w:val="28"/>
        </w:rPr>
      </w:pPr>
    </w:p>
    <w:p>
      <w:pPr>
        <w:pStyle w:val="BodyText"/>
        <w:rPr>
          <w:b/>
          <w:sz w:val="28"/>
        </w:rPr>
      </w:pPr>
    </w:p>
    <w:p>
      <w:pPr>
        <w:pStyle w:val="Heading2"/>
        <w:numPr>
          <w:ilvl w:val="1"/>
          <w:numId w:val="6"/>
        </w:numPr>
        <w:tabs>
          <w:tab w:pos="822" w:val="left" w:leader="none"/>
        </w:tabs>
        <w:spacing w:line="240" w:lineRule="auto" w:before="171" w:after="0"/>
        <w:ind w:left="822" w:right="0" w:hanging="720"/>
        <w:jc w:val="both"/>
      </w:pPr>
      <w:bookmarkStart w:name="_bookmark4" w:id="6"/>
      <w:bookmarkEnd w:id="6"/>
      <w:r>
        <w:rPr>
          <w:b w:val="0"/>
        </w:rPr>
      </w:r>
      <w:bookmarkStart w:name="_bookmark4" w:id="7"/>
      <w:bookmarkEnd w:id="7"/>
      <w:r>
        <w:rPr/>
        <w:t>E</w:t>
      </w:r>
      <w:r>
        <w:rPr/>
        <w:t>l turismo como agente de</w:t>
      </w:r>
      <w:r>
        <w:rPr>
          <w:spacing w:val="-25"/>
        </w:rPr>
        <w:t> </w:t>
      </w:r>
      <w:r>
        <w:rPr/>
        <w:t>cambio</w:t>
      </w:r>
    </w:p>
    <w:p>
      <w:pPr>
        <w:pStyle w:val="BodyText"/>
        <w:spacing w:before="6"/>
        <w:rPr>
          <w:b/>
          <w:sz w:val="30"/>
        </w:rPr>
      </w:pPr>
    </w:p>
    <w:p>
      <w:pPr>
        <w:pStyle w:val="BodyText"/>
        <w:spacing w:line="360" w:lineRule="auto"/>
        <w:ind w:left="102" w:right="114"/>
        <w:jc w:val="both"/>
      </w:pPr>
      <w:r>
        <w:rPr/>
        <w:t>El turismo es generador de múltiples cambios en las comunidades locales que reciben a turistas. El contacto entre los visitantes y los residentes locales puede resultar benéfico o perjudicial, dependiendo de la diferencia que exista en las culturas y de las relaciones que se establezcan. Esto ha  sido evidenciado en casos distintos alrededor del mundo. Un ejemplo de esto es el trabajo de Cooper  </w:t>
      </w:r>
      <w:r>
        <w:rPr>
          <w:i/>
        </w:rPr>
        <w:t>et al. </w:t>
      </w:r>
      <w:r>
        <w:rPr/>
        <w:t>(2007) al decir que el crecimiento del número de turistas de Reino Unido durante las décadas de los sesenta y setenta produjo cambios en las preferencias en cuanto a alimentos y bebidas en ese país (siendo la paella y vino de Rioja dos de los productos que salieron</w:t>
      </w:r>
      <w:r>
        <w:rPr>
          <w:spacing w:val="-14"/>
        </w:rPr>
        <w:t> </w:t>
      </w:r>
      <w:r>
        <w:rPr/>
        <w:t>beneficiados).</w:t>
      </w:r>
    </w:p>
    <w:p>
      <w:pPr>
        <w:pStyle w:val="BodyText"/>
        <w:spacing w:line="360" w:lineRule="auto" w:before="204"/>
        <w:ind w:left="102" w:right="114"/>
        <w:jc w:val="both"/>
      </w:pPr>
      <w:r>
        <w:rPr/>
        <w:t>Por lo anterior la actividad turística llega a convertirse en un fenómeno que sitúa sus acciones en un contexto social, cultural, económico, geográfico y ecológico, el mismo que va a afectar y transformar la vida cotidiana de los pueblos y  sociedades constituidas (Castillo s/a). A este tipo de afectaciones se le ha denominado impactos del</w:t>
      </w:r>
      <w:r>
        <w:rPr>
          <w:spacing w:val="-13"/>
        </w:rPr>
        <w:t> </w:t>
      </w:r>
      <w:r>
        <w:rPr/>
        <w:t>turismo.</w:t>
      </w:r>
    </w:p>
    <w:p>
      <w:pPr>
        <w:pStyle w:val="Heading2"/>
        <w:numPr>
          <w:ilvl w:val="1"/>
          <w:numId w:val="6"/>
        </w:numPr>
        <w:tabs>
          <w:tab w:pos="822" w:val="left" w:leader="none"/>
        </w:tabs>
        <w:spacing w:line="240" w:lineRule="auto" w:before="202" w:after="0"/>
        <w:ind w:left="822" w:right="0" w:hanging="720"/>
        <w:jc w:val="both"/>
      </w:pPr>
      <w:bookmarkStart w:name="_bookmark5" w:id="8"/>
      <w:bookmarkEnd w:id="8"/>
      <w:r>
        <w:rPr>
          <w:b w:val="0"/>
        </w:rPr>
      </w:r>
      <w:bookmarkStart w:name="_bookmark5" w:id="9"/>
      <w:bookmarkEnd w:id="9"/>
      <w:r>
        <w:rPr/>
        <w:t>¿Qué</w:t>
      </w:r>
      <w:r>
        <w:rPr/>
        <w:t> es un impacto del</w:t>
      </w:r>
      <w:r>
        <w:rPr>
          <w:spacing w:val="-10"/>
        </w:rPr>
        <w:t> </w:t>
      </w:r>
      <w:r>
        <w:rPr/>
        <w:t>turismo?</w:t>
      </w:r>
    </w:p>
    <w:p>
      <w:pPr>
        <w:pStyle w:val="BodyText"/>
        <w:spacing w:before="3"/>
        <w:rPr>
          <w:b/>
          <w:sz w:val="30"/>
        </w:rPr>
      </w:pPr>
    </w:p>
    <w:p>
      <w:pPr>
        <w:pStyle w:val="BodyText"/>
        <w:spacing w:line="360" w:lineRule="auto"/>
        <w:ind w:left="102" w:right="118"/>
        <w:jc w:val="both"/>
      </w:pPr>
      <w:r>
        <w:rPr/>
        <w:t>Cada vez es mayor la preocupación de los investigadores sobre lo que se genera  a través de las relaciones entre los turistas y comunidades locales. Algunos piensan que el turismo se debe mirar más allá de sus propios intereses y considerar que dichas interacciones dan como resultado lo que se conoce como impacto, que a decir de Wall y Mathieson (2006), es un cambio dado en el tiempo como resultado de un estímulo</w:t>
      </w:r>
      <w:r>
        <w:rPr>
          <w:spacing w:val="-9"/>
        </w:rPr>
        <w:t> </w:t>
      </w:r>
      <w:r>
        <w:rPr/>
        <w:t>externo.</w:t>
      </w:r>
    </w:p>
    <w:p>
      <w:pPr>
        <w:pStyle w:val="BodyText"/>
        <w:spacing w:line="360" w:lineRule="auto" w:before="204"/>
        <w:ind w:left="102" w:right="117"/>
        <w:jc w:val="both"/>
      </w:pPr>
      <w:r>
        <w:rPr/>
        <w:t>Los cambios que se generan por el turismo pueden ser de gran alcance y extremadamente variados, pero generalmente la literatura suele clasificarlos en tres categorías: económicos, ambientales y socioculturales, aunque esto no implique que los alcances del turismo se restrinjan únicamente a dichos    ámbitos,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7"/>
        <w:jc w:val="both"/>
      </w:pPr>
      <w:r>
        <w:rPr/>
        <w:t>pues suelen abarcar varias dimensiones que se interrelacionan para dar origen a su complejidad (Monterrubio </w:t>
      </w:r>
      <w:r>
        <w:rPr>
          <w:i/>
        </w:rPr>
        <w:t>et al</w:t>
      </w:r>
      <w:r>
        <w:rPr/>
        <w:t>., 2010).</w:t>
      </w:r>
    </w:p>
    <w:p>
      <w:pPr>
        <w:pStyle w:val="Heading2"/>
        <w:numPr>
          <w:ilvl w:val="1"/>
          <w:numId w:val="6"/>
        </w:numPr>
        <w:tabs>
          <w:tab w:pos="822" w:val="left" w:leader="none"/>
        </w:tabs>
        <w:spacing w:line="240" w:lineRule="auto" w:before="205" w:after="0"/>
        <w:ind w:left="822" w:right="0" w:hanging="720"/>
        <w:jc w:val="both"/>
      </w:pPr>
      <w:bookmarkStart w:name="_bookmark6" w:id="10"/>
      <w:bookmarkEnd w:id="10"/>
      <w:r>
        <w:rPr>
          <w:b w:val="0"/>
        </w:rPr>
      </w:r>
      <w:bookmarkStart w:name="_bookmark6" w:id="11"/>
      <w:bookmarkEnd w:id="11"/>
      <w:r>
        <w:rPr/>
        <w:t>Impact</w:t>
      </w:r>
      <w:r>
        <w:rPr/>
        <w:t>os</w:t>
      </w:r>
      <w:r>
        <w:rPr>
          <w:spacing w:val="-6"/>
        </w:rPr>
        <w:t> </w:t>
      </w:r>
      <w:r>
        <w:rPr/>
        <w:t>ambientales</w:t>
      </w:r>
    </w:p>
    <w:p>
      <w:pPr>
        <w:pStyle w:val="BodyText"/>
        <w:spacing w:before="6"/>
        <w:rPr>
          <w:b/>
          <w:sz w:val="30"/>
        </w:rPr>
      </w:pPr>
    </w:p>
    <w:p>
      <w:pPr>
        <w:pStyle w:val="BodyText"/>
        <w:spacing w:line="360" w:lineRule="auto"/>
        <w:ind w:left="102" w:right="118"/>
        <w:jc w:val="both"/>
      </w:pPr>
      <w:r>
        <w:rPr/>
        <w:t>La realización de toda actividad turística implica la utilización de recursos y en consecuencia el entorno resulta necesariamente afectado, a su vez cualquier cambio se puede considerar como positivo o negativo. Un impacto ambiental constituye una alteración producida por la acción de las personas o la propia naturaleza sobre las condiciones normales del entorno (LGEEPA, 2004), en este sentido, tanto las actividades antropogénicas vinculadas con la transformación de los recursos, así como los resultados de los fenómenos meteorológicos producen modificaciones en el ambiente.</w:t>
      </w:r>
    </w:p>
    <w:p>
      <w:pPr>
        <w:pStyle w:val="BodyText"/>
        <w:spacing w:line="360" w:lineRule="auto" w:before="206"/>
        <w:ind w:left="102" w:right="117"/>
        <w:jc w:val="both"/>
      </w:pPr>
      <w:r>
        <w:rPr/>
        <w:t>El turismo puede propiciar preocupaciones por el medio ambiente tales como: revalorización del entorno natural, adopción de medidas para preservar el medio ambiente, establecimiento de estándares de calidad e iniciativas de planificación, considerados como beneficios a partir del fortalecimiento de una conciencia para  el adecuado aprovechamiento de los recursos naturales por parte de los visitantes. Por otro lado la concentración masiva de turistas en determinado espacio indudablemente impactará el medio en el que se desarrolle el turismo, por ejemplo esto puede reflejarse en arquitectura no integrada al paisaje, contaminación acústica, la polución del aire, erosión y la rivalidad en la utilización de los recursos naturales.</w:t>
      </w:r>
    </w:p>
    <w:p>
      <w:pPr>
        <w:pStyle w:val="BodyText"/>
        <w:spacing w:line="360" w:lineRule="auto" w:before="206"/>
        <w:ind w:left="102" w:right="120"/>
        <w:jc w:val="both"/>
      </w:pPr>
      <w:r>
        <w:rPr/>
        <w:t>Existen casos documentados sobre los impactos ambientales del turismo. Por ejemplo en Suiza la montaña se ha convertido en un destino congestionado, el aumento de las estaciones de esquí, y de rutas para senderistas, etcétera, ha ocasionado graves problemas de deforestación y degradación de las zonas alpinas. Asimismo, en la zona del mediterráneo, la rápida urbanización de las costas desde los años cincuenta y sesenta del siglo pasado, ha dado lugar a una sobreexplotación de recursos, aunada a una masiva urbanización, destrucción de espacios con gran valor paisajístico, zonas húmedas, etcétera.</w:t>
      </w:r>
    </w:p>
    <w:p>
      <w:pPr>
        <w:spacing w:after="0" w:line="360" w:lineRule="auto"/>
        <w:jc w:val="both"/>
        <w:sectPr>
          <w:pgSz w:w="12240" w:h="15840"/>
          <w:pgMar w:header="0" w:footer="1003" w:top="1360" w:bottom="1200" w:left="1600" w:right="1580"/>
        </w:sectPr>
      </w:pPr>
    </w:p>
    <w:p>
      <w:pPr>
        <w:pStyle w:val="BodyText"/>
        <w:spacing w:line="360" w:lineRule="auto" w:before="56"/>
        <w:ind w:left="102" w:right="124"/>
        <w:jc w:val="both"/>
      </w:pPr>
      <w:r>
        <w:rPr/>
        <w:t>En el caso de España, cuyo desarrollo turístico se ha basado en oportunidades del mercado (por ejemplo paquetes todo incluido), los prestadores de servicio han desarrollado durante años su actividad turística espontánea y desordenada, sin atender a la conservación y mejora del entorno natural. Como resultado, la destrucción del paisaje ha sido intensa, especialmente en las zonas costeras donde se concentra un número elevado de visitantes (Sancho, 2008).</w:t>
      </w:r>
    </w:p>
    <w:p>
      <w:pPr>
        <w:pStyle w:val="BodyText"/>
        <w:spacing w:line="360" w:lineRule="auto" w:before="204"/>
        <w:ind w:left="102" w:right="113"/>
        <w:jc w:val="both"/>
      </w:pPr>
      <w:r>
        <w:rPr/>
        <w:t>En la actualidad, las principales preocupaciones con respecto al medio ambiente – como elemento integrante de dicho entorno- se centran en el proceso de degradación en los recursos naturales, por lo tanto se crean actividades que son más amigables con el medio ambiente para la conservación y preservación del mismo.</w:t>
      </w:r>
    </w:p>
    <w:p>
      <w:pPr>
        <w:pStyle w:val="Heading2"/>
        <w:numPr>
          <w:ilvl w:val="1"/>
          <w:numId w:val="6"/>
        </w:numPr>
        <w:tabs>
          <w:tab w:pos="822" w:val="left" w:leader="none"/>
        </w:tabs>
        <w:spacing w:line="240" w:lineRule="auto" w:before="202" w:after="0"/>
        <w:ind w:left="822" w:right="0" w:hanging="720"/>
        <w:jc w:val="both"/>
      </w:pPr>
      <w:bookmarkStart w:name="_bookmark7" w:id="12"/>
      <w:bookmarkEnd w:id="12"/>
      <w:r>
        <w:rPr>
          <w:b w:val="0"/>
        </w:rPr>
      </w:r>
      <w:bookmarkStart w:name="_bookmark7" w:id="13"/>
      <w:bookmarkEnd w:id="13"/>
      <w:r>
        <w:rPr/>
        <w:t>Impact</w:t>
      </w:r>
      <w:r>
        <w:rPr/>
        <w:t>os</w:t>
      </w:r>
      <w:r>
        <w:rPr>
          <w:spacing w:val="-5"/>
        </w:rPr>
        <w:t> </w:t>
      </w:r>
      <w:r>
        <w:rPr/>
        <w:t>económicos</w:t>
      </w:r>
    </w:p>
    <w:p>
      <w:pPr>
        <w:pStyle w:val="BodyText"/>
        <w:spacing w:before="3"/>
        <w:rPr>
          <w:b/>
          <w:sz w:val="30"/>
        </w:rPr>
      </w:pPr>
    </w:p>
    <w:p>
      <w:pPr>
        <w:pStyle w:val="BodyText"/>
        <w:spacing w:line="360" w:lineRule="auto"/>
        <w:ind w:left="102" w:right="118"/>
        <w:jc w:val="both"/>
      </w:pPr>
      <w:r>
        <w:rPr/>
        <w:t>El turismo es percibido como una industria que tiene un impacto positivo sobre el crecimiento y el desarrollo económico. Los beneficios económicos son probablemente la principal razón por la cual muchos países están interesados en el desarrollo del turismo. En este sentido la contribución de este sector a la economía mundial es, evidentemente, importante; el turismo es actualmente la segunda industria más grande del mundo, siendo su contribución estimada 10% del PIB mundial (Brida </w:t>
      </w:r>
      <w:r>
        <w:rPr>
          <w:i/>
        </w:rPr>
        <w:t>et al.,</w:t>
      </w:r>
      <w:r>
        <w:rPr>
          <w:i/>
          <w:spacing w:val="-10"/>
        </w:rPr>
        <w:t> </w:t>
      </w:r>
      <w:r>
        <w:rPr/>
        <w:t>2008).</w:t>
      </w:r>
    </w:p>
    <w:p>
      <w:pPr>
        <w:pStyle w:val="BodyText"/>
        <w:spacing w:line="360" w:lineRule="auto" w:before="204"/>
        <w:ind w:left="102" w:right="118"/>
        <w:jc w:val="both"/>
      </w:pPr>
      <w:r>
        <w:rPr/>
        <w:t>Pero como toda actividad, en el turismo se reconocen impactos económicos positivos, que dentro de los principales están los ingresos por divisas, la contribución a los ingresos públicos, la generación de empleo y oportunidades de negocios. Los impactos económicos negativos se ven reflejados en la dependencia excesiva de capital extranjero, competencia del turismo con otros sectores económicos, menor capacidad económica de la comunidad local y fluctuaciones de la demanda</w:t>
      </w:r>
      <w:r>
        <w:rPr>
          <w:spacing w:val="-13"/>
        </w:rPr>
        <w:t> </w:t>
      </w:r>
      <w:r>
        <w:rPr/>
        <w:t>turística.</w:t>
      </w:r>
    </w:p>
    <w:p>
      <w:pPr>
        <w:pStyle w:val="BodyText"/>
        <w:spacing w:line="360" w:lineRule="auto" w:before="204"/>
        <w:ind w:left="102" w:right="116"/>
        <w:jc w:val="both"/>
      </w:pPr>
      <w:r>
        <w:rPr/>
        <w:t>Los impactos que el turismo tiene en las estructuras económicas locales también han sido evidenciados en distintos casos. Un ejemplo de ello es lo documentado acerca del consumo realizado por los turistas en las islas Canarias, el cual  generó</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importaciones directas que se han estimado en 64,000 millones de euros. A su vez, el turismo originó incremento en las rentas e importaciones inducidas por un estimado de 133,000 millones de euros (Hernández, 2004). Del mismo modo en Japón y sus lugares para descanso y recreación tuvieron una notable alza en la visita de turistas. Para el año 1994 se generaron 400 millones de dólares, mientras que para el año 2000 fue de 650 millones de dólares, lo cual hace notar que el turismo genera destacablemente un impacto económico para la nación (Franco y García,</w:t>
      </w:r>
      <w:r>
        <w:rPr>
          <w:spacing w:val="-5"/>
        </w:rPr>
        <w:t> </w:t>
      </w:r>
      <w:r>
        <w:rPr/>
        <w:t>1999).</w:t>
      </w:r>
    </w:p>
    <w:p>
      <w:pPr>
        <w:pStyle w:val="BodyText"/>
        <w:spacing w:line="360" w:lineRule="auto" w:before="202"/>
        <w:ind w:left="102" w:right="126"/>
        <w:jc w:val="both"/>
      </w:pPr>
      <w:r>
        <w:rPr/>
        <w:t>Por lo anterior, para muchos países el turismo es uno de los mayores  empleadores y exportadores de servicios, al mismo tiempo que se le considera como impulsor para países en vías de</w:t>
      </w:r>
      <w:r>
        <w:rPr>
          <w:spacing w:val="-16"/>
        </w:rPr>
        <w:t> </w:t>
      </w:r>
      <w:r>
        <w:rPr/>
        <w:t>desarrollo.</w:t>
      </w:r>
    </w:p>
    <w:p>
      <w:pPr>
        <w:pStyle w:val="Heading2"/>
        <w:numPr>
          <w:ilvl w:val="1"/>
          <w:numId w:val="6"/>
        </w:numPr>
        <w:tabs>
          <w:tab w:pos="822" w:val="left" w:leader="none"/>
        </w:tabs>
        <w:spacing w:line="240" w:lineRule="auto" w:before="202" w:after="0"/>
        <w:ind w:left="822" w:right="0" w:hanging="720"/>
        <w:jc w:val="both"/>
      </w:pPr>
      <w:bookmarkStart w:name="_bookmark8" w:id="14"/>
      <w:bookmarkEnd w:id="14"/>
      <w:r>
        <w:rPr>
          <w:b w:val="0"/>
        </w:rPr>
      </w:r>
      <w:bookmarkStart w:name="_bookmark8" w:id="15"/>
      <w:bookmarkEnd w:id="15"/>
      <w:r>
        <w:rPr/>
        <w:t>Impact</w:t>
      </w:r>
      <w:r>
        <w:rPr/>
        <w:t>os</w:t>
      </w:r>
      <w:r>
        <w:rPr>
          <w:spacing w:val="-6"/>
        </w:rPr>
        <w:t> </w:t>
      </w:r>
      <w:r>
        <w:rPr/>
        <w:t>socioculturales</w:t>
      </w:r>
    </w:p>
    <w:p>
      <w:pPr>
        <w:pStyle w:val="BodyText"/>
        <w:spacing w:before="3"/>
        <w:rPr>
          <w:b/>
          <w:sz w:val="30"/>
        </w:rPr>
      </w:pPr>
    </w:p>
    <w:p>
      <w:pPr>
        <w:pStyle w:val="BodyText"/>
        <w:spacing w:line="360" w:lineRule="auto"/>
        <w:ind w:left="102" w:right="117"/>
        <w:jc w:val="both"/>
      </w:pPr>
      <w:r>
        <w:rPr/>
        <w:t>A lo largo de la historia, ni siquiera se ha tenido la conciencia de que existía la cultura tal y como hoy se conoce. Hubo que esperar hasta el siglo XIX para que la antropología incluyera en la cultura cualquier ámbito de una sociedad y después la antropología cultural demostrara el papel determinante de la cultura sobre la sociedad y sobre el propio individuo. En 1871, el antropólogo E. B Taylor define cultura como un conjunto complejo que incluye conocimientos, creencias, arte, moral, derecho, costumbres y otras capacidades o hábitos adquiridos por el ser humano como miembro de una sociedad (Mosterín, 2006).</w:t>
      </w:r>
    </w:p>
    <w:p>
      <w:pPr>
        <w:pStyle w:val="BodyText"/>
        <w:spacing w:line="360" w:lineRule="auto" w:before="204"/>
        <w:ind w:left="102" w:right="119"/>
        <w:jc w:val="both"/>
      </w:pPr>
      <w:r>
        <w:rPr/>
        <w:t>Sin embargo, no todos los antropólogos aceptaron esta definición relativamente moderna. Tanto así, que hasta no hace mucho se consideraba cultura al conjunto de actividades que los ciudadanos de la alta sociedad realizaban en su tiempo libre de ocio como: ópera, ballet o visita a museos (Mosterín,</w:t>
      </w:r>
      <w:r>
        <w:rPr>
          <w:spacing w:val="-25"/>
        </w:rPr>
        <w:t> </w:t>
      </w:r>
      <w:r>
        <w:rPr/>
        <w:t>2006).</w:t>
      </w:r>
    </w:p>
    <w:p>
      <w:pPr>
        <w:pStyle w:val="BodyText"/>
      </w:pPr>
    </w:p>
    <w:p>
      <w:pPr>
        <w:pStyle w:val="BodyText"/>
        <w:spacing w:line="360" w:lineRule="auto" w:before="142"/>
        <w:ind w:left="102" w:right="117"/>
        <w:jc w:val="both"/>
      </w:pPr>
      <w:r>
        <w:rPr/>
        <w:t>En la actualidad la cultura es definida de muchas maneras, pero sin duda como menciona White (1982), es una organización de fenómenos – actos (pautas de conducta), objetos (herramientas; cosas hechas con herramientas), ideas (creencias, conocimientos), y sentimientos (actitudes, valores).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Debido a la relación entre cultura y sociedad, es preciso indicar que las relaciones entre visitantes y residentes locales en destinos turísticos traen consigo cambios en las estructuras de vida de las comunidades locales, a este tipo de cambios se  le conocen como impactos</w:t>
      </w:r>
      <w:r>
        <w:rPr>
          <w:spacing w:val="-12"/>
        </w:rPr>
        <w:t> </w:t>
      </w:r>
      <w:r>
        <w:rPr/>
        <w:t>socioculturales.</w:t>
      </w:r>
    </w:p>
    <w:p>
      <w:pPr>
        <w:pStyle w:val="BodyText"/>
        <w:spacing w:line="360" w:lineRule="auto" w:before="204"/>
        <w:ind w:left="102" w:right="122"/>
        <w:jc w:val="both"/>
      </w:pPr>
      <w:r>
        <w:rPr/>
        <w:t>Aunque raramente se han diferenciado los impactos sociales y culturales del turismo, los impactos culturales se traducen en los cambios experimentados a corto o largo plazo en la vida de las comunidades locales como de los turistas mismos. Mientras que los impactos sociales implican los cambios en los estilos y calidad de vida de las comunidades y los visitantes, los impactos culturales se concentran en los cambios a largo plazo en las normas, valores y estilos de vida (Murphy, 1985 citado en Monterrubio, 2011). Sin embargo, es importante reconocer que no es tan sencillo diferenciar categóricamente ambas dimensiones pues suelen traslaparse comúnmente, por lo que generalmente se llaman  impactos</w:t>
      </w:r>
      <w:r>
        <w:rPr>
          <w:spacing w:val="-8"/>
        </w:rPr>
        <w:t> </w:t>
      </w:r>
      <w:r>
        <w:rPr/>
        <w:t>socioculturales.</w:t>
      </w:r>
    </w:p>
    <w:p>
      <w:pPr>
        <w:pStyle w:val="BodyText"/>
        <w:spacing w:line="360" w:lineRule="auto" w:before="204"/>
        <w:ind w:left="102" w:right="119"/>
        <w:jc w:val="both"/>
      </w:pPr>
      <w:r>
        <w:rPr/>
        <w:t>Como consecuencia, la investigación del impacto cultural del turismo ha estado centrada en tres formas culturales (Mathieson y Wall, 1990):</w:t>
      </w:r>
    </w:p>
    <w:p>
      <w:pPr>
        <w:pStyle w:val="ListParagraph"/>
        <w:numPr>
          <w:ilvl w:val="0"/>
          <w:numId w:val="7"/>
        </w:numPr>
        <w:tabs>
          <w:tab w:pos="489" w:val="left" w:leader="none"/>
        </w:tabs>
        <w:spacing w:line="360" w:lineRule="auto" w:before="202" w:after="0"/>
        <w:ind w:left="102" w:right="120" w:firstLine="0"/>
        <w:jc w:val="both"/>
        <w:rPr>
          <w:sz w:val="24"/>
        </w:rPr>
      </w:pPr>
      <w:r>
        <w:rPr>
          <w:i/>
          <w:sz w:val="24"/>
        </w:rPr>
        <w:t>Formas de cultura que son especialmente animadas y pueden involucrar </w:t>
      </w:r>
      <w:r>
        <w:rPr>
          <w:i/>
          <w:sz w:val="24"/>
        </w:rPr>
        <w:t>hechos especiales para la sociedad anfitriona: </w:t>
      </w:r>
      <w:r>
        <w:rPr>
          <w:sz w:val="24"/>
        </w:rPr>
        <w:t>con el avance de la actividad turística, eventos privados como las ceremonias religiosas o las fiestas populares han sido afectados tanto positiva como negativamente. En cuanto al primer aspecto, muchas han sido las fiestas y ceremonias que se han salvado de la desaparición o se han creado al convertirse en un acto de interés turístico. Ahora bien, muchos rituales han sido desvirtuados para su explotación como fenómenos extraños, exóticos y típicos, pasando a ser productos artificiales ofertados en el mercado del</w:t>
      </w:r>
      <w:r>
        <w:rPr>
          <w:spacing w:val="-8"/>
          <w:sz w:val="24"/>
        </w:rPr>
        <w:t> </w:t>
      </w:r>
      <w:r>
        <w:rPr>
          <w:sz w:val="24"/>
        </w:rPr>
        <w:t>turismo.</w:t>
      </w:r>
    </w:p>
    <w:p>
      <w:pPr>
        <w:pStyle w:val="ListParagraph"/>
        <w:numPr>
          <w:ilvl w:val="0"/>
          <w:numId w:val="7"/>
        </w:numPr>
        <w:tabs>
          <w:tab w:pos="443" w:val="left" w:leader="none"/>
        </w:tabs>
        <w:spacing w:line="360" w:lineRule="auto" w:before="202" w:after="0"/>
        <w:ind w:left="102" w:right="117" w:firstLine="0"/>
        <w:jc w:val="both"/>
        <w:rPr>
          <w:sz w:val="24"/>
        </w:rPr>
      </w:pPr>
      <w:r>
        <w:rPr>
          <w:i/>
          <w:sz w:val="24"/>
        </w:rPr>
        <w:t>Formas de cultura reflejadas en la vida diaria del área de destino: </w:t>
      </w:r>
      <w:r>
        <w:rPr>
          <w:sz w:val="24"/>
        </w:rPr>
        <w:t>dentro de éstas, destacan junto al crecimiento de la estandarización de los bienes de consumo, los cambios de uso del lenguaje, tal vez por influencia directa del negocio con la empresa</w:t>
      </w:r>
      <w:r>
        <w:rPr>
          <w:spacing w:val="-11"/>
          <w:sz w:val="24"/>
        </w:rPr>
        <w:t> </w:t>
      </w:r>
      <w:r>
        <w:rPr>
          <w:sz w:val="24"/>
        </w:rPr>
        <w:t>hotelera.</w:t>
      </w:r>
    </w:p>
    <w:p>
      <w:pPr>
        <w:spacing w:after="0" w:line="360" w:lineRule="auto"/>
        <w:jc w:val="both"/>
        <w:rPr>
          <w:sz w:val="24"/>
        </w:rPr>
        <w:sectPr>
          <w:pgSz w:w="12240" w:h="15840"/>
          <w:pgMar w:header="0" w:footer="1003" w:top="1360" w:bottom="1200" w:left="1600" w:right="1580"/>
        </w:sectPr>
      </w:pPr>
    </w:p>
    <w:p>
      <w:pPr>
        <w:pStyle w:val="ListParagraph"/>
        <w:numPr>
          <w:ilvl w:val="0"/>
          <w:numId w:val="7"/>
        </w:numPr>
        <w:tabs>
          <w:tab w:pos="486" w:val="left" w:leader="none"/>
        </w:tabs>
        <w:spacing w:line="362" w:lineRule="auto" w:before="51" w:after="0"/>
        <w:ind w:left="102" w:right="117" w:firstLine="0"/>
        <w:jc w:val="both"/>
        <w:rPr>
          <w:sz w:val="24"/>
        </w:rPr>
      </w:pPr>
      <w:r>
        <w:rPr>
          <w:i/>
          <w:sz w:val="24"/>
        </w:rPr>
        <w:t>Formas de cultura que son inanimadas (la cultura material): </w:t>
      </w:r>
      <w:r>
        <w:rPr>
          <w:sz w:val="24"/>
        </w:rPr>
        <w:t>incluyen esta categoría la arquitectura, los monumentos, lugares históricos, además de la producción artística y</w:t>
      </w:r>
      <w:r>
        <w:rPr>
          <w:spacing w:val="-7"/>
          <w:sz w:val="24"/>
        </w:rPr>
        <w:t> </w:t>
      </w:r>
      <w:r>
        <w:rPr>
          <w:sz w:val="24"/>
        </w:rPr>
        <w:t>artesanal.</w:t>
      </w:r>
    </w:p>
    <w:p>
      <w:pPr>
        <w:pStyle w:val="BodyText"/>
        <w:spacing w:line="360" w:lineRule="auto" w:before="201"/>
        <w:ind w:left="102" w:right="118"/>
        <w:jc w:val="both"/>
      </w:pPr>
      <w:r>
        <w:rPr/>
        <w:t>Un tipo específico de cambio cultural que suele causar preocupación es la aculturación, que es el resultado de un proceso de intercambio de rasgos  culturales producto de un contacto directo y continuo entre dos o más grupos. En este proceso las culturas en contacto pueden verse alteradas, cada una cambia partes de ella, combina y mezcla rasgos pero cada una se mantiene distinta (Mendoza y Leal,</w:t>
      </w:r>
      <w:r>
        <w:rPr>
          <w:spacing w:val="-12"/>
        </w:rPr>
        <w:t> </w:t>
      </w:r>
      <w:r>
        <w:rPr/>
        <w:t>2010).</w:t>
      </w:r>
    </w:p>
    <w:p>
      <w:pPr>
        <w:pStyle w:val="BodyText"/>
        <w:spacing w:line="360" w:lineRule="auto" w:before="202"/>
        <w:ind w:left="102" w:right="121"/>
        <w:jc w:val="both"/>
      </w:pPr>
      <w:r>
        <w:rPr/>
        <w:t>Si lo anterior trae nuevas formas de intercambio, algunos autores argumentan que, dependiendo del tipo de turista que visita la región, el impacto sociocultural tendrá consecuencias en la comunidad receptora. En todo caso, como afirma Pearce (1989), incluso cuando el contacto entre turistas y residentes no es muy profundo, la observación del comportamiento de los visitantes puede inducir a los cambios  en las actitudes, valores y comportamiento por parte de los habitantes de la región receptora, a este fenómeno se le conoce como efecto</w:t>
      </w:r>
      <w:r>
        <w:rPr>
          <w:spacing w:val="-25"/>
        </w:rPr>
        <w:t> </w:t>
      </w:r>
      <w:r>
        <w:rPr/>
        <w:t>demostración.</w:t>
      </w:r>
    </w:p>
    <w:p>
      <w:pPr>
        <w:pStyle w:val="BodyText"/>
        <w:spacing w:line="360" w:lineRule="auto" w:before="204"/>
        <w:ind w:left="102" w:right="116"/>
        <w:jc w:val="both"/>
      </w:pPr>
      <w:r>
        <w:rPr/>
        <w:t>En definitiva los impactos socioculturales son un proceso de cambio, en el cual las zonas que reciben turistas con frecuencia suelen impactar ya sea de forma  positiva o negativa, por eso es importante que se profundice en la investigación para que en los futuros destinos se tomen en cuenta los resultados generados potencialmente en las investigaciones relacionadas con los impactos socioculturales.</w:t>
      </w:r>
    </w:p>
    <w:p>
      <w:pPr>
        <w:pStyle w:val="BodyText"/>
        <w:spacing w:line="360" w:lineRule="auto" w:before="202"/>
        <w:ind w:left="102" w:right="117"/>
        <w:jc w:val="both"/>
      </w:pPr>
      <w:r>
        <w:rPr/>
        <w:t>Por lo anterior, después de los estudios económicos, las principales aportaciones en materia de turismo han sido los realizados por la sociología y la antropología, de ahí que el turismo sea concebido como un fenómeno sociocultural, y no precisamente porque se le relacione con lo que ha sido llamado el </w:t>
      </w:r>
      <w:r>
        <w:rPr>
          <w:i/>
        </w:rPr>
        <w:t>movimiento </w:t>
      </w:r>
      <w:r>
        <w:rPr>
          <w:i/>
        </w:rPr>
        <w:t>masivo de personas, </w:t>
      </w:r>
      <w:r>
        <w:rPr/>
        <w:t>sino porque en su manifestación se observan impactos en diversos ámbitos de la vida de las comunidades donde éste se presenta (Castillo, 2005).</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Es por ello que al abordar el estudio del turismo bajo la concepción sociocultural  es necesario reflexionar no sólo la problemática que plantea el análisis de  aspectos como el tiempo libre, la sociedad de consumo, las tendencias culturales  y sociales, los motivos y gustos que derivan en condiciones culturales particulares como la elección de determinados destinos turísticos, sino también involucra el análisis de la condición contextual de la actividad turística centrada en sus políticas, modelos de conducción que impactan la vida comunitaria, </w:t>
      </w:r>
      <w:r>
        <w:rPr>
          <w:spacing w:val="3"/>
        </w:rPr>
        <w:t>la </w:t>
      </w:r>
      <w:r>
        <w:rPr/>
        <w:t>globalización de prácticas económicas, sociales y culturales, la modernización de los destinos turísticos, hasta la aportación de esquemas conceptuales y teóricos que vayan precisando el objeto “turismo” en esta orientación (Castillo,</w:t>
      </w:r>
      <w:r>
        <w:rPr>
          <w:spacing w:val="-25"/>
        </w:rPr>
        <w:t> </w:t>
      </w:r>
      <w:r>
        <w:rPr/>
        <w:t>2005).</w:t>
      </w:r>
    </w:p>
    <w:p>
      <w:pPr>
        <w:pStyle w:val="Heading2"/>
        <w:numPr>
          <w:ilvl w:val="1"/>
          <w:numId w:val="6"/>
        </w:numPr>
        <w:tabs>
          <w:tab w:pos="822" w:val="left" w:leader="none"/>
        </w:tabs>
        <w:spacing w:line="240" w:lineRule="auto" w:before="202" w:after="0"/>
        <w:ind w:left="822" w:right="0" w:hanging="720"/>
        <w:jc w:val="both"/>
      </w:pPr>
      <w:bookmarkStart w:name="_bookmark9" w:id="16"/>
      <w:bookmarkEnd w:id="16"/>
      <w:r>
        <w:rPr>
          <w:b w:val="0"/>
        </w:rPr>
      </w:r>
      <w:bookmarkStart w:name="_bookmark9" w:id="17"/>
      <w:bookmarkEnd w:id="17"/>
      <w:r>
        <w:rPr/>
        <w:t>A</w:t>
      </w:r>
      <w:r>
        <w:rPr/>
        <w:t>lgunas evidencias de impactos culturales del</w:t>
      </w:r>
      <w:r>
        <w:rPr>
          <w:spacing w:val="-14"/>
        </w:rPr>
        <w:t> </w:t>
      </w:r>
      <w:r>
        <w:rPr/>
        <w:t>turismo</w:t>
      </w:r>
    </w:p>
    <w:p>
      <w:pPr>
        <w:pStyle w:val="BodyText"/>
        <w:spacing w:before="3"/>
        <w:rPr>
          <w:b/>
          <w:sz w:val="30"/>
        </w:rPr>
      </w:pPr>
    </w:p>
    <w:p>
      <w:pPr>
        <w:pStyle w:val="BodyText"/>
        <w:spacing w:line="360" w:lineRule="auto"/>
        <w:ind w:left="102" w:right="117"/>
        <w:jc w:val="both"/>
      </w:pPr>
      <w:r>
        <w:rPr/>
        <w:t>Las artesanías conforman un elemento importante en el consumo del turista no necesariamente por el valor que éstas poseen originalmente, sino frecuentemente como una evidencia de haber visitado ciertos lugares. En el caso de la artesanía, la fabricación de piezas antiguas falsas para el mercado turístico explota el valor de una gran variedad de artesanías originales guiando incluso a la fabricación de artesanías inexistentes en la historia de algunos países de Medio Oriente (Loeb, 1989).</w:t>
      </w:r>
    </w:p>
    <w:p>
      <w:pPr>
        <w:pStyle w:val="BodyText"/>
        <w:spacing w:line="360" w:lineRule="auto" w:before="204"/>
        <w:ind w:left="102" w:right="118"/>
        <w:jc w:val="both"/>
      </w:pPr>
      <w:r>
        <w:rPr/>
        <w:t>Dentro de las relaciones del turismo y la religión existen casos en donde el turismo cambia por completo el significado de los ritos que en algunas partes del mundo se realizan. Tal es el caso del ritual Hindú, en muchos destinos religiosos de la India, los residentes locales queman velas, hacen adoración con flores e incluso sacrifican animales. Sin embargo la llegada masiva de turistas a estos destinos religiosos y en consecuencia la contaminación del río Ganges, ha cambiado el significado del ritual, ya que originalmente se hacía con flores y Prasad (alimentos) y actualmente solo sacrifican animales (Alley,</w:t>
      </w:r>
      <w:r>
        <w:rPr>
          <w:spacing w:val="-20"/>
        </w:rPr>
        <w:t> </w:t>
      </w:r>
      <w:r>
        <w:rPr/>
        <w:t>1998).</w:t>
      </w:r>
    </w:p>
    <w:p>
      <w:pPr>
        <w:pStyle w:val="BodyText"/>
        <w:spacing w:line="360" w:lineRule="auto" w:before="204"/>
        <w:ind w:left="102" w:right="123"/>
        <w:jc w:val="both"/>
      </w:pPr>
      <w:r>
        <w:rPr/>
        <w:t>Los efectos que tiene el turismo en la parte cultural en cualquier parte del mundo en ocasiones suelen ser irreversibles, la capacidad de carga no es un tema de investigación</w:t>
      </w:r>
      <w:r>
        <w:rPr>
          <w:spacing w:val="53"/>
        </w:rPr>
        <w:t> </w:t>
      </w:r>
      <w:r>
        <w:rPr/>
        <w:t>muy</w:t>
      </w:r>
      <w:r>
        <w:rPr>
          <w:spacing w:val="50"/>
        </w:rPr>
        <w:t> </w:t>
      </w:r>
      <w:r>
        <w:rPr/>
        <w:t>estudiado</w:t>
      </w:r>
      <w:r>
        <w:rPr>
          <w:spacing w:val="52"/>
        </w:rPr>
        <w:t> </w:t>
      </w:r>
      <w:r>
        <w:rPr/>
        <w:t>y</w:t>
      </w:r>
      <w:r>
        <w:rPr>
          <w:spacing w:val="50"/>
        </w:rPr>
        <w:t> </w:t>
      </w:r>
      <w:r>
        <w:rPr/>
        <w:t>por</w:t>
      </w:r>
      <w:r>
        <w:rPr>
          <w:spacing w:val="51"/>
        </w:rPr>
        <w:t> </w:t>
      </w:r>
      <w:r>
        <w:rPr/>
        <w:t>consecuencia</w:t>
      </w:r>
      <w:r>
        <w:rPr>
          <w:spacing w:val="52"/>
        </w:rPr>
        <w:t> </w:t>
      </w:r>
      <w:r>
        <w:rPr/>
        <w:t>las</w:t>
      </w:r>
      <w:r>
        <w:rPr>
          <w:spacing w:val="52"/>
        </w:rPr>
        <w:t> </w:t>
      </w:r>
      <w:r>
        <w:rPr/>
        <w:t>comunidades</w:t>
      </w:r>
      <w:r>
        <w:rPr>
          <w:spacing w:val="51"/>
        </w:rPr>
        <w:t> </w:t>
      </w:r>
      <w:r>
        <w:rPr/>
        <w:t>que</w:t>
      </w:r>
      <w:r>
        <w:rPr>
          <w:spacing w:val="52"/>
        </w:rPr>
        <w:t> </w:t>
      </w:r>
      <w:r>
        <w:rPr/>
        <w:t>reciben</w:t>
      </w:r>
    </w:p>
    <w:p>
      <w:pPr>
        <w:spacing w:after="0" w:line="360" w:lineRule="auto"/>
        <w:jc w:val="both"/>
        <w:sectPr>
          <w:footerReference w:type="default" r:id="rId9"/>
          <w:pgSz w:w="12240" w:h="15840"/>
          <w:pgMar w:footer="1003" w:header="0" w:top="1360" w:bottom="1200" w:left="1600" w:right="1580"/>
        </w:sectPr>
      </w:pPr>
    </w:p>
    <w:p>
      <w:pPr>
        <w:pStyle w:val="BodyText"/>
        <w:spacing w:line="360" w:lineRule="auto" w:before="54"/>
        <w:ind w:left="102" w:right="116"/>
        <w:jc w:val="both"/>
      </w:pPr>
      <w:r>
        <w:rPr/>
        <w:t>tanto turismo no se dan cuenta del daño que le hacen a la población local ni a sus recintos. Tal es el caso de Machu Picchu, el sitio arqueológico más reconocido en Perú como atractivo turístico y uno de los mejores sitios de patrimonio cultural más conocido en el mundo, que ha estado bajo amenaza desde los años 1970 y 1980.</w:t>
      </w:r>
    </w:p>
    <w:p>
      <w:pPr>
        <w:pStyle w:val="BodyText"/>
        <w:spacing w:line="360" w:lineRule="auto" w:before="204"/>
        <w:ind w:left="102" w:right="117"/>
        <w:jc w:val="both"/>
      </w:pPr>
      <w:r>
        <w:rPr/>
        <w:t>Su creciente popularidad entre los turistas por visitar este sitio y conocer sobre la cultura Inca, algunas estimaciones reconocen que 2,200 personas por día visitan el lugar, dando como resultado un desgaste notable en la zona arqueológica a través de la basura. Pueblos cercanos que dependen del sitio mencionan que el exceso de basura está afectando sus negocios por la proliferación de roedores (Timothy y Nyaupane,</w:t>
      </w:r>
      <w:r>
        <w:rPr>
          <w:spacing w:val="-13"/>
        </w:rPr>
        <w:t> </w:t>
      </w:r>
      <w:r>
        <w:rPr/>
        <w:t>2009).</w:t>
      </w:r>
    </w:p>
    <w:p>
      <w:pPr>
        <w:pStyle w:val="BodyText"/>
        <w:spacing w:line="360" w:lineRule="auto" w:before="204"/>
        <w:ind w:left="102" w:right="115"/>
        <w:jc w:val="both"/>
      </w:pPr>
      <w:r>
        <w:rPr/>
        <w:t>Otro caso en el que el turismo cambió la vida cotidiana de las comunidades fue en los pueblos cercanos a los complejos de templos de Borobudury Prambananen, Indonesia. Los pobladores de estos lugares fueron retirados para dar paso a la construcción de pequeños hoteles para el desarrollo de estos sitios para el  turismo. Los aldeanos fueron reubicados en el extremo oriente de Java, a unos 600 kilómetros de sus tierras tradicionales (Timothy y Nyaupane,</w:t>
      </w:r>
      <w:r>
        <w:rPr>
          <w:spacing w:val="-22"/>
        </w:rPr>
        <w:t> </w:t>
      </w:r>
      <w:r>
        <w:rPr/>
        <w:t>2009).</w:t>
      </w:r>
    </w:p>
    <w:p>
      <w:pPr>
        <w:pStyle w:val="Heading2"/>
        <w:numPr>
          <w:ilvl w:val="1"/>
          <w:numId w:val="6"/>
        </w:numPr>
        <w:tabs>
          <w:tab w:pos="822" w:val="left" w:leader="none"/>
        </w:tabs>
        <w:spacing w:line="240" w:lineRule="auto" w:before="203" w:after="0"/>
        <w:ind w:left="822" w:right="0" w:hanging="720"/>
        <w:jc w:val="both"/>
      </w:pPr>
      <w:bookmarkStart w:name="_bookmark10" w:id="18"/>
      <w:bookmarkEnd w:id="18"/>
      <w:r>
        <w:rPr>
          <w:b w:val="0"/>
        </w:rPr>
      </w:r>
      <w:bookmarkStart w:name="_bookmark10" w:id="19"/>
      <w:bookmarkEnd w:id="19"/>
      <w:r>
        <w:rPr/>
        <w:t>Turismo</w:t>
      </w:r>
      <w:r>
        <w:rPr/>
        <w:t> de</w:t>
      </w:r>
      <w:r>
        <w:rPr>
          <w:spacing w:val="-6"/>
        </w:rPr>
        <w:t> </w:t>
      </w:r>
      <w:r>
        <w:rPr/>
        <w:t>nostalgia</w:t>
      </w:r>
    </w:p>
    <w:p>
      <w:pPr>
        <w:pStyle w:val="BodyText"/>
        <w:spacing w:before="3"/>
        <w:rPr>
          <w:b/>
          <w:sz w:val="30"/>
        </w:rPr>
      </w:pPr>
    </w:p>
    <w:p>
      <w:pPr>
        <w:pStyle w:val="BodyText"/>
        <w:spacing w:line="360" w:lineRule="auto"/>
        <w:ind w:left="102" w:right="115"/>
        <w:jc w:val="both"/>
      </w:pPr>
      <w:r>
        <w:rPr/>
        <w:t>Nostalgia es un término que se compone de dos palabras griegas: </w:t>
      </w:r>
      <w:r>
        <w:rPr>
          <w:i/>
        </w:rPr>
        <w:t>nostos </w:t>
      </w:r>
      <w:r>
        <w:rPr/>
        <w:t>(regresar a casa) y </w:t>
      </w:r>
      <w:r>
        <w:rPr>
          <w:i/>
        </w:rPr>
        <w:t>algos </w:t>
      </w:r>
      <w:r>
        <w:rPr/>
        <w:t>(sufrimiento). Inicialmente, la nostalgia fue conceptualizada como una enfermedad médica o neurológica (Sedikides </w:t>
      </w:r>
      <w:r>
        <w:rPr>
          <w:i/>
        </w:rPr>
        <w:t>et al</w:t>
      </w:r>
      <w:r>
        <w:rPr/>
        <w:t>, 2004). Desde la segunda mitad del siglo XVII a la segunda mitad del XIX, en Europa la nostalgia se consideraba como un desorden psiquiátrico temporal que podría causar la muerte. En 1678, Johannes Hofer, un médico suizo, inventó este neologismo para referirse al dolor y sufrimiento que sentían sus pacientes por no poder estar en su tierra natal (Hirai,</w:t>
      </w:r>
      <w:r>
        <w:rPr>
          <w:spacing w:val="-15"/>
        </w:rPr>
        <w:t> </w:t>
      </w:r>
      <w:r>
        <w:rPr/>
        <w:t>2009).</w:t>
      </w:r>
    </w:p>
    <w:p>
      <w:pPr>
        <w:pStyle w:val="BodyText"/>
        <w:spacing w:line="360" w:lineRule="auto" w:before="204"/>
        <w:ind w:left="102" w:right="118"/>
        <w:jc w:val="both"/>
      </w:pPr>
      <w:r>
        <w:rPr/>
        <w:t>En el siglo XVIII en Europa, la nostalgia se aceptaba como una enfermedad  mental que se observaba con frecuencia entre los soldados en servicio en el extranjero. Muchos soldados que se enrolaron en el ejército por la conscripción de gran</w:t>
      </w:r>
      <w:r>
        <w:rPr>
          <w:spacing w:val="32"/>
        </w:rPr>
        <w:t> </w:t>
      </w:r>
      <w:r>
        <w:rPr/>
        <w:t>escala,</w:t>
      </w:r>
      <w:r>
        <w:rPr>
          <w:spacing w:val="30"/>
        </w:rPr>
        <w:t> </w:t>
      </w:r>
      <w:r>
        <w:rPr/>
        <w:t>sufrían</w:t>
      </w:r>
      <w:r>
        <w:rPr>
          <w:spacing w:val="30"/>
        </w:rPr>
        <w:t> </w:t>
      </w:r>
      <w:r>
        <w:rPr/>
        <w:t>de</w:t>
      </w:r>
      <w:r>
        <w:rPr>
          <w:spacing w:val="31"/>
        </w:rPr>
        <w:t> </w:t>
      </w:r>
      <w:r>
        <w:rPr/>
        <w:t>depresión,</w:t>
      </w:r>
      <w:r>
        <w:rPr>
          <w:spacing w:val="31"/>
        </w:rPr>
        <w:t> </w:t>
      </w:r>
      <w:r>
        <w:rPr/>
        <w:t>ansiedad,</w:t>
      </w:r>
      <w:r>
        <w:rPr>
          <w:spacing w:val="31"/>
        </w:rPr>
        <w:t> </w:t>
      </w:r>
      <w:r>
        <w:rPr/>
        <w:t>indolencia,</w:t>
      </w:r>
      <w:r>
        <w:rPr>
          <w:spacing w:val="28"/>
        </w:rPr>
        <w:t> </w:t>
      </w:r>
      <w:r>
        <w:rPr/>
        <w:t>fiebres</w:t>
      </w:r>
      <w:r>
        <w:rPr>
          <w:spacing w:val="31"/>
        </w:rPr>
        <w:t> </w:t>
      </w:r>
      <w:r>
        <w:rPr/>
        <w:t>y</w:t>
      </w:r>
      <w:r>
        <w:rPr>
          <w:spacing w:val="29"/>
        </w:rPr>
        <w:t> </w:t>
      </w:r>
      <w:r>
        <w:rPr/>
        <w:t>debilitamiento.</w:t>
      </w:r>
    </w:p>
    <w:p>
      <w:pPr>
        <w:spacing w:after="0" w:line="360" w:lineRule="auto"/>
        <w:jc w:val="both"/>
        <w:sectPr>
          <w:footerReference w:type="default" r:id="rId10"/>
          <w:pgSz w:w="12240" w:h="15840"/>
          <w:pgMar w:footer="1003" w:header="0" w:top="1360" w:bottom="1200" w:left="1600" w:right="1580"/>
          <w:pgNumType w:start="21"/>
        </w:sectPr>
      </w:pPr>
    </w:p>
    <w:p>
      <w:pPr>
        <w:pStyle w:val="BodyText"/>
        <w:spacing w:line="360" w:lineRule="auto" w:before="54"/>
        <w:ind w:left="102" w:right="118"/>
        <w:jc w:val="both"/>
      </w:pPr>
      <w:r>
        <w:rPr/>
        <w:t>Los tratamientos médicos en el hospital no les servían y, en ocasiones, era necesario que fueran separados del servicio militar los individuos que padecían de nostalgia grave, dado que el único tratamiento que servía era regresarlos a sus hogares (Rosen, 1975).</w:t>
      </w:r>
    </w:p>
    <w:p>
      <w:pPr>
        <w:pStyle w:val="BodyText"/>
        <w:spacing w:line="360" w:lineRule="auto" w:before="204"/>
        <w:ind w:left="102" w:right="118"/>
        <w:jc w:val="both"/>
      </w:pPr>
      <w:r>
        <w:rPr/>
        <w:t>Entre los años veinte y treinta del siglo XIX, aumentó el número de los estudios médicos sobre la nostalgia. Muchos médicos de aquella época creían que la causa de esta enfermedad tenía que ver con las primeras conexiones afectivas de las personas con el lugar donde habían vivido su niñez (Hirai, 2009).</w:t>
      </w:r>
    </w:p>
    <w:p>
      <w:pPr>
        <w:pStyle w:val="BodyText"/>
        <w:spacing w:line="360" w:lineRule="auto" w:before="205"/>
        <w:ind w:left="102" w:right="125"/>
        <w:jc w:val="both"/>
      </w:pPr>
      <w:r>
        <w:rPr/>
        <w:t>No obstante, fue hasta los años setenta del siglo XIX que desapareció el interés médico en la nostalgia. Ésta había dejado de verse como una enfermedad particular. Más bien comenzó a considerarse como un síntoma o una etapa del proceso patológico y una forma de melancolía (Rosen, 1975).</w:t>
      </w:r>
    </w:p>
    <w:p>
      <w:pPr>
        <w:pStyle w:val="BodyText"/>
        <w:spacing w:line="360" w:lineRule="auto" w:before="204"/>
        <w:ind w:left="102" w:right="118"/>
        <w:jc w:val="both"/>
      </w:pPr>
      <w:r>
        <w:rPr/>
        <w:t>Por otro lado el nuevo Diccionario de Oxford define al término nostalgia como “un sentimiento de añoranza o un afecto pensativo por el pasado, típicamente por un periodo o lugar con una asociación personal de felicidad” (1998: 1266).</w:t>
      </w:r>
    </w:p>
    <w:p>
      <w:pPr>
        <w:pStyle w:val="BodyText"/>
        <w:spacing w:line="360" w:lineRule="auto" w:before="202"/>
        <w:ind w:left="102" w:right="116"/>
        <w:jc w:val="both"/>
      </w:pPr>
      <w:r>
        <w:rPr/>
        <w:t>Como  señala la traducción al inglés como sinónimo, </w:t>
      </w:r>
      <w:r>
        <w:rPr>
          <w:i/>
        </w:rPr>
        <w:t>homesickness</w:t>
      </w:r>
      <w:r>
        <w:rPr/>
        <w:t>, la nostalgia  es un estado de ánimo o un sentimiento relacionado con </w:t>
      </w:r>
      <w:r>
        <w:rPr>
          <w:spacing w:val="4"/>
        </w:rPr>
        <w:t>el </w:t>
      </w:r>
      <w:r>
        <w:rPr/>
        <w:t>hogar. Es la tristeza o malestar a causa de la distancia de la tierra natal y, a la vez, es un anhelo por su hogar y un deseo de reducir la distancia (Hirai, 2009). La nostalgia se describe como un tipo único de recuerdo positivo o colectivo, son recuerdos del pasado que sirven para ofrecer un escape alternativo al</w:t>
      </w:r>
      <w:r>
        <w:rPr>
          <w:spacing w:val="-18"/>
        </w:rPr>
        <w:t> </w:t>
      </w:r>
      <w:r>
        <w:rPr/>
        <w:t>presente.</w:t>
      </w:r>
    </w:p>
    <w:p>
      <w:pPr>
        <w:pStyle w:val="BodyText"/>
        <w:spacing w:line="360" w:lineRule="auto" w:before="204"/>
        <w:ind w:left="102" w:right="116"/>
        <w:jc w:val="both"/>
      </w:pPr>
      <w:r>
        <w:rPr/>
        <w:t>El extrañar a la familia, los amigos y las festividades incrementa la práctica turística conocida como turismo de nostalgia. Esta tiene más difusión y cobra una "estructura de sentimiento", por lo tanto la cultura adquiere un poder sobre la "distancia" (Stewart, 1988). A partir de aquí, la nostalgia es una añoranza dolorosa que genera el deseo y, en sí mismo, "seductora", se diría que la seducción son las cosas inherentes a una forma cultural (Stewart,</w:t>
      </w:r>
      <w:r>
        <w:rPr>
          <w:spacing w:val="-12"/>
        </w:rPr>
        <w:t> </w:t>
      </w:r>
      <w:r>
        <w:rPr/>
        <w:t>1988).</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En 1980 el antropólogo estadounidense George Gmelch hizo una extensa revisión de los trabajos existentes que abordan el limitado número de casos de la migración de retorno, lo cual fue uno de los primeros intentos de  revisar  de manera sistemática el retorno de migrantes y</w:t>
      </w:r>
      <w:r>
        <w:rPr>
          <w:spacing w:val="-21"/>
        </w:rPr>
        <w:t> </w:t>
      </w:r>
      <w:r>
        <w:rPr/>
        <w:t>conceptualizarlo.</w:t>
      </w:r>
    </w:p>
    <w:p>
      <w:pPr>
        <w:pStyle w:val="BodyText"/>
        <w:spacing w:line="360" w:lineRule="auto" w:before="204"/>
        <w:ind w:left="102" w:right="118"/>
        <w:jc w:val="both"/>
      </w:pPr>
      <w:r>
        <w:rPr/>
        <w:t>Gmelch sintetiza los avances principales y las tendencias generales de los  estudios de la migración de retorno que comenzaron a crecer desde los años sesenta y presenta los siguientes tres tipos de migrantes de retorno que habían sido estudiados principalmente en los trabajos existentes hasta los años  </w:t>
      </w:r>
      <w:r>
        <w:rPr>
          <w:spacing w:val="63"/>
        </w:rPr>
        <w:t> </w:t>
      </w:r>
      <w:r>
        <w:rPr/>
        <w:t>setenta:</w:t>
      </w:r>
    </w:p>
    <w:p>
      <w:pPr>
        <w:pStyle w:val="BodyText"/>
        <w:spacing w:line="360" w:lineRule="auto" w:before="5"/>
        <w:ind w:left="102" w:right="115"/>
        <w:jc w:val="both"/>
      </w:pPr>
      <w:r>
        <w:rPr/>
        <w:t>1) el retornado que intentó la migración temporal desde principio y decidió regresar al cumplir sus objetivos; 2) el retornado que intentó la migración permanente al principio, pero fue forzado a regresar, debido a algunos factores externos; 3) el retornado que intentó la migración permanente al principio, pero optó regresar por el fracaso en la adaptación al país receptor o por la nostalgia (Hirai, 2008).</w:t>
      </w:r>
    </w:p>
    <w:p>
      <w:pPr>
        <w:pStyle w:val="BodyText"/>
        <w:spacing w:line="360" w:lineRule="auto" w:before="202"/>
        <w:ind w:left="102" w:right="114"/>
        <w:jc w:val="both"/>
      </w:pPr>
      <w:r>
        <w:rPr/>
        <w:t>Tomando en cuenta el hecho de que la visita de regreso incorpora a individuos  que tienen lazos sociales y culturales específicos con el destino, Duval (2002) señala que en el caso de visita de regreso de migrantes son aquellos que tienen vínculos familiares y sociales extensos entre el país de origen y el país receptor, renuevan, reiteran y consolidan las redes familiares y sociales a través del contacto físico con sus lugares de origen, aunque finalmente deban regresar al país al que emigraron en algún</w:t>
      </w:r>
      <w:r>
        <w:rPr>
          <w:spacing w:val="-9"/>
        </w:rPr>
        <w:t> </w:t>
      </w:r>
      <w:r>
        <w:rPr/>
        <w:t>momento.</w:t>
      </w:r>
    </w:p>
    <w:p>
      <w:pPr>
        <w:pStyle w:val="BodyText"/>
        <w:spacing w:line="360" w:lineRule="auto" w:before="204"/>
        <w:ind w:left="102" w:right="116"/>
        <w:jc w:val="both"/>
      </w:pPr>
      <w:r>
        <w:rPr/>
        <w:t>En este sentido, según Williams y Hall (2002), en las últimas décadas, el turismo de nostalgia es una nueva forma de movilidad que se ha vuelto más notoria, debido a diferentes factores, tales como, la globalización de mercados laborales,  el envejecimiento de población en las sociedades desarrolladas, los cambios en vidas laborales y de jubilación, la reevaluación del ambiente laboral y de la vida social, la innovación en transportación y comunicación, la internacionalización del mercado y el capital en el</w:t>
      </w:r>
      <w:r>
        <w:rPr>
          <w:spacing w:val="-11"/>
        </w:rPr>
        <w:t> </w:t>
      </w:r>
      <w:r>
        <w:rPr/>
        <w:t>turismo.</w:t>
      </w:r>
    </w:p>
    <w:p>
      <w:pPr>
        <w:pStyle w:val="BodyText"/>
        <w:spacing w:line="360" w:lineRule="auto" w:before="202"/>
        <w:ind w:left="102" w:right="116"/>
        <w:jc w:val="both"/>
      </w:pPr>
      <w:r>
        <w:rPr/>
        <w:t>Así, el turismo de nostalgia ha sido definido por Reyes </w:t>
      </w:r>
      <w:r>
        <w:rPr>
          <w:i/>
        </w:rPr>
        <w:t>et al. </w:t>
      </w:r>
      <w:r>
        <w:rPr/>
        <w:t>(2009) como la afluencia  de  migrantes  que  retornan  periódicamente  de  sus  localidades      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residencia a su comunidad de origen por periodos cortos. Por lo tanto los turistas nostálgicos son migrantes que retornan temporalmente a su comunidad de origen para participar en actividades sociales, familiares y culturales que se desarrollan en determinadas temporadas del</w:t>
      </w:r>
      <w:r>
        <w:rPr>
          <w:spacing w:val="-17"/>
        </w:rPr>
        <w:t> </w:t>
      </w:r>
      <w:r>
        <w:rPr/>
        <w:t>año.</w:t>
      </w:r>
    </w:p>
    <w:p>
      <w:pPr>
        <w:spacing w:after="0" w:line="360" w:lineRule="auto"/>
        <w:jc w:val="both"/>
        <w:sectPr>
          <w:pgSz w:w="12240" w:h="15840"/>
          <w:pgMar w:header="0" w:footer="1003" w:top="1360" w:bottom="1200" w:left="1600" w:right="1580"/>
        </w:sectPr>
      </w:pPr>
    </w:p>
    <w:p>
      <w:pPr>
        <w:pStyle w:val="Heading1"/>
        <w:ind w:left="2122"/>
        <w:jc w:val="left"/>
      </w:pPr>
      <w:bookmarkStart w:name="_bookmark11" w:id="20"/>
      <w:bookmarkEnd w:id="20"/>
      <w:r>
        <w:rPr>
          <w:b w:val="0"/>
        </w:rPr>
      </w:r>
      <w:r>
        <w:rPr/>
        <w:t>CAPÍTULO 2 MARCO CONTEXTUAL</w:t>
      </w:r>
    </w:p>
    <w:p>
      <w:pPr>
        <w:pStyle w:val="BodyText"/>
        <w:spacing w:before="4"/>
        <w:rPr>
          <w:b/>
          <w:sz w:val="40"/>
        </w:rPr>
      </w:pPr>
    </w:p>
    <w:p>
      <w:pPr>
        <w:pStyle w:val="BodyText"/>
        <w:spacing w:line="360" w:lineRule="auto"/>
        <w:ind w:left="102" w:right="117"/>
        <w:jc w:val="both"/>
      </w:pPr>
      <w:r>
        <w:rPr/>
        <w:t>En el estado de Hidalgo la migración a Estados Unidos comienza a darse a partir de 1930, por la condición económica y social que se vivía en México en aquellos años y la demanda de mano de obra en los estados del sureste norteamericano (Rodríguez, 2003b). Dentro del estado de Hidalgo se encuentran cuatro municipios que registran actividad migratoria relevante, estos son Pacula, Tasquillo, Zimapán e Ixmiquilpan; dichos municipios se han caracterizado debido al alto nivel de expulsión de sus habitantes hacia los Estados Unidos en busca de nuevas oportunidades de crecimiento (Contreras, 2004).</w:t>
      </w:r>
    </w:p>
    <w:p>
      <w:pPr>
        <w:pStyle w:val="BodyText"/>
      </w:pPr>
    </w:p>
    <w:p>
      <w:pPr>
        <w:pStyle w:val="Heading2"/>
        <w:numPr>
          <w:ilvl w:val="1"/>
          <w:numId w:val="8"/>
        </w:numPr>
        <w:tabs>
          <w:tab w:pos="822" w:val="left" w:leader="none"/>
        </w:tabs>
        <w:spacing w:line="240" w:lineRule="auto" w:before="140" w:after="0"/>
        <w:ind w:left="102" w:right="0" w:firstLine="0"/>
        <w:jc w:val="both"/>
      </w:pPr>
      <w:bookmarkStart w:name="_bookmark12" w:id="21"/>
      <w:bookmarkEnd w:id="21"/>
      <w:r>
        <w:rPr>
          <w:b w:val="0"/>
        </w:rPr>
      </w:r>
      <w:bookmarkStart w:name="_bookmark12" w:id="22"/>
      <w:bookmarkEnd w:id="22"/>
      <w:r>
        <w:rPr/>
        <w:t>El</w:t>
      </w:r>
      <w:r>
        <w:rPr/>
        <w:t> municipio de Ixmiquilpan,</w:t>
      </w:r>
      <w:r>
        <w:rPr>
          <w:spacing w:val="-7"/>
        </w:rPr>
        <w:t> </w:t>
      </w:r>
      <w:r>
        <w:rPr/>
        <w:t>Hidalgo</w:t>
      </w:r>
    </w:p>
    <w:p>
      <w:pPr>
        <w:pStyle w:val="BodyText"/>
        <w:rPr>
          <w:b/>
          <w:sz w:val="26"/>
        </w:rPr>
      </w:pPr>
    </w:p>
    <w:p>
      <w:pPr>
        <w:pStyle w:val="BodyText"/>
        <w:spacing w:line="360" w:lineRule="auto" w:before="160"/>
        <w:ind w:left="102" w:right="116"/>
        <w:jc w:val="both"/>
      </w:pPr>
      <w:r>
        <w:rPr/>
        <w:t>El municipio de Ixmiquilpan tiene localidades que poseen dos fenómenos diferentes, las primeras que tienen alto crecimiento demográfico y las segundas con expulsión poblacional. Las localidades que conforman este municipio son básicamente rurales y carentes de servicios básicos como drenaje, calles pavimentadas, luz y escuelas y se ha dado un crecimiento demográfico debido a  la urbanización de municipio, por lo que se identifican como colonias de la zona conurbada que se localizan en la cabecera municipal (Montiel,</w:t>
      </w:r>
      <w:r>
        <w:rPr>
          <w:spacing w:val="-22"/>
        </w:rPr>
        <w:t> </w:t>
      </w:r>
      <w:r>
        <w:rPr/>
        <w:t>2004).</w:t>
      </w:r>
    </w:p>
    <w:p>
      <w:pPr>
        <w:pStyle w:val="BodyText"/>
        <w:spacing w:line="360" w:lineRule="auto" w:before="204"/>
        <w:ind w:left="102" w:right="115"/>
        <w:jc w:val="both"/>
      </w:pPr>
      <w:r>
        <w:rPr/>
        <w:t>La migración hacia los Estados Unidos en el Valle del Mezquital ha sido desde sus comienzos una práctica cotidiana para los habitantes, según los primeros investigadores en esta zona, Fernando Benítez (1972) argumenta en su investigación que la migración se originó a finales de 1960.</w:t>
      </w:r>
    </w:p>
    <w:p>
      <w:pPr>
        <w:pStyle w:val="BodyText"/>
        <w:spacing w:line="360" w:lineRule="auto" w:before="204"/>
        <w:ind w:left="102" w:right="112"/>
        <w:jc w:val="both"/>
      </w:pPr>
      <w:r>
        <w:rPr/>
        <w:t>En 1995, Héctor Vázquez comentó que en 1980 dentro del municipio de Ixmiquilpan la migración se agudizó, sobre todo en la comunidad de El Olivo, y  que la mayoría de los emigrantes tomaban principalmente la dirección hacia el estado de La Florida. Mendoza (1999) da como referencia que en la comunidad de El Maye el 80% de los migrantes de esta comunidad habían emigrado en el mismo periodo y al mismo estado y que la población emigrante se encuentra entre los 15 y 24 años de</w:t>
      </w:r>
      <w:r>
        <w:rPr>
          <w:spacing w:val="-7"/>
        </w:rPr>
        <w:t> </w:t>
      </w:r>
      <w:r>
        <w:rPr/>
        <w:t>edad.</w:t>
      </w:r>
    </w:p>
    <w:p>
      <w:pPr>
        <w:spacing w:after="0" w:line="360" w:lineRule="auto"/>
        <w:jc w:val="both"/>
        <w:sectPr>
          <w:pgSz w:w="12240" w:h="15840"/>
          <w:pgMar w:header="0" w:footer="1003" w:top="1360" w:bottom="1200" w:left="1600" w:right="1580"/>
        </w:sectPr>
      </w:pPr>
    </w:p>
    <w:p>
      <w:pPr>
        <w:pStyle w:val="BodyText"/>
        <w:spacing w:line="360" w:lineRule="auto" w:before="54"/>
        <w:ind w:left="1262" w:right="1258"/>
        <w:jc w:val="both"/>
      </w:pPr>
      <w:r>
        <w:rPr/>
        <w:t>A continuación, en la tabla 1 se pueden apreciar las principales comunidades expulsoras de migrantes del municipio de Ixmiquilpan hacia los Estados Unidos, resaltando el porcentaje de población emigrante que corresponde a 25% del total de su población.</w:t>
      </w:r>
    </w:p>
    <w:p>
      <w:pPr>
        <w:spacing w:before="205"/>
        <w:ind w:left="2217" w:right="0" w:firstLine="0"/>
        <w:jc w:val="left"/>
        <w:rPr>
          <w:rFonts w:ascii="Calibri" w:hAnsi="Calibri"/>
          <w:b/>
          <w:sz w:val="18"/>
        </w:rPr>
      </w:pPr>
      <w:r>
        <w:rPr>
          <w:rFonts w:ascii="Calibri" w:hAnsi="Calibri"/>
          <w:b/>
          <w:sz w:val="18"/>
        </w:rPr>
        <w:t>TABLA 1 COMUNIDADES CON MÁS DE 25% DE POBLACIÓN EMIGRANTES A ESTADOS UNIDOS</w:t>
      </w:r>
    </w:p>
    <w:p>
      <w:pPr>
        <w:pStyle w:val="BodyText"/>
        <w:rPr>
          <w:rFonts w:ascii="Calibri"/>
          <w:b/>
          <w:sz w:val="20"/>
        </w:rPr>
      </w:pPr>
    </w:p>
    <w:p>
      <w:pPr>
        <w:pStyle w:val="BodyText"/>
        <w:rPr>
          <w:rFonts w:ascii="Calibri"/>
          <w:b/>
          <w:sz w:val="20"/>
        </w:rPr>
      </w:pPr>
    </w:p>
    <w:p>
      <w:pPr>
        <w:pStyle w:val="BodyText"/>
        <w:spacing w:before="2"/>
        <w:rPr>
          <w:rFonts w:ascii="Calibri"/>
          <w:b/>
          <w:sz w:val="17"/>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4"/>
        <w:gridCol w:w="1373"/>
        <w:gridCol w:w="1558"/>
        <w:gridCol w:w="1560"/>
        <w:gridCol w:w="1560"/>
        <w:gridCol w:w="1275"/>
        <w:gridCol w:w="1418"/>
      </w:tblGrid>
      <w:tr>
        <w:trPr>
          <w:trHeight w:val="310" w:hRule="exact"/>
        </w:trPr>
        <w:tc>
          <w:tcPr>
            <w:tcW w:w="11128" w:type="dxa"/>
            <w:gridSpan w:val="7"/>
          </w:tcPr>
          <w:p>
            <w:pPr>
              <w:pStyle w:val="TableParagraph"/>
              <w:ind w:left="1778"/>
              <w:rPr>
                <w:b/>
                <w:sz w:val="22"/>
              </w:rPr>
            </w:pPr>
            <w:r>
              <w:rPr>
                <w:b/>
                <w:color w:val="C00000"/>
                <w:sz w:val="22"/>
              </w:rPr>
              <w:t>COMUNIDADES CON MÁS DE 25% DE POBLACIÓN EMIGRANTE A ESTADOS UNIDOS</w:t>
            </w:r>
          </w:p>
        </w:tc>
      </w:tr>
      <w:tr>
        <w:trPr>
          <w:trHeight w:val="499" w:hRule="exact"/>
        </w:trPr>
        <w:tc>
          <w:tcPr>
            <w:tcW w:w="2384" w:type="dxa"/>
          </w:tcPr>
          <w:p>
            <w:pPr>
              <w:pStyle w:val="TableParagraph"/>
              <w:spacing w:before="0"/>
              <w:ind w:left="707" w:right="527" w:hanging="164"/>
              <w:rPr>
                <w:b/>
                <w:sz w:val="20"/>
              </w:rPr>
            </w:pPr>
            <w:r>
              <w:rPr>
                <w:b/>
                <w:color w:val="17375D"/>
                <w:sz w:val="20"/>
              </w:rPr>
              <w:t>NOMBRE DE LA LOCALIDAD</w:t>
            </w:r>
          </w:p>
        </w:tc>
        <w:tc>
          <w:tcPr>
            <w:tcW w:w="1373" w:type="dxa"/>
          </w:tcPr>
          <w:p>
            <w:pPr>
              <w:pStyle w:val="TableParagraph"/>
              <w:spacing w:before="0"/>
              <w:ind w:left="410" w:hanging="224"/>
              <w:rPr>
                <w:b/>
                <w:sz w:val="20"/>
              </w:rPr>
            </w:pPr>
            <w:r>
              <w:rPr>
                <w:b/>
                <w:color w:val="17375D"/>
                <w:w w:val="95"/>
                <w:sz w:val="20"/>
              </w:rPr>
              <w:t>POBLACIÓN </w:t>
            </w:r>
            <w:r>
              <w:rPr>
                <w:b/>
                <w:color w:val="17375D"/>
                <w:sz w:val="20"/>
              </w:rPr>
              <w:t>TOTAL</w:t>
            </w:r>
          </w:p>
        </w:tc>
        <w:tc>
          <w:tcPr>
            <w:tcW w:w="1558" w:type="dxa"/>
          </w:tcPr>
          <w:p>
            <w:pPr>
              <w:pStyle w:val="TableParagraph"/>
              <w:spacing w:before="0"/>
              <w:ind w:left="263" w:right="263" w:firstLine="16"/>
              <w:rPr>
                <w:b/>
                <w:sz w:val="20"/>
              </w:rPr>
            </w:pPr>
            <w:r>
              <w:rPr>
                <w:b/>
                <w:color w:val="17375D"/>
                <w:sz w:val="20"/>
              </w:rPr>
              <w:t>POBLACION </w:t>
            </w:r>
            <w:r>
              <w:rPr>
                <w:b/>
                <w:color w:val="17375D"/>
                <w:w w:val="95"/>
                <w:sz w:val="20"/>
              </w:rPr>
              <w:t>MASCULINA</w:t>
            </w:r>
          </w:p>
        </w:tc>
        <w:tc>
          <w:tcPr>
            <w:tcW w:w="1560" w:type="dxa"/>
          </w:tcPr>
          <w:p>
            <w:pPr>
              <w:pStyle w:val="TableParagraph"/>
              <w:spacing w:before="0"/>
              <w:ind w:left="326" w:hanging="44"/>
              <w:rPr>
                <w:b/>
                <w:sz w:val="20"/>
              </w:rPr>
            </w:pPr>
            <w:r>
              <w:rPr>
                <w:b/>
                <w:color w:val="17375D"/>
                <w:w w:val="95"/>
                <w:sz w:val="20"/>
              </w:rPr>
              <w:t>POBLACIÓN </w:t>
            </w:r>
            <w:r>
              <w:rPr>
                <w:b/>
                <w:color w:val="17375D"/>
                <w:sz w:val="20"/>
              </w:rPr>
              <w:t>FEMENINA</w:t>
            </w:r>
          </w:p>
        </w:tc>
        <w:tc>
          <w:tcPr>
            <w:tcW w:w="1560" w:type="dxa"/>
          </w:tcPr>
          <w:p>
            <w:pPr>
              <w:pStyle w:val="TableParagraph"/>
              <w:spacing w:before="0"/>
              <w:ind w:left="220" w:hanging="51"/>
              <w:rPr>
                <w:b/>
                <w:sz w:val="20"/>
              </w:rPr>
            </w:pPr>
            <w:r>
              <w:rPr>
                <w:b/>
                <w:color w:val="17375D"/>
                <w:sz w:val="20"/>
              </w:rPr>
              <w:t>FAMILIAS CON EMIGRANTES</w:t>
            </w:r>
          </w:p>
        </w:tc>
        <w:tc>
          <w:tcPr>
            <w:tcW w:w="1275" w:type="dxa"/>
          </w:tcPr>
          <w:p>
            <w:pPr>
              <w:pStyle w:val="TableParagraph"/>
              <w:spacing w:before="0"/>
              <w:ind w:left="124" w:right="106" w:firstLine="14"/>
              <w:rPr>
                <w:b/>
                <w:sz w:val="20"/>
              </w:rPr>
            </w:pPr>
            <w:r>
              <w:rPr>
                <w:b/>
                <w:color w:val="17375D"/>
                <w:sz w:val="20"/>
              </w:rPr>
              <w:t>POBLACIÓN EMIGRANTE</w:t>
            </w:r>
          </w:p>
        </w:tc>
        <w:tc>
          <w:tcPr>
            <w:tcW w:w="1418" w:type="dxa"/>
          </w:tcPr>
          <w:p>
            <w:pPr>
              <w:pStyle w:val="TableParagraph"/>
              <w:spacing w:before="0"/>
              <w:ind w:left="194" w:hanging="80"/>
              <w:rPr>
                <w:b/>
                <w:sz w:val="20"/>
              </w:rPr>
            </w:pPr>
            <w:r>
              <w:rPr>
                <w:b/>
                <w:color w:val="17375D"/>
                <w:sz w:val="20"/>
              </w:rPr>
              <w:t>% POBLACIÓN EMIGRANTE</w:t>
            </w:r>
          </w:p>
        </w:tc>
      </w:tr>
      <w:tr>
        <w:trPr>
          <w:trHeight w:val="310" w:hRule="exact"/>
        </w:trPr>
        <w:tc>
          <w:tcPr>
            <w:tcW w:w="2384" w:type="dxa"/>
          </w:tcPr>
          <w:p>
            <w:pPr>
              <w:pStyle w:val="TableParagraph"/>
              <w:ind w:left="489"/>
              <w:rPr>
                <w:b/>
                <w:sz w:val="22"/>
              </w:rPr>
            </w:pPr>
            <w:r>
              <w:rPr>
                <w:b/>
                <w:sz w:val="22"/>
              </w:rPr>
              <w:t>TOTAL MUNICIPAL</w:t>
            </w:r>
          </w:p>
        </w:tc>
        <w:tc>
          <w:tcPr>
            <w:tcW w:w="1373" w:type="dxa"/>
          </w:tcPr>
          <w:p>
            <w:pPr>
              <w:pStyle w:val="TableParagraph"/>
              <w:ind w:right="403"/>
              <w:jc w:val="right"/>
              <w:rPr>
                <w:sz w:val="22"/>
              </w:rPr>
            </w:pPr>
            <w:r>
              <w:rPr>
                <w:sz w:val="22"/>
              </w:rPr>
              <w:t>75833</w:t>
            </w:r>
          </w:p>
        </w:tc>
        <w:tc>
          <w:tcPr>
            <w:tcW w:w="1558" w:type="dxa"/>
          </w:tcPr>
          <w:p>
            <w:pPr>
              <w:pStyle w:val="TableParagraph"/>
              <w:ind w:left="474" w:right="475"/>
              <w:jc w:val="center"/>
              <w:rPr>
                <w:sz w:val="22"/>
              </w:rPr>
            </w:pPr>
            <w:r>
              <w:rPr>
                <w:sz w:val="22"/>
              </w:rPr>
              <w:t>35499</w:t>
            </w:r>
          </w:p>
        </w:tc>
        <w:tc>
          <w:tcPr>
            <w:tcW w:w="1560" w:type="dxa"/>
          </w:tcPr>
          <w:p>
            <w:pPr>
              <w:pStyle w:val="TableParagraph"/>
              <w:ind w:left="496"/>
              <w:rPr>
                <w:sz w:val="22"/>
              </w:rPr>
            </w:pPr>
            <w:r>
              <w:rPr>
                <w:sz w:val="22"/>
              </w:rPr>
              <w:t>40334</w:t>
            </w:r>
          </w:p>
        </w:tc>
        <w:tc>
          <w:tcPr>
            <w:tcW w:w="1560" w:type="dxa"/>
          </w:tcPr>
          <w:p>
            <w:pPr/>
          </w:p>
        </w:tc>
        <w:tc>
          <w:tcPr>
            <w:tcW w:w="1275" w:type="dxa"/>
          </w:tcPr>
          <w:p>
            <w:pPr/>
          </w:p>
        </w:tc>
        <w:tc>
          <w:tcPr>
            <w:tcW w:w="1418" w:type="dxa"/>
          </w:tcPr>
          <w:p>
            <w:pPr/>
          </w:p>
        </w:tc>
      </w:tr>
      <w:tr>
        <w:trPr>
          <w:trHeight w:val="310" w:hRule="exact"/>
        </w:trPr>
        <w:tc>
          <w:tcPr>
            <w:tcW w:w="2384" w:type="dxa"/>
          </w:tcPr>
          <w:p>
            <w:pPr>
              <w:pStyle w:val="TableParagraph"/>
              <w:ind w:left="489" w:right="527"/>
              <w:rPr>
                <w:b/>
                <w:sz w:val="22"/>
              </w:rPr>
            </w:pPr>
            <w:r>
              <w:rPr>
                <w:b/>
                <w:sz w:val="22"/>
              </w:rPr>
              <w:t>IXMIQUILPAN</w:t>
            </w:r>
          </w:p>
        </w:tc>
        <w:tc>
          <w:tcPr>
            <w:tcW w:w="1373" w:type="dxa"/>
          </w:tcPr>
          <w:p>
            <w:pPr>
              <w:pStyle w:val="TableParagraph"/>
              <w:ind w:right="403"/>
              <w:jc w:val="right"/>
              <w:rPr>
                <w:sz w:val="22"/>
              </w:rPr>
            </w:pPr>
            <w:r>
              <w:rPr>
                <w:sz w:val="22"/>
              </w:rPr>
              <w:t>30831</w:t>
            </w:r>
          </w:p>
        </w:tc>
        <w:tc>
          <w:tcPr>
            <w:tcW w:w="1558" w:type="dxa"/>
          </w:tcPr>
          <w:p>
            <w:pPr>
              <w:pStyle w:val="TableParagraph"/>
              <w:ind w:left="474" w:right="475"/>
              <w:jc w:val="center"/>
              <w:rPr>
                <w:sz w:val="22"/>
              </w:rPr>
            </w:pPr>
            <w:r>
              <w:rPr>
                <w:sz w:val="22"/>
              </w:rPr>
              <w:t>14163</w:t>
            </w:r>
          </w:p>
        </w:tc>
        <w:tc>
          <w:tcPr>
            <w:tcW w:w="1560" w:type="dxa"/>
          </w:tcPr>
          <w:p>
            <w:pPr>
              <w:pStyle w:val="TableParagraph"/>
              <w:ind w:left="496"/>
              <w:rPr>
                <w:sz w:val="22"/>
              </w:rPr>
            </w:pPr>
            <w:r>
              <w:rPr>
                <w:sz w:val="22"/>
              </w:rPr>
              <w:t>16668</w:t>
            </w:r>
          </w:p>
        </w:tc>
        <w:tc>
          <w:tcPr>
            <w:tcW w:w="1560" w:type="dxa"/>
          </w:tcPr>
          <w:p>
            <w:pPr/>
          </w:p>
        </w:tc>
        <w:tc>
          <w:tcPr>
            <w:tcW w:w="1275" w:type="dxa"/>
          </w:tcPr>
          <w:p>
            <w:pPr/>
          </w:p>
        </w:tc>
        <w:tc>
          <w:tcPr>
            <w:tcW w:w="1418" w:type="dxa"/>
          </w:tcPr>
          <w:p>
            <w:pPr/>
          </w:p>
        </w:tc>
      </w:tr>
      <w:tr>
        <w:trPr>
          <w:trHeight w:val="310" w:hRule="exact"/>
        </w:trPr>
        <w:tc>
          <w:tcPr>
            <w:tcW w:w="2384" w:type="dxa"/>
          </w:tcPr>
          <w:p>
            <w:pPr>
              <w:pStyle w:val="TableParagraph"/>
              <w:ind w:left="539" w:right="527"/>
              <w:rPr>
                <w:b/>
                <w:sz w:val="22"/>
              </w:rPr>
            </w:pPr>
            <w:r>
              <w:rPr>
                <w:b/>
                <w:sz w:val="22"/>
              </w:rPr>
              <w:t>EL ALBERTO</w:t>
            </w:r>
          </w:p>
        </w:tc>
        <w:tc>
          <w:tcPr>
            <w:tcW w:w="1373" w:type="dxa"/>
          </w:tcPr>
          <w:p>
            <w:pPr>
              <w:pStyle w:val="TableParagraph"/>
              <w:ind w:right="458"/>
              <w:jc w:val="right"/>
              <w:rPr>
                <w:sz w:val="22"/>
              </w:rPr>
            </w:pPr>
            <w:r>
              <w:rPr>
                <w:sz w:val="22"/>
              </w:rPr>
              <w:t>1235</w:t>
            </w:r>
          </w:p>
        </w:tc>
        <w:tc>
          <w:tcPr>
            <w:tcW w:w="1558" w:type="dxa"/>
          </w:tcPr>
          <w:p>
            <w:pPr>
              <w:pStyle w:val="TableParagraph"/>
              <w:ind w:left="474" w:right="473"/>
              <w:jc w:val="center"/>
              <w:rPr>
                <w:sz w:val="22"/>
              </w:rPr>
            </w:pPr>
            <w:r>
              <w:rPr>
                <w:sz w:val="22"/>
              </w:rPr>
              <w:t>611</w:t>
            </w:r>
          </w:p>
        </w:tc>
        <w:tc>
          <w:tcPr>
            <w:tcW w:w="1560" w:type="dxa"/>
          </w:tcPr>
          <w:p>
            <w:pPr>
              <w:pStyle w:val="TableParagraph"/>
              <w:ind w:left="589" w:right="586"/>
              <w:jc w:val="center"/>
              <w:rPr>
                <w:sz w:val="22"/>
              </w:rPr>
            </w:pPr>
            <w:r>
              <w:rPr>
                <w:sz w:val="22"/>
              </w:rPr>
              <w:t>624</w:t>
            </w:r>
          </w:p>
        </w:tc>
        <w:tc>
          <w:tcPr>
            <w:tcW w:w="1560" w:type="dxa"/>
          </w:tcPr>
          <w:p>
            <w:pPr>
              <w:pStyle w:val="TableParagraph"/>
              <w:ind w:left="587" w:right="588"/>
              <w:jc w:val="center"/>
              <w:rPr>
                <w:sz w:val="22"/>
              </w:rPr>
            </w:pPr>
            <w:r>
              <w:rPr>
                <w:sz w:val="22"/>
              </w:rPr>
              <w:t>154</w:t>
            </w:r>
          </w:p>
        </w:tc>
        <w:tc>
          <w:tcPr>
            <w:tcW w:w="1275" w:type="dxa"/>
          </w:tcPr>
          <w:p>
            <w:pPr>
              <w:pStyle w:val="TableParagraph"/>
              <w:ind w:left="465" w:right="106"/>
              <w:rPr>
                <w:sz w:val="22"/>
              </w:rPr>
            </w:pPr>
            <w:r>
              <w:rPr>
                <w:sz w:val="22"/>
              </w:rPr>
              <w:t>618</w:t>
            </w:r>
          </w:p>
        </w:tc>
        <w:tc>
          <w:tcPr>
            <w:tcW w:w="1418" w:type="dxa"/>
          </w:tcPr>
          <w:p>
            <w:pPr>
              <w:pStyle w:val="TableParagraph"/>
              <w:ind w:right="590"/>
              <w:jc w:val="right"/>
              <w:rPr>
                <w:sz w:val="22"/>
              </w:rPr>
            </w:pPr>
            <w:r>
              <w:rPr>
                <w:sz w:val="22"/>
              </w:rPr>
              <w:t>50</w:t>
            </w:r>
          </w:p>
        </w:tc>
      </w:tr>
      <w:tr>
        <w:trPr>
          <w:trHeight w:val="310" w:hRule="exact"/>
        </w:trPr>
        <w:tc>
          <w:tcPr>
            <w:tcW w:w="2384" w:type="dxa"/>
          </w:tcPr>
          <w:p>
            <w:pPr>
              <w:pStyle w:val="TableParagraph"/>
              <w:ind w:left="489" w:right="527"/>
              <w:rPr>
                <w:b/>
                <w:sz w:val="22"/>
              </w:rPr>
            </w:pPr>
            <w:r>
              <w:rPr>
                <w:b/>
                <w:sz w:val="22"/>
              </w:rPr>
              <w:t>ARENALITO</w:t>
            </w:r>
          </w:p>
        </w:tc>
        <w:tc>
          <w:tcPr>
            <w:tcW w:w="1373" w:type="dxa"/>
          </w:tcPr>
          <w:p>
            <w:pPr>
              <w:pStyle w:val="TableParagraph"/>
              <w:ind w:left="494" w:right="495"/>
              <w:jc w:val="center"/>
              <w:rPr>
                <w:sz w:val="22"/>
              </w:rPr>
            </w:pPr>
            <w:r>
              <w:rPr>
                <w:sz w:val="22"/>
              </w:rPr>
              <w:t>661</w:t>
            </w:r>
          </w:p>
        </w:tc>
        <w:tc>
          <w:tcPr>
            <w:tcW w:w="1558" w:type="dxa"/>
          </w:tcPr>
          <w:p>
            <w:pPr>
              <w:pStyle w:val="TableParagraph"/>
              <w:ind w:left="474" w:right="473"/>
              <w:jc w:val="center"/>
              <w:rPr>
                <w:sz w:val="22"/>
              </w:rPr>
            </w:pPr>
            <w:r>
              <w:rPr>
                <w:sz w:val="22"/>
              </w:rPr>
              <w:t>317</w:t>
            </w:r>
          </w:p>
        </w:tc>
        <w:tc>
          <w:tcPr>
            <w:tcW w:w="1560" w:type="dxa"/>
          </w:tcPr>
          <w:p>
            <w:pPr>
              <w:pStyle w:val="TableParagraph"/>
              <w:ind w:left="589" w:right="586"/>
              <w:jc w:val="center"/>
              <w:rPr>
                <w:sz w:val="22"/>
              </w:rPr>
            </w:pPr>
            <w:r>
              <w:rPr>
                <w:sz w:val="22"/>
              </w:rPr>
              <w:t>344</w:t>
            </w:r>
          </w:p>
        </w:tc>
        <w:tc>
          <w:tcPr>
            <w:tcW w:w="1560" w:type="dxa"/>
          </w:tcPr>
          <w:p>
            <w:pPr>
              <w:pStyle w:val="TableParagraph"/>
              <w:ind w:left="587" w:right="587"/>
              <w:jc w:val="center"/>
              <w:rPr>
                <w:sz w:val="22"/>
              </w:rPr>
            </w:pPr>
            <w:r>
              <w:rPr>
                <w:sz w:val="22"/>
              </w:rPr>
              <w:t>58</w:t>
            </w:r>
          </w:p>
        </w:tc>
        <w:tc>
          <w:tcPr>
            <w:tcW w:w="1275" w:type="dxa"/>
          </w:tcPr>
          <w:p>
            <w:pPr>
              <w:pStyle w:val="TableParagraph"/>
              <w:ind w:left="465" w:right="106"/>
              <w:rPr>
                <w:sz w:val="22"/>
              </w:rPr>
            </w:pPr>
            <w:r>
              <w:rPr>
                <w:sz w:val="22"/>
              </w:rPr>
              <w:t>231</w:t>
            </w:r>
          </w:p>
        </w:tc>
        <w:tc>
          <w:tcPr>
            <w:tcW w:w="1418" w:type="dxa"/>
          </w:tcPr>
          <w:p>
            <w:pPr>
              <w:pStyle w:val="TableParagraph"/>
              <w:ind w:right="590"/>
              <w:jc w:val="right"/>
              <w:rPr>
                <w:sz w:val="22"/>
              </w:rPr>
            </w:pPr>
            <w:r>
              <w:rPr>
                <w:sz w:val="22"/>
              </w:rPr>
              <w:t>35</w:t>
            </w:r>
          </w:p>
        </w:tc>
      </w:tr>
      <w:tr>
        <w:trPr>
          <w:trHeight w:val="312" w:hRule="exact"/>
        </w:trPr>
        <w:tc>
          <w:tcPr>
            <w:tcW w:w="2384" w:type="dxa"/>
          </w:tcPr>
          <w:p>
            <w:pPr>
              <w:pStyle w:val="TableParagraph"/>
              <w:spacing w:before="30"/>
              <w:ind w:left="489" w:right="527"/>
              <w:rPr>
                <w:b/>
                <w:sz w:val="22"/>
              </w:rPr>
            </w:pPr>
            <w:r>
              <w:rPr>
                <w:b/>
                <w:sz w:val="22"/>
              </w:rPr>
              <w:t>EL BOYE</w:t>
            </w:r>
          </w:p>
        </w:tc>
        <w:tc>
          <w:tcPr>
            <w:tcW w:w="1373" w:type="dxa"/>
          </w:tcPr>
          <w:p>
            <w:pPr>
              <w:pStyle w:val="TableParagraph"/>
              <w:spacing w:before="30"/>
              <w:ind w:left="494" w:right="495"/>
              <w:jc w:val="center"/>
              <w:rPr>
                <w:sz w:val="22"/>
              </w:rPr>
            </w:pPr>
            <w:r>
              <w:rPr>
                <w:sz w:val="22"/>
              </w:rPr>
              <w:t>167</w:t>
            </w:r>
          </w:p>
        </w:tc>
        <w:tc>
          <w:tcPr>
            <w:tcW w:w="1558" w:type="dxa"/>
          </w:tcPr>
          <w:p>
            <w:pPr>
              <w:pStyle w:val="TableParagraph"/>
              <w:spacing w:before="30"/>
              <w:ind w:left="474" w:right="472"/>
              <w:jc w:val="center"/>
              <w:rPr>
                <w:sz w:val="22"/>
              </w:rPr>
            </w:pPr>
            <w:r>
              <w:rPr>
                <w:sz w:val="22"/>
              </w:rPr>
              <w:t>74</w:t>
            </w:r>
          </w:p>
        </w:tc>
        <w:tc>
          <w:tcPr>
            <w:tcW w:w="1560" w:type="dxa"/>
          </w:tcPr>
          <w:p>
            <w:pPr>
              <w:pStyle w:val="TableParagraph"/>
              <w:spacing w:before="30"/>
              <w:ind w:left="589" w:right="585"/>
              <w:jc w:val="center"/>
              <w:rPr>
                <w:sz w:val="22"/>
              </w:rPr>
            </w:pPr>
            <w:r>
              <w:rPr>
                <w:sz w:val="22"/>
              </w:rPr>
              <w:t>93</w:t>
            </w:r>
          </w:p>
        </w:tc>
        <w:tc>
          <w:tcPr>
            <w:tcW w:w="1560" w:type="dxa"/>
          </w:tcPr>
          <w:p>
            <w:pPr>
              <w:pStyle w:val="TableParagraph"/>
              <w:spacing w:before="30"/>
              <w:ind w:left="587" w:right="587"/>
              <w:jc w:val="center"/>
              <w:rPr>
                <w:sz w:val="22"/>
              </w:rPr>
            </w:pPr>
            <w:r>
              <w:rPr>
                <w:sz w:val="22"/>
              </w:rPr>
              <w:t>10</w:t>
            </w:r>
          </w:p>
        </w:tc>
        <w:tc>
          <w:tcPr>
            <w:tcW w:w="1275" w:type="dxa"/>
          </w:tcPr>
          <w:p>
            <w:pPr>
              <w:pStyle w:val="TableParagraph"/>
              <w:spacing w:before="30"/>
              <w:ind w:left="520" w:right="106"/>
              <w:rPr>
                <w:sz w:val="22"/>
              </w:rPr>
            </w:pPr>
            <w:r>
              <w:rPr>
                <w:sz w:val="22"/>
              </w:rPr>
              <w:t>42</w:t>
            </w:r>
          </w:p>
        </w:tc>
        <w:tc>
          <w:tcPr>
            <w:tcW w:w="1418" w:type="dxa"/>
          </w:tcPr>
          <w:p>
            <w:pPr>
              <w:pStyle w:val="TableParagraph"/>
              <w:spacing w:before="30"/>
              <w:ind w:right="590"/>
              <w:jc w:val="right"/>
              <w:rPr>
                <w:sz w:val="22"/>
              </w:rPr>
            </w:pPr>
            <w:r>
              <w:rPr>
                <w:sz w:val="22"/>
              </w:rPr>
              <w:t>25</w:t>
            </w:r>
          </w:p>
        </w:tc>
      </w:tr>
      <w:tr>
        <w:trPr>
          <w:trHeight w:val="310" w:hRule="exact"/>
        </w:trPr>
        <w:tc>
          <w:tcPr>
            <w:tcW w:w="2384" w:type="dxa"/>
          </w:tcPr>
          <w:p>
            <w:pPr>
              <w:pStyle w:val="TableParagraph"/>
              <w:ind w:left="489"/>
              <w:rPr>
                <w:b/>
                <w:sz w:val="22"/>
              </w:rPr>
            </w:pPr>
            <w:r>
              <w:rPr>
                <w:b/>
                <w:sz w:val="22"/>
              </w:rPr>
              <w:t>CAÑADA CHICA</w:t>
            </w:r>
          </w:p>
        </w:tc>
        <w:tc>
          <w:tcPr>
            <w:tcW w:w="1373" w:type="dxa"/>
          </w:tcPr>
          <w:p>
            <w:pPr>
              <w:pStyle w:val="TableParagraph"/>
              <w:ind w:left="494" w:right="495"/>
              <w:jc w:val="center"/>
              <w:rPr>
                <w:sz w:val="22"/>
              </w:rPr>
            </w:pPr>
            <w:r>
              <w:rPr>
                <w:sz w:val="22"/>
              </w:rPr>
              <w:t>646</w:t>
            </w:r>
          </w:p>
        </w:tc>
        <w:tc>
          <w:tcPr>
            <w:tcW w:w="1558" w:type="dxa"/>
          </w:tcPr>
          <w:p>
            <w:pPr>
              <w:pStyle w:val="TableParagraph"/>
              <w:ind w:left="474" w:right="473"/>
              <w:jc w:val="center"/>
              <w:rPr>
                <w:sz w:val="22"/>
              </w:rPr>
            </w:pPr>
            <w:r>
              <w:rPr>
                <w:sz w:val="22"/>
              </w:rPr>
              <w:t>311</w:t>
            </w:r>
          </w:p>
        </w:tc>
        <w:tc>
          <w:tcPr>
            <w:tcW w:w="1560" w:type="dxa"/>
          </w:tcPr>
          <w:p>
            <w:pPr>
              <w:pStyle w:val="TableParagraph"/>
              <w:ind w:left="589" w:right="586"/>
              <w:jc w:val="center"/>
              <w:rPr>
                <w:sz w:val="22"/>
              </w:rPr>
            </w:pPr>
            <w:r>
              <w:rPr>
                <w:sz w:val="22"/>
              </w:rPr>
              <w:t>335</w:t>
            </w:r>
          </w:p>
        </w:tc>
        <w:tc>
          <w:tcPr>
            <w:tcW w:w="1560" w:type="dxa"/>
          </w:tcPr>
          <w:p>
            <w:pPr>
              <w:pStyle w:val="TableParagraph"/>
              <w:ind w:left="587" w:right="587"/>
              <w:jc w:val="center"/>
              <w:rPr>
                <w:sz w:val="22"/>
              </w:rPr>
            </w:pPr>
            <w:r>
              <w:rPr>
                <w:sz w:val="22"/>
              </w:rPr>
              <w:t>40</w:t>
            </w:r>
          </w:p>
        </w:tc>
        <w:tc>
          <w:tcPr>
            <w:tcW w:w="1275" w:type="dxa"/>
          </w:tcPr>
          <w:p>
            <w:pPr>
              <w:pStyle w:val="TableParagraph"/>
              <w:ind w:left="465" w:right="106"/>
              <w:rPr>
                <w:sz w:val="22"/>
              </w:rPr>
            </w:pPr>
            <w:r>
              <w:rPr>
                <w:sz w:val="22"/>
              </w:rPr>
              <w:t>162</w:t>
            </w:r>
          </w:p>
        </w:tc>
        <w:tc>
          <w:tcPr>
            <w:tcW w:w="1418" w:type="dxa"/>
          </w:tcPr>
          <w:p>
            <w:pPr>
              <w:pStyle w:val="TableParagraph"/>
              <w:ind w:right="590"/>
              <w:jc w:val="right"/>
              <w:rPr>
                <w:sz w:val="22"/>
              </w:rPr>
            </w:pPr>
            <w:r>
              <w:rPr>
                <w:sz w:val="22"/>
              </w:rPr>
              <w:t>25</w:t>
            </w:r>
          </w:p>
        </w:tc>
      </w:tr>
      <w:tr>
        <w:trPr>
          <w:trHeight w:val="310" w:hRule="exact"/>
        </w:trPr>
        <w:tc>
          <w:tcPr>
            <w:tcW w:w="2384" w:type="dxa"/>
          </w:tcPr>
          <w:p>
            <w:pPr>
              <w:pStyle w:val="TableParagraph"/>
              <w:ind w:left="489"/>
              <w:rPr>
                <w:b/>
                <w:sz w:val="22"/>
              </w:rPr>
            </w:pPr>
            <w:r>
              <w:rPr>
                <w:b/>
                <w:sz w:val="22"/>
              </w:rPr>
              <w:t>CUESTA COLORADA</w:t>
            </w:r>
          </w:p>
        </w:tc>
        <w:tc>
          <w:tcPr>
            <w:tcW w:w="1373" w:type="dxa"/>
          </w:tcPr>
          <w:p>
            <w:pPr>
              <w:pStyle w:val="TableParagraph"/>
              <w:ind w:left="494" w:right="495"/>
              <w:jc w:val="center"/>
              <w:rPr>
                <w:sz w:val="22"/>
              </w:rPr>
            </w:pPr>
            <w:r>
              <w:rPr>
                <w:sz w:val="22"/>
              </w:rPr>
              <w:t>441</w:t>
            </w:r>
          </w:p>
        </w:tc>
        <w:tc>
          <w:tcPr>
            <w:tcW w:w="1558" w:type="dxa"/>
          </w:tcPr>
          <w:p>
            <w:pPr>
              <w:pStyle w:val="TableParagraph"/>
              <w:ind w:left="474" w:right="473"/>
              <w:jc w:val="center"/>
              <w:rPr>
                <w:sz w:val="22"/>
              </w:rPr>
            </w:pPr>
            <w:r>
              <w:rPr>
                <w:sz w:val="22"/>
              </w:rPr>
              <w:t>233</w:t>
            </w:r>
          </w:p>
        </w:tc>
        <w:tc>
          <w:tcPr>
            <w:tcW w:w="1560" w:type="dxa"/>
          </w:tcPr>
          <w:p>
            <w:pPr>
              <w:pStyle w:val="TableParagraph"/>
              <w:ind w:left="589" w:right="586"/>
              <w:jc w:val="center"/>
              <w:rPr>
                <w:sz w:val="22"/>
              </w:rPr>
            </w:pPr>
            <w:r>
              <w:rPr>
                <w:sz w:val="22"/>
              </w:rPr>
              <w:t>208</w:t>
            </w:r>
          </w:p>
        </w:tc>
        <w:tc>
          <w:tcPr>
            <w:tcW w:w="1560" w:type="dxa"/>
          </w:tcPr>
          <w:p>
            <w:pPr>
              <w:pStyle w:val="TableParagraph"/>
              <w:ind w:left="587" w:right="587"/>
              <w:jc w:val="center"/>
              <w:rPr>
                <w:sz w:val="22"/>
              </w:rPr>
            </w:pPr>
            <w:r>
              <w:rPr>
                <w:sz w:val="22"/>
              </w:rPr>
              <w:t>28</w:t>
            </w:r>
          </w:p>
        </w:tc>
        <w:tc>
          <w:tcPr>
            <w:tcW w:w="1275" w:type="dxa"/>
          </w:tcPr>
          <w:p>
            <w:pPr>
              <w:pStyle w:val="TableParagraph"/>
              <w:ind w:left="465" w:right="106"/>
              <w:rPr>
                <w:sz w:val="22"/>
              </w:rPr>
            </w:pPr>
            <w:r>
              <w:rPr>
                <w:sz w:val="22"/>
              </w:rPr>
              <w:t>110</w:t>
            </w:r>
          </w:p>
        </w:tc>
        <w:tc>
          <w:tcPr>
            <w:tcW w:w="1418" w:type="dxa"/>
          </w:tcPr>
          <w:p>
            <w:pPr>
              <w:pStyle w:val="TableParagraph"/>
              <w:ind w:right="590"/>
              <w:jc w:val="right"/>
              <w:rPr>
                <w:sz w:val="22"/>
              </w:rPr>
            </w:pPr>
            <w:r>
              <w:rPr>
                <w:sz w:val="22"/>
              </w:rPr>
              <w:t>25</w:t>
            </w:r>
          </w:p>
        </w:tc>
      </w:tr>
      <w:tr>
        <w:trPr>
          <w:trHeight w:val="310" w:hRule="exact"/>
        </w:trPr>
        <w:tc>
          <w:tcPr>
            <w:tcW w:w="2384" w:type="dxa"/>
          </w:tcPr>
          <w:p>
            <w:pPr>
              <w:pStyle w:val="TableParagraph"/>
              <w:ind w:left="489" w:right="527"/>
              <w:rPr>
                <w:b/>
                <w:sz w:val="22"/>
              </w:rPr>
            </w:pPr>
            <w:r>
              <w:rPr>
                <w:b/>
                <w:sz w:val="22"/>
              </w:rPr>
              <w:t>EL DEFAY</w:t>
            </w:r>
          </w:p>
        </w:tc>
        <w:tc>
          <w:tcPr>
            <w:tcW w:w="1373" w:type="dxa"/>
          </w:tcPr>
          <w:p>
            <w:pPr>
              <w:pStyle w:val="TableParagraph"/>
              <w:ind w:left="494" w:right="495"/>
              <w:jc w:val="center"/>
              <w:rPr>
                <w:sz w:val="22"/>
              </w:rPr>
            </w:pPr>
            <w:r>
              <w:rPr>
                <w:sz w:val="22"/>
              </w:rPr>
              <w:t>471</w:t>
            </w:r>
          </w:p>
        </w:tc>
        <w:tc>
          <w:tcPr>
            <w:tcW w:w="1558" w:type="dxa"/>
          </w:tcPr>
          <w:p>
            <w:pPr>
              <w:pStyle w:val="TableParagraph"/>
              <w:ind w:left="474" w:right="473"/>
              <w:jc w:val="center"/>
              <w:rPr>
                <w:sz w:val="22"/>
              </w:rPr>
            </w:pPr>
            <w:r>
              <w:rPr>
                <w:sz w:val="22"/>
              </w:rPr>
              <w:t>233</w:t>
            </w:r>
          </w:p>
        </w:tc>
        <w:tc>
          <w:tcPr>
            <w:tcW w:w="1560" w:type="dxa"/>
          </w:tcPr>
          <w:p>
            <w:pPr>
              <w:pStyle w:val="TableParagraph"/>
              <w:ind w:left="589" w:right="586"/>
              <w:jc w:val="center"/>
              <w:rPr>
                <w:sz w:val="22"/>
              </w:rPr>
            </w:pPr>
            <w:r>
              <w:rPr>
                <w:sz w:val="22"/>
              </w:rPr>
              <w:t>238</w:t>
            </w:r>
          </w:p>
        </w:tc>
        <w:tc>
          <w:tcPr>
            <w:tcW w:w="1560" w:type="dxa"/>
          </w:tcPr>
          <w:p>
            <w:pPr>
              <w:pStyle w:val="TableParagraph"/>
              <w:ind w:left="587" w:right="587"/>
              <w:jc w:val="center"/>
              <w:rPr>
                <w:sz w:val="22"/>
              </w:rPr>
            </w:pPr>
            <w:r>
              <w:rPr>
                <w:sz w:val="22"/>
              </w:rPr>
              <w:t>29</w:t>
            </w:r>
          </w:p>
        </w:tc>
        <w:tc>
          <w:tcPr>
            <w:tcW w:w="1275" w:type="dxa"/>
          </w:tcPr>
          <w:p>
            <w:pPr>
              <w:pStyle w:val="TableParagraph"/>
              <w:ind w:left="465" w:right="106"/>
              <w:rPr>
                <w:sz w:val="22"/>
              </w:rPr>
            </w:pPr>
            <w:r>
              <w:rPr>
                <w:sz w:val="22"/>
              </w:rPr>
              <w:t>118</w:t>
            </w:r>
          </w:p>
        </w:tc>
        <w:tc>
          <w:tcPr>
            <w:tcW w:w="1418" w:type="dxa"/>
          </w:tcPr>
          <w:p>
            <w:pPr>
              <w:pStyle w:val="TableParagraph"/>
              <w:ind w:right="590"/>
              <w:jc w:val="right"/>
              <w:rPr>
                <w:sz w:val="22"/>
              </w:rPr>
            </w:pPr>
            <w:r>
              <w:rPr>
                <w:sz w:val="22"/>
              </w:rPr>
              <w:t>25</w:t>
            </w:r>
          </w:p>
        </w:tc>
      </w:tr>
      <w:tr>
        <w:trPr>
          <w:trHeight w:val="310" w:hRule="exact"/>
        </w:trPr>
        <w:tc>
          <w:tcPr>
            <w:tcW w:w="2384" w:type="dxa"/>
          </w:tcPr>
          <w:p>
            <w:pPr>
              <w:pStyle w:val="TableParagraph"/>
              <w:ind w:left="489"/>
              <w:rPr>
                <w:b/>
                <w:sz w:val="22"/>
              </w:rPr>
            </w:pPr>
            <w:r>
              <w:rPr>
                <w:b/>
                <w:sz w:val="22"/>
              </w:rPr>
              <w:t>EL DEXTHI ALBERTO</w:t>
            </w:r>
          </w:p>
        </w:tc>
        <w:tc>
          <w:tcPr>
            <w:tcW w:w="1373" w:type="dxa"/>
          </w:tcPr>
          <w:p>
            <w:pPr>
              <w:pStyle w:val="TableParagraph"/>
              <w:ind w:left="494" w:right="495"/>
              <w:jc w:val="center"/>
              <w:rPr>
                <w:sz w:val="22"/>
              </w:rPr>
            </w:pPr>
            <w:r>
              <w:rPr>
                <w:sz w:val="22"/>
              </w:rPr>
              <w:t>194</w:t>
            </w:r>
          </w:p>
        </w:tc>
        <w:tc>
          <w:tcPr>
            <w:tcW w:w="1558" w:type="dxa"/>
          </w:tcPr>
          <w:p>
            <w:pPr>
              <w:pStyle w:val="TableParagraph"/>
              <w:ind w:left="474" w:right="472"/>
              <w:jc w:val="center"/>
              <w:rPr>
                <w:sz w:val="22"/>
              </w:rPr>
            </w:pPr>
            <w:r>
              <w:rPr>
                <w:sz w:val="22"/>
              </w:rPr>
              <w:t>97</w:t>
            </w:r>
          </w:p>
        </w:tc>
        <w:tc>
          <w:tcPr>
            <w:tcW w:w="1560" w:type="dxa"/>
          </w:tcPr>
          <w:p>
            <w:pPr>
              <w:pStyle w:val="TableParagraph"/>
              <w:ind w:left="589" w:right="585"/>
              <w:jc w:val="center"/>
              <w:rPr>
                <w:sz w:val="22"/>
              </w:rPr>
            </w:pPr>
            <w:r>
              <w:rPr>
                <w:sz w:val="22"/>
              </w:rPr>
              <w:t>97</w:t>
            </w:r>
          </w:p>
        </w:tc>
        <w:tc>
          <w:tcPr>
            <w:tcW w:w="1560" w:type="dxa"/>
          </w:tcPr>
          <w:p>
            <w:pPr>
              <w:pStyle w:val="TableParagraph"/>
              <w:ind w:left="587" w:right="587"/>
              <w:jc w:val="center"/>
              <w:rPr>
                <w:sz w:val="22"/>
              </w:rPr>
            </w:pPr>
            <w:r>
              <w:rPr>
                <w:sz w:val="22"/>
              </w:rPr>
              <w:t>24</w:t>
            </w:r>
          </w:p>
        </w:tc>
        <w:tc>
          <w:tcPr>
            <w:tcW w:w="1275" w:type="dxa"/>
          </w:tcPr>
          <w:p>
            <w:pPr>
              <w:pStyle w:val="TableParagraph"/>
              <w:ind w:left="520" w:right="106"/>
              <w:rPr>
                <w:sz w:val="22"/>
              </w:rPr>
            </w:pPr>
            <w:r>
              <w:rPr>
                <w:sz w:val="22"/>
              </w:rPr>
              <w:t>97</w:t>
            </w:r>
          </w:p>
        </w:tc>
        <w:tc>
          <w:tcPr>
            <w:tcW w:w="1418" w:type="dxa"/>
          </w:tcPr>
          <w:p>
            <w:pPr>
              <w:pStyle w:val="TableParagraph"/>
              <w:ind w:right="590"/>
              <w:jc w:val="right"/>
              <w:rPr>
                <w:sz w:val="22"/>
              </w:rPr>
            </w:pPr>
            <w:r>
              <w:rPr>
                <w:sz w:val="22"/>
              </w:rPr>
              <w:t>50</w:t>
            </w:r>
          </w:p>
        </w:tc>
      </w:tr>
      <w:tr>
        <w:trPr>
          <w:trHeight w:val="310" w:hRule="exact"/>
        </w:trPr>
        <w:tc>
          <w:tcPr>
            <w:tcW w:w="2384" w:type="dxa"/>
          </w:tcPr>
          <w:p>
            <w:pPr>
              <w:pStyle w:val="TableParagraph"/>
              <w:spacing w:before="104"/>
              <w:ind w:left="489"/>
              <w:rPr>
                <w:b/>
                <w:sz w:val="16"/>
              </w:rPr>
            </w:pPr>
            <w:r>
              <w:rPr>
                <w:b/>
                <w:sz w:val="16"/>
              </w:rPr>
              <w:t>EL DEXTHI SAN JUANICO</w:t>
            </w:r>
          </w:p>
        </w:tc>
        <w:tc>
          <w:tcPr>
            <w:tcW w:w="1373" w:type="dxa"/>
          </w:tcPr>
          <w:p>
            <w:pPr>
              <w:pStyle w:val="TableParagraph"/>
              <w:ind w:left="494" w:right="495"/>
              <w:jc w:val="center"/>
              <w:rPr>
                <w:sz w:val="22"/>
              </w:rPr>
            </w:pPr>
            <w:r>
              <w:rPr>
                <w:sz w:val="22"/>
              </w:rPr>
              <w:t>445</w:t>
            </w:r>
          </w:p>
        </w:tc>
        <w:tc>
          <w:tcPr>
            <w:tcW w:w="1558" w:type="dxa"/>
          </w:tcPr>
          <w:p>
            <w:pPr>
              <w:pStyle w:val="TableParagraph"/>
              <w:ind w:left="474" w:right="473"/>
              <w:jc w:val="center"/>
              <w:rPr>
                <w:sz w:val="22"/>
              </w:rPr>
            </w:pPr>
            <w:r>
              <w:rPr>
                <w:sz w:val="22"/>
              </w:rPr>
              <w:t>209</w:t>
            </w:r>
          </w:p>
        </w:tc>
        <w:tc>
          <w:tcPr>
            <w:tcW w:w="1560" w:type="dxa"/>
          </w:tcPr>
          <w:p>
            <w:pPr>
              <w:pStyle w:val="TableParagraph"/>
              <w:ind w:left="589" w:right="586"/>
              <w:jc w:val="center"/>
              <w:rPr>
                <w:sz w:val="22"/>
              </w:rPr>
            </w:pPr>
            <w:r>
              <w:rPr>
                <w:sz w:val="22"/>
              </w:rPr>
              <w:t>236</w:t>
            </w:r>
          </w:p>
        </w:tc>
        <w:tc>
          <w:tcPr>
            <w:tcW w:w="1560" w:type="dxa"/>
          </w:tcPr>
          <w:p>
            <w:pPr>
              <w:pStyle w:val="TableParagraph"/>
              <w:ind w:left="587" w:right="587"/>
              <w:jc w:val="center"/>
              <w:rPr>
                <w:sz w:val="22"/>
              </w:rPr>
            </w:pPr>
            <w:r>
              <w:rPr>
                <w:sz w:val="22"/>
              </w:rPr>
              <w:t>78</w:t>
            </w:r>
          </w:p>
        </w:tc>
        <w:tc>
          <w:tcPr>
            <w:tcW w:w="1275" w:type="dxa"/>
          </w:tcPr>
          <w:p>
            <w:pPr>
              <w:pStyle w:val="TableParagraph"/>
              <w:ind w:left="465" w:right="106"/>
              <w:rPr>
                <w:sz w:val="22"/>
              </w:rPr>
            </w:pPr>
            <w:r>
              <w:rPr>
                <w:sz w:val="22"/>
              </w:rPr>
              <w:t>312</w:t>
            </w:r>
          </w:p>
        </w:tc>
        <w:tc>
          <w:tcPr>
            <w:tcW w:w="1418" w:type="dxa"/>
          </w:tcPr>
          <w:p>
            <w:pPr>
              <w:pStyle w:val="TableParagraph"/>
              <w:ind w:right="590"/>
              <w:jc w:val="right"/>
              <w:rPr>
                <w:sz w:val="22"/>
              </w:rPr>
            </w:pPr>
            <w:r>
              <w:rPr>
                <w:sz w:val="22"/>
              </w:rPr>
              <w:t>70</w:t>
            </w:r>
          </w:p>
        </w:tc>
      </w:tr>
      <w:tr>
        <w:trPr>
          <w:trHeight w:val="312" w:hRule="exact"/>
        </w:trPr>
        <w:tc>
          <w:tcPr>
            <w:tcW w:w="2384" w:type="dxa"/>
          </w:tcPr>
          <w:p>
            <w:pPr>
              <w:pStyle w:val="TableParagraph"/>
              <w:spacing w:before="30"/>
              <w:ind w:left="489" w:right="527"/>
              <w:rPr>
                <w:b/>
                <w:sz w:val="22"/>
              </w:rPr>
            </w:pPr>
            <w:r>
              <w:rPr>
                <w:b/>
                <w:sz w:val="22"/>
              </w:rPr>
              <w:t>EL DEXTHO</w:t>
            </w:r>
          </w:p>
        </w:tc>
        <w:tc>
          <w:tcPr>
            <w:tcW w:w="1373" w:type="dxa"/>
          </w:tcPr>
          <w:p>
            <w:pPr>
              <w:pStyle w:val="TableParagraph"/>
              <w:spacing w:before="30"/>
              <w:ind w:left="494" w:right="495"/>
              <w:jc w:val="center"/>
              <w:rPr>
                <w:sz w:val="22"/>
              </w:rPr>
            </w:pPr>
            <w:r>
              <w:rPr>
                <w:sz w:val="22"/>
              </w:rPr>
              <w:t>613</w:t>
            </w:r>
          </w:p>
        </w:tc>
        <w:tc>
          <w:tcPr>
            <w:tcW w:w="1558" w:type="dxa"/>
          </w:tcPr>
          <w:p>
            <w:pPr>
              <w:pStyle w:val="TableParagraph"/>
              <w:spacing w:before="30"/>
              <w:ind w:left="474" w:right="473"/>
              <w:jc w:val="center"/>
              <w:rPr>
                <w:sz w:val="22"/>
              </w:rPr>
            </w:pPr>
            <w:r>
              <w:rPr>
                <w:sz w:val="22"/>
              </w:rPr>
              <w:t>293</w:t>
            </w:r>
          </w:p>
        </w:tc>
        <w:tc>
          <w:tcPr>
            <w:tcW w:w="1560" w:type="dxa"/>
          </w:tcPr>
          <w:p>
            <w:pPr>
              <w:pStyle w:val="TableParagraph"/>
              <w:spacing w:before="30"/>
              <w:ind w:left="589" w:right="586"/>
              <w:jc w:val="center"/>
              <w:rPr>
                <w:sz w:val="22"/>
              </w:rPr>
            </w:pPr>
            <w:r>
              <w:rPr>
                <w:sz w:val="22"/>
              </w:rPr>
              <w:t>320</w:t>
            </w:r>
          </w:p>
        </w:tc>
        <w:tc>
          <w:tcPr>
            <w:tcW w:w="1560" w:type="dxa"/>
          </w:tcPr>
          <w:p>
            <w:pPr>
              <w:pStyle w:val="TableParagraph"/>
              <w:spacing w:before="30"/>
              <w:ind w:left="587" w:right="587"/>
              <w:jc w:val="center"/>
              <w:rPr>
                <w:sz w:val="22"/>
              </w:rPr>
            </w:pPr>
            <w:r>
              <w:rPr>
                <w:sz w:val="22"/>
              </w:rPr>
              <w:t>54</w:t>
            </w:r>
          </w:p>
        </w:tc>
        <w:tc>
          <w:tcPr>
            <w:tcW w:w="1275" w:type="dxa"/>
          </w:tcPr>
          <w:p>
            <w:pPr>
              <w:pStyle w:val="TableParagraph"/>
              <w:spacing w:before="30"/>
              <w:ind w:left="465" w:right="106"/>
              <w:rPr>
                <w:sz w:val="22"/>
              </w:rPr>
            </w:pPr>
            <w:r>
              <w:rPr>
                <w:sz w:val="22"/>
              </w:rPr>
              <w:t>215</w:t>
            </w:r>
          </w:p>
        </w:tc>
        <w:tc>
          <w:tcPr>
            <w:tcW w:w="1418" w:type="dxa"/>
          </w:tcPr>
          <w:p>
            <w:pPr>
              <w:pStyle w:val="TableParagraph"/>
              <w:spacing w:before="30"/>
              <w:ind w:right="590"/>
              <w:jc w:val="right"/>
              <w:rPr>
                <w:sz w:val="22"/>
              </w:rPr>
            </w:pPr>
            <w:r>
              <w:rPr>
                <w:sz w:val="22"/>
              </w:rPr>
              <w:t>35</w:t>
            </w:r>
          </w:p>
        </w:tc>
      </w:tr>
      <w:tr>
        <w:trPr>
          <w:trHeight w:val="310" w:hRule="exact"/>
        </w:trPr>
        <w:tc>
          <w:tcPr>
            <w:tcW w:w="2384" w:type="dxa"/>
          </w:tcPr>
          <w:p>
            <w:pPr>
              <w:pStyle w:val="TableParagraph"/>
              <w:ind w:left="489"/>
              <w:rPr>
                <w:b/>
                <w:sz w:val="22"/>
              </w:rPr>
            </w:pPr>
            <w:r>
              <w:rPr>
                <w:b/>
                <w:sz w:val="22"/>
              </w:rPr>
              <w:t>JULIAN VILLAGRAN</w:t>
            </w:r>
          </w:p>
        </w:tc>
        <w:tc>
          <w:tcPr>
            <w:tcW w:w="1373" w:type="dxa"/>
          </w:tcPr>
          <w:p>
            <w:pPr>
              <w:pStyle w:val="TableParagraph"/>
              <w:ind w:right="458"/>
              <w:jc w:val="right"/>
              <w:rPr>
                <w:sz w:val="22"/>
              </w:rPr>
            </w:pPr>
            <w:r>
              <w:rPr>
                <w:sz w:val="22"/>
              </w:rPr>
              <w:t>1198</w:t>
            </w:r>
          </w:p>
        </w:tc>
        <w:tc>
          <w:tcPr>
            <w:tcW w:w="1558" w:type="dxa"/>
          </w:tcPr>
          <w:p>
            <w:pPr>
              <w:pStyle w:val="TableParagraph"/>
              <w:ind w:left="474" w:right="473"/>
              <w:jc w:val="center"/>
              <w:rPr>
                <w:sz w:val="22"/>
              </w:rPr>
            </w:pPr>
            <w:r>
              <w:rPr>
                <w:sz w:val="22"/>
              </w:rPr>
              <w:t>552</w:t>
            </w:r>
          </w:p>
        </w:tc>
        <w:tc>
          <w:tcPr>
            <w:tcW w:w="1560" w:type="dxa"/>
          </w:tcPr>
          <w:p>
            <w:pPr>
              <w:pStyle w:val="TableParagraph"/>
              <w:ind w:left="589" w:right="586"/>
              <w:jc w:val="center"/>
              <w:rPr>
                <w:sz w:val="22"/>
              </w:rPr>
            </w:pPr>
            <w:r>
              <w:rPr>
                <w:sz w:val="22"/>
              </w:rPr>
              <w:t>646</w:t>
            </w:r>
          </w:p>
        </w:tc>
        <w:tc>
          <w:tcPr>
            <w:tcW w:w="1560" w:type="dxa"/>
          </w:tcPr>
          <w:p>
            <w:pPr>
              <w:pStyle w:val="TableParagraph"/>
              <w:ind w:left="587" w:right="587"/>
              <w:jc w:val="center"/>
              <w:rPr>
                <w:sz w:val="22"/>
              </w:rPr>
            </w:pPr>
            <w:r>
              <w:rPr>
                <w:sz w:val="22"/>
              </w:rPr>
              <w:t>75</w:t>
            </w:r>
          </w:p>
        </w:tc>
        <w:tc>
          <w:tcPr>
            <w:tcW w:w="1275" w:type="dxa"/>
          </w:tcPr>
          <w:p>
            <w:pPr>
              <w:pStyle w:val="TableParagraph"/>
              <w:ind w:left="465" w:right="106"/>
              <w:rPr>
                <w:sz w:val="22"/>
              </w:rPr>
            </w:pPr>
            <w:r>
              <w:rPr>
                <w:sz w:val="22"/>
              </w:rPr>
              <w:t>300</w:t>
            </w:r>
          </w:p>
        </w:tc>
        <w:tc>
          <w:tcPr>
            <w:tcW w:w="1418" w:type="dxa"/>
          </w:tcPr>
          <w:p>
            <w:pPr>
              <w:pStyle w:val="TableParagraph"/>
              <w:ind w:right="590"/>
              <w:jc w:val="right"/>
              <w:rPr>
                <w:sz w:val="22"/>
              </w:rPr>
            </w:pPr>
            <w:r>
              <w:rPr>
                <w:sz w:val="22"/>
              </w:rPr>
              <w:t>25</w:t>
            </w:r>
          </w:p>
        </w:tc>
      </w:tr>
      <w:tr>
        <w:trPr>
          <w:trHeight w:val="310" w:hRule="exact"/>
        </w:trPr>
        <w:tc>
          <w:tcPr>
            <w:tcW w:w="2384" w:type="dxa"/>
          </w:tcPr>
          <w:p>
            <w:pPr>
              <w:pStyle w:val="TableParagraph"/>
              <w:ind w:left="489" w:right="527"/>
              <w:rPr>
                <w:b/>
                <w:sz w:val="22"/>
              </w:rPr>
            </w:pPr>
            <w:r>
              <w:rPr>
                <w:b/>
                <w:sz w:val="22"/>
              </w:rPr>
              <w:t>LA LAGUNITA</w:t>
            </w:r>
          </w:p>
        </w:tc>
        <w:tc>
          <w:tcPr>
            <w:tcW w:w="1373" w:type="dxa"/>
          </w:tcPr>
          <w:p>
            <w:pPr>
              <w:pStyle w:val="TableParagraph"/>
              <w:ind w:left="494" w:right="495"/>
              <w:jc w:val="center"/>
              <w:rPr>
                <w:sz w:val="22"/>
              </w:rPr>
            </w:pPr>
            <w:r>
              <w:rPr>
                <w:sz w:val="22"/>
              </w:rPr>
              <w:t>485</w:t>
            </w:r>
          </w:p>
        </w:tc>
        <w:tc>
          <w:tcPr>
            <w:tcW w:w="1558" w:type="dxa"/>
          </w:tcPr>
          <w:p>
            <w:pPr>
              <w:pStyle w:val="TableParagraph"/>
              <w:ind w:left="474" w:right="473"/>
              <w:jc w:val="center"/>
              <w:rPr>
                <w:sz w:val="22"/>
              </w:rPr>
            </w:pPr>
            <w:r>
              <w:rPr>
                <w:sz w:val="22"/>
              </w:rPr>
              <w:t>219</w:t>
            </w:r>
          </w:p>
        </w:tc>
        <w:tc>
          <w:tcPr>
            <w:tcW w:w="1560" w:type="dxa"/>
          </w:tcPr>
          <w:p>
            <w:pPr>
              <w:pStyle w:val="TableParagraph"/>
              <w:ind w:left="589" w:right="586"/>
              <w:jc w:val="center"/>
              <w:rPr>
                <w:sz w:val="22"/>
              </w:rPr>
            </w:pPr>
            <w:r>
              <w:rPr>
                <w:sz w:val="22"/>
              </w:rPr>
              <w:t>266</w:t>
            </w:r>
          </w:p>
        </w:tc>
        <w:tc>
          <w:tcPr>
            <w:tcW w:w="1560" w:type="dxa"/>
          </w:tcPr>
          <w:p>
            <w:pPr>
              <w:pStyle w:val="TableParagraph"/>
              <w:ind w:left="587" w:right="587"/>
              <w:jc w:val="center"/>
              <w:rPr>
                <w:sz w:val="22"/>
              </w:rPr>
            </w:pPr>
            <w:r>
              <w:rPr>
                <w:sz w:val="22"/>
              </w:rPr>
              <w:t>30</w:t>
            </w:r>
          </w:p>
        </w:tc>
        <w:tc>
          <w:tcPr>
            <w:tcW w:w="1275" w:type="dxa"/>
          </w:tcPr>
          <w:p>
            <w:pPr>
              <w:pStyle w:val="TableParagraph"/>
              <w:ind w:left="465" w:right="106"/>
              <w:rPr>
                <w:sz w:val="22"/>
              </w:rPr>
            </w:pPr>
            <w:r>
              <w:rPr>
                <w:sz w:val="22"/>
              </w:rPr>
              <w:t>121</w:t>
            </w:r>
          </w:p>
        </w:tc>
        <w:tc>
          <w:tcPr>
            <w:tcW w:w="1418" w:type="dxa"/>
          </w:tcPr>
          <w:p>
            <w:pPr>
              <w:pStyle w:val="TableParagraph"/>
              <w:ind w:right="590"/>
              <w:jc w:val="right"/>
              <w:rPr>
                <w:sz w:val="22"/>
              </w:rPr>
            </w:pPr>
            <w:r>
              <w:rPr>
                <w:sz w:val="22"/>
              </w:rPr>
              <w:t>25</w:t>
            </w:r>
          </w:p>
        </w:tc>
      </w:tr>
      <w:tr>
        <w:trPr>
          <w:trHeight w:val="310" w:hRule="exact"/>
        </w:trPr>
        <w:tc>
          <w:tcPr>
            <w:tcW w:w="2384" w:type="dxa"/>
          </w:tcPr>
          <w:p>
            <w:pPr>
              <w:pStyle w:val="TableParagraph"/>
              <w:ind w:left="489" w:right="527"/>
              <w:rPr>
                <w:b/>
                <w:sz w:val="22"/>
              </w:rPr>
            </w:pPr>
            <w:r>
              <w:rPr>
                <w:b/>
                <w:sz w:val="22"/>
              </w:rPr>
              <w:t>ORIZABITA</w:t>
            </w:r>
          </w:p>
        </w:tc>
        <w:tc>
          <w:tcPr>
            <w:tcW w:w="1373" w:type="dxa"/>
          </w:tcPr>
          <w:p>
            <w:pPr>
              <w:pStyle w:val="TableParagraph"/>
              <w:ind w:right="458"/>
              <w:jc w:val="right"/>
              <w:rPr>
                <w:sz w:val="22"/>
              </w:rPr>
            </w:pPr>
            <w:r>
              <w:rPr>
                <w:sz w:val="22"/>
              </w:rPr>
              <w:t>1051</w:t>
            </w:r>
          </w:p>
        </w:tc>
        <w:tc>
          <w:tcPr>
            <w:tcW w:w="1558" w:type="dxa"/>
          </w:tcPr>
          <w:p>
            <w:pPr>
              <w:pStyle w:val="TableParagraph"/>
              <w:ind w:left="474" w:right="473"/>
              <w:jc w:val="center"/>
              <w:rPr>
                <w:sz w:val="22"/>
              </w:rPr>
            </w:pPr>
            <w:r>
              <w:rPr>
                <w:sz w:val="22"/>
              </w:rPr>
              <w:t>499</w:t>
            </w:r>
          </w:p>
        </w:tc>
        <w:tc>
          <w:tcPr>
            <w:tcW w:w="1560" w:type="dxa"/>
          </w:tcPr>
          <w:p>
            <w:pPr>
              <w:pStyle w:val="TableParagraph"/>
              <w:ind w:left="589" w:right="586"/>
              <w:jc w:val="center"/>
              <w:rPr>
                <w:sz w:val="22"/>
              </w:rPr>
            </w:pPr>
            <w:r>
              <w:rPr>
                <w:sz w:val="22"/>
              </w:rPr>
              <w:t>552</w:t>
            </w:r>
          </w:p>
        </w:tc>
        <w:tc>
          <w:tcPr>
            <w:tcW w:w="1560" w:type="dxa"/>
          </w:tcPr>
          <w:p>
            <w:pPr>
              <w:pStyle w:val="TableParagraph"/>
              <w:ind w:left="587" w:right="588"/>
              <w:jc w:val="center"/>
              <w:rPr>
                <w:sz w:val="22"/>
              </w:rPr>
            </w:pPr>
            <w:r>
              <w:rPr>
                <w:sz w:val="22"/>
              </w:rPr>
              <w:t>105</w:t>
            </w:r>
          </w:p>
        </w:tc>
        <w:tc>
          <w:tcPr>
            <w:tcW w:w="1275" w:type="dxa"/>
          </w:tcPr>
          <w:p>
            <w:pPr>
              <w:pStyle w:val="TableParagraph"/>
              <w:ind w:left="465" w:right="106"/>
              <w:rPr>
                <w:sz w:val="22"/>
              </w:rPr>
            </w:pPr>
            <w:r>
              <w:rPr>
                <w:sz w:val="22"/>
              </w:rPr>
              <w:t>420</w:t>
            </w:r>
          </w:p>
        </w:tc>
        <w:tc>
          <w:tcPr>
            <w:tcW w:w="1418" w:type="dxa"/>
          </w:tcPr>
          <w:p>
            <w:pPr>
              <w:pStyle w:val="TableParagraph"/>
              <w:ind w:right="590"/>
              <w:jc w:val="right"/>
              <w:rPr>
                <w:sz w:val="22"/>
              </w:rPr>
            </w:pPr>
            <w:r>
              <w:rPr>
                <w:sz w:val="22"/>
              </w:rPr>
              <w:t>40</w:t>
            </w:r>
          </w:p>
        </w:tc>
      </w:tr>
      <w:tr>
        <w:trPr>
          <w:trHeight w:val="310" w:hRule="exact"/>
        </w:trPr>
        <w:tc>
          <w:tcPr>
            <w:tcW w:w="2384" w:type="dxa"/>
          </w:tcPr>
          <w:p>
            <w:pPr>
              <w:pStyle w:val="TableParagraph"/>
              <w:ind w:left="489" w:right="527"/>
              <w:rPr>
                <w:b/>
                <w:sz w:val="22"/>
              </w:rPr>
            </w:pPr>
            <w:r>
              <w:rPr>
                <w:b/>
                <w:sz w:val="22"/>
              </w:rPr>
              <w:t>PANALES</w:t>
            </w:r>
          </w:p>
        </w:tc>
        <w:tc>
          <w:tcPr>
            <w:tcW w:w="1373" w:type="dxa"/>
          </w:tcPr>
          <w:p>
            <w:pPr>
              <w:pStyle w:val="TableParagraph"/>
              <w:ind w:right="458"/>
              <w:jc w:val="right"/>
              <w:rPr>
                <w:sz w:val="22"/>
              </w:rPr>
            </w:pPr>
            <w:r>
              <w:rPr>
                <w:sz w:val="22"/>
              </w:rPr>
              <w:t>2165</w:t>
            </w:r>
          </w:p>
        </w:tc>
        <w:tc>
          <w:tcPr>
            <w:tcW w:w="1558" w:type="dxa"/>
          </w:tcPr>
          <w:p>
            <w:pPr>
              <w:pStyle w:val="TableParagraph"/>
              <w:ind w:left="474" w:right="473"/>
              <w:jc w:val="center"/>
              <w:rPr>
                <w:sz w:val="22"/>
              </w:rPr>
            </w:pPr>
            <w:r>
              <w:rPr>
                <w:sz w:val="22"/>
              </w:rPr>
              <w:t>989</w:t>
            </w:r>
          </w:p>
        </w:tc>
        <w:tc>
          <w:tcPr>
            <w:tcW w:w="1560" w:type="dxa"/>
          </w:tcPr>
          <w:p>
            <w:pPr>
              <w:pStyle w:val="TableParagraph"/>
              <w:ind w:left="551"/>
              <w:rPr>
                <w:sz w:val="22"/>
              </w:rPr>
            </w:pPr>
            <w:r>
              <w:rPr>
                <w:sz w:val="22"/>
              </w:rPr>
              <w:t>1176</w:t>
            </w:r>
          </w:p>
        </w:tc>
        <w:tc>
          <w:tcPr>
            <w:tcW w:w="1560" w:type="dxa"/>
          </w:tcPr>
          <w:p>
            <w:pPr>
              <w:pStyle w:val="TableParagraph"/>
              <w:ind w:left="587" w:right="588"/>
              <w:jc w:val="center"/>
              <w:rPr>
                <w:sz w:val="22"/>
              </w:rPr>
            </w:pPr>
            <w:r>
              <w:rPr>
                <w:sz w:val="22"/>
              </w:rPr>
              <w:t>162</w:t>
            </w:r>
          </w:p>
        </w:tc>
        <w:tc>
          <w:tcPr>
            <w:tcW w:w="1275" w:type="dxa"/>
          </w:tcPr>
          <w:p>
            <w:pPr>
              <w:pStyle w:val="TableParagraph"/>
              <w:ind w:left="465" w:right="106"/>
              <w:rPr>
                <w:sz w:val="22"/>
              </w:rPr>
            </w:pPr>
            <w:r>
              <w:rPr>
                <w:sz w:val="22"/>
              </w:rPr>
              <w:t>650</w:t>
            </w:r>
          </w:p>
        </w:tc>
        <w:tc>
          <w:tcPr>
            <w:tcW w:w="1418" w:type="dxa"/>
          </w:tcPr>
          <w:p>
            <w:pPr>
              <w:pStyle w:val="TableParagraph"/>
              <w:ind w:right="590"/>
              <w:jc w:val="right"/>
              <w:rPr>
                <w:sz w:val="22"/>
              </w:rPr>
            </w:pPr>
            <w:r>
              <w:rPr>
                <w:sz w:val="22"/>
              </w:rPr>
              <w:t>30</w:t>
            </w:r>
          </w:p>
        </w:tc>
      </w:tr>
      <w:tr>
        <w:trPr>
          <w:trHeight w:val="310" w:hRule="exact"/>
        </w:trPr>
        <w:tc>
          <w:tcPr>
            <w:tcW w:w="2384" w:type="dxa"/>
          </w:tcPr>
          <w:p>
            <w:pPr>
              <w:pStyle w:val="TableParagraph"/>
              <w:ind w:left="489"/>
              <w:rPr>
                <w:b/>
                <w:sz w:val="22"/>
              </w:rPr>
            </w:pPr>
            <w:r>
              <w:rPr>
                <w:b/>
                <w:sz w:val="22"/>
              </w:rPr>
              <w:t>PUERTO DEXTHI</w:t>
            </w:r>
          </w:p>
        </w:tc>
        <w:tc>
          <w:tcPr>
            <w:tcW w:w="1373" w:type="dxa"/>
          </w:tcPr>
          <w:p>
            <w:pPr>
              <w:pStyle w:val="TableParagraph"/>
              <w:ind w:left="494" w:right="495"/>
              <w:jc w:val="center"/>
              <w:rPr>
                <w:sz w:val="22"/>
              </w:rPr>
            </w:pPr>
            <w:r>
              <w:rPr>
                <w:sz w:val="22"/>
              </w:rPr>
              <w:t>421</w:t>
            </w:r>
          </w:p>
        </w:tc>
        <w:tc>
          <w:tcPr>
            <w:tcW w:w="1558" w:type="dxa"/>
          </w:tcPr>
          <w:p>
            <w:pPr>
              <w:pStyle w:val="TableParagraph"/>
              <w:ind w:left="474" w:right="473"/>
              <w:jc w:val="center"/>
              <w:rPr>
                <w:sz w:val="22"/>
              </w:rPr>
            </w:pPr>
            <w:r>
              <w:rPr>
                <w:sz w:val="22"/>
              </w:rPr>
              <w:t>202</w:t>
            </w:r>
          </w:p>
        </w:tc>
        <w:tc>
          <w:tcPr>
            <w:tcW w:w="1560" w:type="dxa"/>
          </w:tcPr>
          <w:p>
            <w:pPr>
              <w:pStyle w:val="TableParagraph"/>
              <w:ind w:left="589" w:right="586"/>
              <w:jc w:val="center"/>
              <w:rPr>
                <w:sz w:val="22"/>
              </w:rPr>
            </w:pPr>
            <w:r>
              <w:rPr>
                <w:sz w:val="22"/>
              </w:rPr>
              <w:t>219</w:t>
            </w:r>
          </w:p>
        </w:tc>
        <w:tc>
          <w:tcPr>
            <w:tcW w:w="1560" w:type="dxa"/>
          </w:tcPr>
          <w:p>
            <w:pPr>
              <w:pStyle w:val="TableParagraph"/>
              <w:ind w:left="587" w:right="587"/>
              <w:jc w:val="center"/>
              <w:rPr>
                <w:sz w:val="22"/>
              </w:rPr>
            </w:pPr>
            <w:r>
              <w:rPr>
                <w:sz w:val="22"/>
              </w:rPr>
              <w:t>26</w:t>
            </w:r>
          </w:p>
        </w:tc>
        <w:tc>
          <w:tcPr>
            <w:tcW w:w="1275" w:type="dxa"/>
          </w:tcPr>
          <w:p>
            <w:pPr>
              <w:pStyle w:val="TableParagraph"/>
              <w:ind w:left="465" w:right="106"/>
              <w:rPr>
                <w:sz w:val="22"/>
              </w:rPr>
            </w:pPr>
            <w:r>
              <w:rPr>
                <w:sz w:val="22"/>
              </w:rPr>
              <w:t>105</w:t>
            </w:r>
          </w:p>
        </w:tc>
        <w:tc>
          <w:tcPr>
            <w:tcW w:w="1418" w:type="dxa"/>
          </w:tcPr>
          <w:p>
            <w:pPr>
              <w:pStyle w:val="TableParagraph"/>
              <w:ind w:right="590"/>
              <w:jc w:val="right"/>
              <w:rPr>
                <w:sz w:val="22"/>
              </w:rPr>
            </w:pPr>
            <w:r>
              <w:rPr>
                <w:sz w:val="22"/>
              </w:rPr>
              <w:t>25</w:t>
            </w:r>
          </w:p>
        </w:tc>
      </w:tr>
      <w:tr>
        <w:trPr>
          <w:trHeight w:val="312" w:hRule="exact"/>
        </w:trPr>
        <w:tc>
          <w:tcPr>
            <w:tcW w:w="2384" w:type="dxa"/>
          </w:tcPr>
          <w:p>
            <w:pPr>
              <w:pStyle w:val="TableParagraph"/>
              <w:spacing w:before="30"/>
              <w:ind w:left="489"/>
              <w:rPr>
                <w:b/>
                <w:sz w:val="22"/>
              </w:rPr>
            </w:pPr>
            <w:r>
              <w:rPr>
                <w:b/>
                <w:sz w:val="22"/>
              </w:rPr>
              <w:t>LOS REMEDIOS</w:t>
            </w:r>
          </w:p>
        </w:tc>
        <w:tc>
          <w:tcPr>
            <w:tcW w:w="1373" w:type="dxa"/>
          </w:tcPr>
          <w:p>
            <w:pPr>
              <w:pStyle w:val="TableParagraph"/>
              <w:spacing w:before="30"/>
              <w:ind w:left="494" w:right="495"/>
              <w:jc w:val="center"/>
              <w:rPr>
                <w:sz w:val="22"/>
              </w:rPr>
            </w:pPr>
            <w:r>
              <w:rPr>
                <w:sz w:val="22"/>
              </w:rPr>
              <w:t>721</w:t>
            </w:r>
          </w:p>
        </w:tc>
        <w:tc>
          <w:tcPr>
            <w:tcW w:w="1558" w:type="dxa"/>
          </w:tcPr>
          <w:p>
            <w:pPr>
              <w:pStyle w:val="TableParagraph"/>
              <w:spacing w:before="30"/>
              <w:ind w:left="474" w:right="473"/>
              <w:jc w:val="center"/>
              <w:rPr>
                <w:sz w:val="22"/>
              </w:rPr>
            </w:pPr>
            <w:r>
              <w:rPr>
                <w:sz w:val="22"/>
              </w:rPr>
              <w:t>331</w:t>
            </w:r>
          </w:p>
        </w:tc>
        <w:tc>
          <w:tcPr>
            <w:tcW w:w="1560" w:type="dxa"/>
          </w:tcPr>
          <w:p>
            <w:pPr>
              <w:pStyle w:val="TableParagraph"/>
              <w:spacing w:before="30"/>
              <w:ind w:left="589" w:right="586"/>
              <w:jc w:val="center"/>
              <w:rPr>
                <w:sz w:val="22"/>
              </w:rPr>
            </w:pPr>
            <w:r>
              <w:rPr>
                <w:sz w:val="22"/>
              </w:rPr>
              <w:t>390</w:t>
            </w:r>
          </w:p>
        </w:tc>
        <w:tc>
          <w:tcPr>
            <w:tcW w:w="1560" w:type="dxa"/>
          </w:tcPr>
          <w:p>
            <w:pPr>
              <w:pStyle w:val="TableParagraph"/>
              <w:spacing w:before="30"/>
              <w:ind w:left="587" w:right="587"/>
              <w:jc w:val="center"/>
              <w:rPr>
                <w:sz w:val="22"/>
              </w:rPr>
            </w:pPr>
            <w:r>
              <w:rPr>
                <w:sz w:val="22"/>
              </w:rPr>
              <w:t>45</w:t>
            </w:r>
          </w:p>
        </w:tc>
        <w:tc>
          <w:tcPr>
            <w:tcW w:w="1275" w:type="dxa"/>
          </w:tcPr>
          <w:p>
            <w:pPr>
              <w:pStyle w:val="TableParagraph"/>
              <w:spacing w:before="30"/>
              <w:ind w:left="465" w:right="106"/>
              <w:rPr>
                <w:sz w:val="22"/>
              </w:rPr>
            </w:pPr>
            <w:r>
              <w:rPr>
                <w:sz w:val="22"/>
              </w:rPr>
              <w:t>180</w:t>
            </w:r>
          </w:p>
        </w:tc>
        <w:tc>
          <w:tcPr>
            <w:tcW w:w="1418" w:type="dxa"/>
          </w:tcPr>
          <w:p>
            <w:pPr>
              <w:pStyle w:val="TableParagraph"/>
              <w:spacing w:before="30"/>
              <w:ind w:right="590"/>
              <w:jc w:val="right"/>
              <w:rPr>
                <w:sz w:val="22"/>
              </w:rPr>
            </w:pPr>
            <w:r>
              <w:rPr>
                <w:sz w:val="22"/>
              </w:rPr>
              <w:t>25</w:t>
            </w:r>
          </w:p>
        </w:tc>
      </w:tr>
      <w:tr>
        <w:trPr>
          <w:trHeight w:val="310" w:hRule="exact"/>
        </w:trPr>
        <w:tc>
          <w:tcPr>
            <w:tcW w:w="2384" w:type="dxa"/>
          </w:tcPr>
          <w:p>
            <w:pPr>
              <w:pStyle w:val="TableParagraph"/>
              <w:ind w:left="489" w:right="527"/>
              <w:rPr>
                <w:b/>
                <w:sz w:val="22"/>
              </w:rPr>
            </w:pPr>
            <w:r>
              <w:rPr>
                <w:b/>
                <w:sz w:val="22"/>
              </w:rPr>
              <w:t>EL TABLON</w:t>
            </w:r>
          </w:p>
        </w:tc>
        <w:tc>
          <w:tcPr>
            <w:tcW w:w="1373" w:type="dxa"/>
          </w:tcPr>
          <w:p>
            <w:pPr>
              <w:pStyle w:val="TableParagraph"/>
              <w:ind w:left="494" w:right="495"/>
              <w:jc w:val="center"/>
              <w:rPr>
                <w:sz w:val="22"/>
              </w:rPr>
            </w:pPr>
            <w:r>
              <w:rPr>
                <w:sz w:val="22"/>
              </w:rPr>
              <w:t>650</w:t>
            </w:r>
          </w:p>
        </w:tc>
        <w:tc>
          <w:tcPr>
            <w:tcW w:w="1558" w:type="dxa"/>
          </w:tcPr>
          <w:p>
            <w:pPr>
              <w:pStyle w:val="TableParagraph"/>
              <w:ind w:left="474" w:right="473"/>
              <w:jc w:val="center"/>
              <w:rPr>
                <w:sz w:val="22"/>
              </w:rPr>
            </w:pPr>
            <w:r>
              <w:rPr>
                <w:sz w:val="22"/>
              </w:rPr>
              <w:t>314</w:t>
            </w:r>
          </w:p>
        </w:tc>
        <w:tc>
          <w:tcPr>
            <w:tcW w:w="1560" w:type="dxa"/>
          </w:tcPr>
          <w:p>
            <w:pPr>
              <w:pStyle w:val="TableParagraph"/>
              <w:ind w:left="589" w:right="586"/>
              <w:jc w:val="center"/>
              <w:rPr>
                <w:sz w:val="22"/>
              </w:rPr>
            </w:pPr>
            <w:r>
              <w:rPr>
                <w:sz w:val="22"/>
              </w:rPr>
              <w:t>336</w:t>
            </w:r>
          </w:p>
        </w:tc>
        <w:tc>
          <w:tcPr>
            <w:tcW w:w="1560" w:type="dxa"/>
          </w:tcPr>
          <w:p>
            <w:pPr>
              <w:pStyle w:val="TableParagraph"/>
              <w:ind w:left="587" w:right="587"/>
              <w:jc w:val="center"/>
              <w:rPr>
                <w:sz w:val="22"/>
              </w:rPr>
            </w:pPr>
            <w:r>
              <w:rPr>
                <w:sz w:val="22"/>
              </w:rPr>
              <w:t>41</w:t>
            </w:r>
          </w:p>
        </w:tc>
        <w:tc>
          <w:tcPr>
            <w:tcW w:w="1275" w:type="dxa"/>
          </w:tcPr>
          <w:p>
            <w:pPr>
              <w:pStyle w:val="TableParagraph"/>
              <w:ind w:left="465" w:right="106"/>
              <w:rPr>
                <w:sz w:val="22"/>
              </w:rPr>
            </w:pPr>
            <w:r>
              <w:rPr>
                <w:sz w:val="22"/>
              </w:rPr>
              <w:t>163</w:t>
            </w:r>
          </w:p>
        </w:tc>
        <w:tc>
          <w:tcPr>
            <w:tcW w:w="1418" w:type="dxa"/>
          </w:tcPr>
          <w:p>
            <w:pPr>
              <w:pStyle w:val="TableParagraph"/>
              <w:ind w:right="590"/>
              <w:jc w:val="right"/>
              <w:rPr>
                <w:sz w:val="22"/>
              </w:rPr>
            </w:pPr>
            <w:r>
              <w:rPr>
                <w:sz w:val="22"/>
              </w:rPr>
              <w:t>25</w:t>
            </w:r>
          </w:p>
        </w:tc>
      </w:tr>
      <w:tr>
        <w:trPr>
          <w:trHeight w:val="310" w:hRule="exact"/>
        </w:trPr>
        <w:tc>
          <w:tcPr>
            <w:tcW w:w="2384" w:type="dxa"/>
          </w:tcPr>
          <w:p>
            <w:pPr>
              <w:pStyle w:val="TableParagraph"/>
              <w:ind w:left="489"/>
              <w:rPr>
                <w:b/>
                <w:sz w:val="22"/>
              </w:rPr>
            </w:pPr>
            <w:r>
              <w:rPr>
                <w:b/>
                <w:sz w:val="22"/>
              </w:rPr>
              <w:t>VILLA DE LA PAZ</w:t>
            </w:r>
          </w:p>
        </w:tc>
        <w:tc>
          <w:tcPr>
            <w:tcW w:w="1373" w:type="dxa"/>
          </w:tcPr>
          <w:p>
            <w:pPr>
              <w:pStyle w:val="TableParagraph"/>
              <w:ind w:left="494" w:right="495"/>
              <w:jc w:val="center"/>
              <w:rPr>
                <w:sz w:val="22"/>
              </w:rPr>
            </w:pPr>
            <w:r>
              <w:rPr>
                <w:sz w:val="22"/>
              </w:rPr>
              <w:t>244</w:t>
            </w:r>
          </w:p>
        </w:tc>
        <w:tc>
          <w:tcPr>
            <w:tcW w:w="1558" w:type="dxa"/>
          </w:tcPr>
          <w:p>
            <w:pPr>
              <w:pStyle w:val="TableParagraph"/>
              <w:ind w:left="474" w:right="473"/>
              <w:jc w:val="center"/>
              <w:rPr>
                <w:sz w:val="22"/>
              </w:rPr>
            </w:pPr>
            <w:r>
              <w:rPr>
                <w:sz w:val="22"/>
              </w:rPr>
              <w:t>122</w:t>
            </w:r>
          </w:p>
        </w:tc>
        <w:tc>
          <w:tcPr>
            <w:tcW w:w="1560" w:type="dxa"/>
          </w:tcPr>
          <w:p>
            <w:pPr>
              <w:pStyle w:val="TableParagraph"/>
              <w:ind w:left="589" w:right="586"/>
              <w:jc w:val="center"/>
              <w:rPr>
                <w:sz w:val="22"/>
              </w:rPr>
            </w:pPr>
            <w:r>
              <w:rPr>
                <w:sz w:val="22"/>
              </w:rPr>
              <w:t>122</w:t>
            </w:r>
          </w:p>
        </w:tc>
        <w:tc>
          <w:tcPr>
            <w:tcW w:w="1560" w:type="dxa"/>
          </w:tcPr>
          <w:p>
            <w:pPr>
              <w:pStyle w:val="TableParagraph"/>
              <w:ind w:left="587" w:right="587"/>
              <w:jc w:val="center"/>
              <w:rPr>
                <w:sz w:val="22"/>
              </w:rPr>
            </w:pPr>
            <w:r>
              <w:rPr>
                <w:sz w:val="22"/>
              </w:rPr>
              <w:t>12</w:t>
            </w:r>
          </w:p>
        </w:tc>
        <w:tc>
          <w:tcPr>
            <w:tcW w:w="1275" w:type="dxa"/>
          </w:tcPr>
          <w:p>
            <w:pPr>
              <w:pStyle w:val="TableParagraph"/>
              <w:ind w:left="520" w:right="106"/>
              <w:rPr>
                <w:sz w:val="22"/>
              </w:rPr>
            </w:pPr>
            <w:r>
              <w:rPr>
                <w:sz w:val="22"/>
              </w:rPr>
              <w:t>49</w:t>
            </w:r>
          </w:p>
        </w:tc>
        <w:tc>
          <w:tcPr>
            <w:tcW w:w="1418" w:type="dxa"/>
          </w:tcPr>
          <w:p>
            <w:pPr>
              <w:pStyle w:val="TableParagraph"/>
              <w:ind w:right="590"/>
              <w:jc w:val="right"/>
              <w:rPr>
                <w:sz w:val="22"/>
              </w:rPr>
            </w:pPr>
            <w:r>
              <w:rPr>
                <w:sz w:val="22"/>
              </w:rPr>
              <w:t>20</w:t>
            </w:r>
          </w:p>
        </w:tc>
      </w:tr>
      <w:tr>
        <w:trPr>
          <w:trHeight w:val="310" w:hRule="exact"/>
        </w:trPr>
        <w:tc>
          <w:tcPr>
            <w:tcW w:w="2384" w:type="dxa"/>
          </w:tcPr>
          <w:p>
            <w:pPr>
              <w:pStyle w:val="TableParagraph"/>
              <w:ind w:left="489" w:right="527"/>
              <w:rPr>
                <w:b/>
                <w:sz w:val="22"/>
              </w:rPr>
            </w:pPr>
            <w:r>
              <w:rPr>
                <w:b/>
                <w:sz w:val="22"/>
              </w:rPr>
              <w:t>SUMA</w:t>
            </w:r>
          </w:p>
        </w:tc>
        <w:tc>
          <w:tcPr>
            <w:tcW w:w="1373" w:type="dxa"/>
          </w:tcPr>
          <w:p>
            <w:pPr>
              <w:pStyle w:val="TableParagraph"/>
              <w:ind w:right="458"/>
              <w:jc w:val="right"/>
              <w:rPr>
                <w:sz w:val="22"/>
              </w:rPr>
            </w:pPr>
            <w:r>
              <w:rPr>
                <w:sz w:val="22"/>
              </w:rPr>
              <w:t>1235</w:t>
            </w:r>
          </w:p>
        </w:tc>
        <w:tc>
          <w:tcPr>
            <w:tcW w:w="1558" w:type="dxa"/>
          </w:tcPr>
          <w:p>
            <w:pPr>
              <w:pStyle w:val="TableParagraph"/>
              <w:ind w:left="474" w:right="475"/>
              <w:jc w:val="center"/>
              <w:rPr>
                <w:sz w:val="22"/>
              </w:rPr>
            </w:pPr>
            <w:r>
              <w:rPr>
                <w:sz w:val="22"/>
              </w:rPr>
              <w:t>5606</w:t>
            </w:r>
          </w:p>
        </w:tc>
        <w:tc>
          <w:tcPr>
            <w:tcW w:w="1560" w:type="dxa"/>
          </w:tcPr>
          <w:p>
            <w:pPr>
              <w:pStyle w:val="TableParagraph"/>
              <w:ind w:left="551"/>
              <w:rPr>
                <w:sz w:val="22"/>
              </w:rPr>
            </w:pPr>
            <w:r>
              <w:rPr>
                <w:sz w:val="22"/>
              </w:rPr>
              <w:t>6202</w:t>
            </w:r>
          </w:p>
        </w:tc>
        <w:tc>
          <w:tcPr>
            <w:tcW w:w="1560" w:type="dxa"/>
          </w:tcPr>
          <w:p>
            <w:pPr>
              <w:pStyle w:val="TableParagraph"/>
              <w:ind w:left="587" w:right="588"/>
              <w:jc w:val="center"/>
              <w:rPr>
                <w:sz w:val="22"/>
              </w:rPr>
            </w:pPr>
            <w:r>
              <w:rPr>
                <w:sz w:val="22"/>
              </w:rPr>
              <w:t>973</w:t>
            </w:r>
          </w:p>
        </w:tc>
        <w:tc>
          <w:tcPr>
            <w:tcW w:w="1275" w:type="dxa"/>
          </w:tcPr>
          <w:p>
            <w:pPr>
              <w:pStyle w:val="TableParagraph"/>
              <w:ind w:left="407" w:right="106"/>
              <w:rPr>
                <w:sz w:val="22"/>
              </w:rPr>
            </w:pPr>
            <w:r>
              <w:rPr>
                <w:sz w:val="22"/>
              </w:rPr>
              <w:t>3891</w:t>
            </w:r>
          </w:p>
        </w:tc>
        <w:tc>
          <w:tcPr>
            <w:tcW w:w="1418" w:type="dxa"/>
          </w:tcPr>
          <w:p>
            <w:pPr/>
          </w:p>
        </w:tc>
      </w:tr>
      <w:tr>
        <w:trPr>
          <w:trHeight w:val="310" w:hRule="exact"/>
        </w:trPr>
        <w:tc>
          <w:tcPr>
            <w:tcW w:w="2384" w:type="dxa"/>
          </w:tcPr>
          <w:p>
            <w:pPr>
              <w:pStyle w:val="TableParagraph"/>
              <w:ind w:left="489" w:right="527"/>
              <w:rPr>
                <w:b/>
                <w:sz w:val="22"/>
              </w:rPr>
            </w:pPr>
            <w:r>
              <w:rPr>
                <w:b/>
                <w:sz w:val="22"/>
              </w:rPr>
              <w:t>PROMEDIO</w:t>
            </w:r>
          </w:p>
        </w:tc>
        <w:tc>
          <w:tcPr>
            <w:tcW w:w="1373" w:type="dxa"/>
          </w:tcPr>
          <w:p>
            <w:pPr>
              <w:pStyle w:val="TableParagraph"/>
              <w:ind w:right="429"/>
              <w:jc w:val="right"/>
              <w:rPr>
                <w:sz w:val="22"/>
              </w:rPr>
            </w:pPr>
            <w:r>
              <w:rPr>
                <w:sz w:val="22"/>
              </w:rPr>
              <w:t>694.6</w:t>
            </w:r>
          </w:p>
        </w:tc>
        <w:tc>
          <w:tcPr>
            <w:tcW w:w="1558" w:type="dxa"/>
          </w:tcPr>
          <w:p>
            <w:pPr>
              <w:pStyle w:val="TableParagraph"/>
              <w:ind w:left="474" w:right="473"/>
              <w:jc w:val="center"/>
              <w:rPr>
                <w:sz w:val="22"/>
              </w:rPr>
            </w:pPr>
            <w:r>
              <w:rPr>
                <w:sz w:val="22"/>
              </w:rPr>
              <w:t>329.8</w:t>
            </w:r>
          </w:p>
        </w:tc>
        <w:tc>
          <w:tcPr>
            <w:tcW w:w="1560" w:type="dxa"/>
          </w:tcPr>
          <w:p>
            <w:pPr>
              <w:pStyle w:val="TableParagraph"/>
              <w:ind w:left="589" w:right="586"/>
              <w:jc w:val="center"/>
              <w:rPr>
                <w:sz w:val="22"/>
              </w:rPr>
            </w:pPr>
            <w:r>
              <w:rPr>
                <w:sz w:val="22"/>
              </w:rPr>
              <w:t>365</w:t>
            </w:r>
          </w:p>
        </w:tc>
        <w:tc>
          <w:tcPr>
            <w:tcW w:w="1560" w:type="dxa"/>
          </w:tcPr>
          <w:p>
            <w:pPr>
              <w:pStyle w:val="TableParagraph"/>
              <w:ind w:left="587" w:right="588"/>
              <w:jc w:val="center"/>
              <w:rPr>
                <w:sz w:val="22"/>
              </w:rPr>
            </w:pPr>
            <w:r>
              <w:rPr>
                <w:sz w:val="22"/>
              </w:rPr>
              <w:t>108</w:t>
            </w:r>
          </w:p>
        </w:tc>
        <w:tc>
          <w:tcPr>
            <w:tcW w:w="1275" w:type="dxa"/>
          </w:tcPr>
          <w:p>
            <w:pPr>
              <w:pStyle w:val="TableParagraph"/>
              <w:ind w:left="465" w:right="106"/>
              <w:rPr>
                <w:sz w:val="22"/>
              </w:rPr>
            </w:pPr>
            <w:r>
              <w:rPr>
                <w:sz w:val="22"/>
              </w:rPr>
              <w:t>432</w:t>
            </w:r>
          </w:p>
        </w:tc>
        <w:tc>
          <w:tcPr>
            <w:tcW w:w="1418" w:type="dxa"/>
          </w:tcPr>
          <w:p>
            <w:pPr>
              <w:pStyle w:val="TableParagraph"/>
              <w:ind w:right="590"/>
              <w:jc w:val="right"/>
              <w:rPr>
                <w:sz w:val="22"/>
              </w:rPr>
            </w:pPr>
            <w:r>
              <w:rPr>
                <w:sz w:val="22"/>
              </w:rPr>
              <w:t>33</w:t>
            </w:r>
          </w:p>
        </w:tc>
      </w:tr>
    </w:tbl>
    <w:p>
      <w:pPr>
        <w:pStyle w:val="BodyText"/>
        <w:rPr>
          <w:rFonts w:ascii="Calibri"/>
          <w:b/>
          <w:sz w:val="18"/>
        </w:rPr>
      </w:pPr>
    </w:p>
    <w:p>
      <w:pPr>
        <w:pStyle w:val="BodyText"/>
        <w:spacing w:before="7"/>
        <w:rPr>
          <w:rFonts w:ascii="Calibri"/>
          <w:b/>
          <w:sz w:val="16"/>
        </w:rPr>
      </w:pPr>
    </w:p>
    <w:p>
      <w:pPr>
        <w:spacing w:before="0"/>
        <w:ind w:left="1262" w:right="0" w:firstLine="0"/>
        <w:jc w:val="both"/>
        <w:rPr>
          <w:rFonts w:ascii="Calibri" w:hAnsi="Calibri"/>
          <w:sz w:val="20"/>
        </w:rPr>
      </w:pPr>
      <w:r>
        <w:rPr>
          <w:rFonts w:ascii="Calibri" w:hAnsi="Calibri"/>
          <w:b/>
          <w:sz w:val="20"/>
        </w:rPr>
        <w:t>Fuente: </w:t>
      </w:r>
      <w:r>
        <w:rPr>
          <w:rFonts w:ascii="Calibri" w:hAnsi="Calibri"/>
          <w:sz w:val="20"/>
        </w:rPr>
        <w:t>Instituto Nacional de Estadística y Geografía (2004).</w:t>
      </w:r>
    </w:p>
    <w:p>
      <w:pPr>
        <w:spacing w:after="0"/>
        <w:jc w:val="both"/>
        <w:rPr>
          <w:rFonts w:ascii="Calibri" w:hAnsi="Calibri"/>
          <w:sz w:val="20"/>
        </w:rPr>
        <w:sectPr>
          <w:pgSz w:w="12240" w:h="15840"/>
          <w:pgMar w:header="0" w:footer="1003" w:top="1360" w:bottom="1200" w:left="440" w:right="440"/>
        </w:sectPr>
      </w:pPr>
    </w:p>
    <w:p>
      <w:pPr>
        <w:pStyle w:val="Heading2"/>
        <w:numPr>
          <w:ilvl w:val="1"/>
          <w:numId w:val="8"/>
        </w:numPr>
        <w:tabs>
          <w:tab w:pos="821" w:val="left" w:leader="none"/>
          <w:tab w:pos="822" w:val="left" w:leader="none"/>
        </w:tabs>
        <w:spacing w:line="278" w:lineRule="auto" w:before="52" w:after="0"/>
        <w:ind w:left="102" w:right="220" w:firstLine="0"/>
        <w:jc w:val="left"/>
      </w:pPr>
      <w:bookmarkStart w:name="_bookmark13" w:id="23"/>
      <w:bookmarkEnd w:id="23"/>
      <w:r>
        <w:rPr>
          <w:b w:val="0"/>
        </w:rPr>
      </w:r>
      <w:bookmarkStart w:name="_bookmark13" w:id="24"/>
      <w:bookmarkEnd w:id="24"/>
      <w:r>
        <w:rPr/>
        <w:t>D</w:t>
      </w:r>
      <w:r>
        <w:rPr/>
        <w:t>estinos frecuentes de la corriente migratoria de la población</w:t>
      </w:r>
      <w:r>
        <w:rPr>
          <w:spacing w:val="-15"/>
        </w:rPr>
        <w:t> </w:t>
      </w:r>
      <w:r>
        <w:rPr/>
        <w:t>de Ixmiquilpan</w:t>
      </w:r>
    </w:p>
    <w:p>
      <w:pPr>
        <w:pStyle w:val="BodyText"/>
        <w:spacing w:before="10"/>
        <w:rPr>
          <w:b/>
          <w:sz w:val="35"/>
        </w:rPr>
      </w:pPr>
    </w:p>
    <w:p>
      <w:pPr>
        <w:pStyle w:val="BodyText"/>
        <w:spacing w:line="360" w:lineRule="auto"/>
        <w:ind w:left="102" w:right="115"/>
        <w:jc w:val="both"/>
      </w:pPr>
      <w:r>
        <w:rPr/>
        <w:t>La población de Ixmiquilpan tiene destinos recurrentes hacia Estados Unidos. Entre éstos se han identificado aquéllos que con mayor frecuencia son elegidos para llegar a establecerse en ese país. En primer lugar se encuentra Florida con un 30.5%, y el principal destino es Clearwater, Orlando y Tampa; como segundo lugar esta Texas con un 28%, destacan las ciudades de Dallas, San Antonio y Houston; y en tercer lugar Nevada con 11.5% con las ciudades de las Vegas y Rancho (INEGI,</w:t>
      </w:r>
      <w:r>
        <w:rPr>
          <w:spacing w:val="-5"/>
        </w:rPr>
        <w:t> </w:t>
      </w:r>
      <w:r>
        <w:rPr/>
        <w:t>2000).</w:t>
      </w:r>
    </w:p>
    <w:p>
      <w:pPr>
        <w:pStyle w:val="BodyText"/>
      </w:pPr>
    </w:p>
    <w:p>
      <w:pPr>
        <w:pStyle w:val="BodyText"/>
        <w:spacing w:line="360" w:lineRule="auto" w:before="142"/>
        <w:ind w:left="102" w:right="115"/>
        <w:jc w:val="both"/>
      </w:pPr>
      <w:r>
        <w:rPr/>
        <w:t>Estos son los tres estados en los que se encontró mayor presencia de población de Ixmiquilpan, no dejando de mencionar aquéllas en las que la migración existe aunque con menor porcentaje. Entre ellos se encuentran Carolina del Norte y Carolina del Sur con 5.7%, Arizona con 4.4%, Georgia con 2.5%, Nueva York, Utah, Pennsylvania, Oklahoma, California, Luisiana, Washington, Tennessee, Minnesota y Kentucky con 0.6% (INEGI,</w:t>
      </w:r>
      <w:r>
        <w:rPr>
          <w:spacing w:val="-13"/>
        </w:rPr>
        <w:t> </w:t>
      </w:r>
      <w:r>
        <w:rPr/>
        <w:t>2000).</w:t>
      </w:r>
    </w:p>
    <w:p>
      <w:pPr>
        <w:pStyle w:val="Heading2"/>
        <w:numPr>
          <w:ilvl w:val="1"/>
          <w:numId w:val="8"/>
        </w:numPr>
        <w:tabs>
          <w:tab w:pos="822" w:val="left" w:leader="none"/>
        </w:tabs>
        <w:spacing w:line="240" w:lineRule="auto" w:before="203" w:after="0"/>
        <w:ind w:left="822" w:right="0" w:hanging="720"/>
        <w:jc w:val="both"/>
      </w:pPr>
      <w:bookmarkStart w:name="_TOC_250012" w:id="25"/>
      <w:r>
        <w:rPr/>
        <w:t>La comunidad El</w:t>
      </w:r>
      <w:r>
        <w:rPr>
          <w:spacing w:val="-6"/>
        </w:rPr>
        <w:t> </w:t>
      </w:r>
      <w:bookmarkEnd w:id="25"/>
      <w:r>
        <w:rPr/>
        <w:t>Tephé</w:t>
      </w:r>
    </w:p>
    <w:p>
      <w:pPr>
        <w:pStyle w:val="BodyText"/>
        <w:spacing w:before="1"/>
        <w:rPr>
          <w:b/>
          <w:sz w:val="26"/>
        </w:rPr>
      </w:pPr>
    </w:p>
    <w:p>
      <w:pPr>
        <w:pStyle w:val="BodyText"/>
        <w:spacing w:line="360" w:lineRule="auto"/>
        <w:ind w:left="102" w:right="116"/>
        <w:jc w:val="both"/>
      </w:pPr>
      <w:r>
        <w:rPr/>
        <w:t>La comunidad indígena otomí El Tephé, que en lengua náhuatl significa cerro de biznaga, es una localidad indígena de la etnia Hñähñú, que se localiza al sureste del municipio de Ixmiquilpan en el Estado de Hidalgo. Se encuentra dentro del territorio que se conoce como el Valle del Mezquital. Se ubica a una distancia de 73 kilómetros de Pachuca, la capital del Estado, a 152 kilómetros de la Ciudad de México y a 3 kilómetros de la cabecera municipal de Ixmiquilpan. El Tephé es la principal localidad del municipio y cuenta con una población de 2,172 habitantes (1,058 hombres y 1,114 mujeres) distribuidas en 465 viviendas y 972 personas mayores de 5 años que hablan una lengua indígena, de ellas 950 también dominan el español de acuerdo al conteo del Instituto Nacional de Estadística y Geografía (INEGI,</w:t>
      </w:r>
      <w:r>
        <w:rPr>
          <w:spacing w:val="-8"/>
        </w:rPr>
        <w:t> </w:t>
      </w:r>
      <w:r>
        <w:rPr/>
        <w:t>2005).</w:t>
      </w:r>
    </w:p>
    <w:p>
      <w:pPr>
        <w:spacing w:after="0" w:line="360" w:lineRule="auto"/>
        <w:jc w:val="both"/>
        <w:sectPr>
          <w:pgSz w:w="12240" w:h="15840"/>
          <w:pgMar w:header="0" w:footer="1003" w:top="1360" w:bottom="1200" w:left="1600" w:right="1580"/>
        </w:sectPr>
      </w:pPr>
    </w:p>
    <w:p>
      <w:pPr>
        <w:pStyle w:val="BodyText"/>
        <w:spacing w:line="360" w:lineRule="auto" w:before="54"/>
        <w:ind w:left="122" w:right="118"/>
        <w:jc w:val="both"/>
      </w:pPr>
      <w:r>
        <w:rPr/>
        <w:t>La lengua otomí pertenece a la gran familia otomí-pame, grupo lingüístico cuyos componentes poseen historia y tradiciones culturales altamente diversificadas. Dentro de esta familia, existen cinco divisiones: 1) otomí-mazahua, 2) pame del norte, 3) pame del sur, 4) matlazinca-ocuilteco y 5) chichimeca (</w:t>
      </w:r>
      <w:hyperlink r:id="rId11">
        <w:r>
          <w:rPr>
            <w:color w:val="0000FF"/>
            <w:u w:val="single" w:color="0000FF"/>
          </w:rPr>
          <w:t>www.cdi.gob.mx</w:t>
        </w:r>
      </w:hyperlink>
      <w:r>
        <w:rPr/>
        <w:t>,07/08/2012) f. Desde la época Colonial, las fiestas católicas son un verdadero pivote secular de la vida comunitaria. En los territorios locales, la celebración del santo patrono es el símbolo espiritual de la coalición de pequeñas unidades familiares, vinculadas entre sí por relaciones de parentesco, vecindad y compadrazgo. Los diferentes aspectos del ritual católico están coordinados de alguna manera mediante una fiesta única del calendario anual (</w:t>
      </w:r>
      <w:hyperlink r:id="rId11">
        <w:r>
          <w:rPr>
            <w:color w:val="0000FF"/>
            <w:u w:val="single" w:color="0000FF"/>
          </w:rPr>
          <w:t>www.cdi.gob.mx</w:t>
        </w:r>
      </w:hyperlink>
      <w:r>
        <w:rPr/>
        <w:t>, 07/08/2012).</w:t>
      </w:r>
    </w:p>
    <w:p>
      <w:pPr>
        <w:pStyle w:val="BodyText"/>
        <w:spacing w:line="360" w:lineRule="auto" w:before="204"/>
        <w:ind w:left="122" w:right="116"/>
        <w:jc w:val="both"/>
      </w:pPr>
      <w:r>
        <w:rPr/>
        <w:t>La actividad económica más importante de los habitantes de El Tephé es la agricultura, principalmente la producción del maíz, alfalfa, hortalizas y frutas de temporada como el higo y la granada. La ganadería es una actividad secundaria y casi exclusiva del consumo familiar.</w:t>
      </w:r>
    </w:p>
    <w:p>
      <w:pPr>
        <w:pStyle w:val="BodyText"/>
        <w:spacing w:line="360" w:lineRule="auto" w:before="202"/>
        <w:ind w:left="122" w:right="115"/>
        <w:jc w:val="both"/>
      </w:pPr>
      <w:r>
        <w:rPr/>
        <w:t>La forma de tenencia de la tierra es de propiedad social bajo la figura de comunidad agraria, en la que a cada familia le corresponde un predio y en donde el usufructo de la tierra es colectivo. Las artesanías son una actividad complementaria y se comercializa en los mercados locales y sus alrededores; utilizan el carrizo para la elaborar canastos, macetas, cavas, percheros, etcétera, y la fibra del maguey para estropajos y ayates</w:t>
      </w:r>
      <w:r>
        <w:rPr>
          <w:spacing w:val="-22"/>
        </w:rPr>
        <w:t> </w:t>
      </w:r>
      <w:r>
        <w:rPr/>
        <w:t>(</w:t>
      </w:r>
      <w:hyperlink r:id="rId11">
        <w:r>
          <w:rPr>
            <w:color w:val="0000FF"/>
            <w:u w:val="single" w:color="0000FF"/>
          </w:rPr>
          <w:t>www.cdi.gob.mx</w:t>
        </w:r>
      </w:hyperlink>
      <w:r>
        <w:rPr/>
        <w:t>,20/08/2012).</w:t>
      </w:r>
    </w:p>
    <w:p>
      <w:pPr>
        <w:pStyle w:val="BodyText"/>
        <w:spacing w:line="360" w:lineRule="auto" w:before="204"/>
        <w:ind w:left="122" w:right="116"/>
        <w:jc w:val="both"/>
      </w:pPr>
      <w:r>
        <w:rPr/>
        <w:t>En el caso de los grupos indígenas Hñähñú, la vivienda típica había significado durante mucho tiempo un soporte fundamental de los rasgos característicos que conforman su identidad cultural (Rodríguez, 2003a). A lo largo de los siglos, este grupo supo aprovechar sabiamente lo que su entorno natural y adverso le ofrecía para desarrollar su refugio, dando origen a la vivienda utilizando como materia   de</w:t>
      </w:r>
    </w:p>
    <w:p>
      <w:pPr>
        <w:pStyle w:val="BodyText"/>
        <w:spacing w:line="279" w:lineRule="exact"/>
        <w:ind w:left="122"/>
        <w:jc w:val="both"/>
      </w:pPr>
      <w:r>
        <w:rPr/>
        <w:t>construcción el       maguey</w:t>
      </w:r>
      <w:r>
        <w:rPr>
          <w:position w:val="11"/>
          <w:sz w:val="16"/>
        </w:rPr>
        <w:t>1</w:t>
      </w:r>
      <w:r>
        <w:rPr/>
        <w:t>; fue posible por la abundancia de cultivos de maguey,</w:t>
      </w:r>
    </w:p>
    <w:p>
      <w:pPr>
        <w:pStyle w:val="BodyText"/>
        <w:rPr>
          <w:sz w:val="20"/>
        </w:rPr>
      </w:pPr>
    </w:p>
    <w:p>
      <w:pPr>
        <w:pStyle w:val="BodyText"/>
        <w:spacing w:before="9"/>
        <w:rPr>
          <w:sz w:val="21"/>
        </w:rPr>
      </w:pPr>
      <w:r>
        <w:rPr/>
        <w:pict>
          <v:line style="position:absolute;mso-position-horizontal-relative:page;mso-position-vertical-relative:paragraph;z-index:0;mso-wrap-distance-left:0;mso-wrap-distance-right:0" from="85.103996pt,14.877998pt" to="229.123996pt,14.877998pt" stroked="true" strokeweight=".72003pt" strokecolor="#000000">
            <w10:wrap type="topAndBottom"/>
          </v:line>
        </w:pict>
      </w:r>
    </w:p>
    <w:p>
      <w:pPr>
        <w:spacing w:before="37"/>
        <w:ind w:left="122" w:right="125" w:firstLine="0"/>
        <w:jc w:val="both"/>
        <w:rPr>
          <w:rFonts w:ascii="Calibri" w:hAnsi="Calibri"/>
          <w:sz w:val="20"/>
        </w:rPr>
      </w:pPr>
      <w:r>
        <w:rPr>
          <w:rFonts w:ascii="Calibri" w:hAnsi="Calibri"/>
          <w:position w:val="10"/>
          <w:sz w:val="13"/>
        </w:rPr>
        <w:t>1</w:t>
      </w:r>
      <w:r>
        <w:rPr>
          <w:rFonts w:ascii="Calibri" w:hAnsi="Calibri"/>
          <w:sz w:val="20"/>
        </w:rPr>
        <w:t>Maguey nombre científico </w:t>
      </w:r>
      <w:r>
        <w:rPr>
          <w:rFonts w:ascii="Calibri" w:hAnsi="Calibri"/>
          <w:i/>
          <w:sz w:val="20"/>
        </w:rPr>
        <w:t>agave cupreata, </w:t>
      </w:r>
      <w:r>
        <w:rPr>
          <w:rFonts w:ascii="Calibri" w:hAnsi="Calibri"/>
          <w:sz w:val="20"/>
        </w:rPr>
        <w:t>considerado como un producto forestal no maderable. Sin embargo ha sido utilizado en la producción artesanal de mezcal, sus flores son alimento y sus escapos se utilizan en la construcción de casas (Berger, 2010).</w:t>
      </w:r>
    </w:p>
    <w:p>
      <w:pPr>
        <w:spacing w:after="0"/>
        <w:jc w:val="both"/>
        <w:rPr>
          <w:rFonts w:ascii="Calibri" w:hAnsi="Calibri"/>
          <w:sz w:val="20"/>
        </w:rPr>
        <w:sectPr>
          <w:pgSz w:w="12240" w:h="15840"/>
          <w:pgMar w:header="0" w:footer="1003" w:top="1360" w:bottom="1200" w:left="1580" w:right="1580"/>
        </w:sectPr>
      </w:pPr>
    </w:p>
    <w:p>
      <w:pPr>
        <w:pStyle w:val="BodyText"/>
        <w:spacing w:line="360" w:lineRule="auto" w:before="54"/>
        <w:ind w:left="102" w:right="125"/>
        <w:jc w:val="both"/>
      </w:pPr>
      <w:r>
        <w:rPr/>
        <w:t>así como la presencia en este paisaje árido de arbustos espinosos, cardón, biznaga, el órgano, nopales propios de la región del Valle del Mezquital. El maguey blanco y la lechuguilla, símbolos de toda la región, derivan el nombre a la comunidad: El Tephé (Rodríguez,</w:t>
      </w:r>
      <w:r>
        <w:rPr>
          <w:spacing w:val="-14"/>
        </w:rPr>
        <w:t> </w:t>
      </w:r>
      <w:r>
        <w:rPr/>
        <w:t>2003a).</w:t>
      </w:r>
    </w:p>
    <w:p>
      <w:pPr>
        <w:pStyle w:val="BodyText"/>
        <w:spacing w:line="360" w:lineRule="auto" w:before="122"/>
        <w:ind w:left="102" w:right="116"/>
        <w:jc w:val="both"/>
      </w:pPr>
      <w:r>
        <w:rPr/>
        <w:t>La migración de los habitantes de la comunidad indígena El Tephé hacia los Estados Unidos comienza en la década de los años 1980 por las carencias que existían en el pueblo dados la escasez de trabajo y la dificultad en obtención de ingresos. Hacia 1990 se incorporan a la migración las mujeres apoyadas en las redes masculinas, al mismo tiempo que en la localidad comienzan a verse los resultados económicos de dos empresas de tipo comunal en la figura de parques acuáticos El Tephé y El Tepha-té, que con su desarrollo ofrecen trabajo formal e informal, además de solventar las necesidades básicas de sus miembros, cabe mencionar que a pesar de que los balnearios El Tephé, El te-pathé y Dios Padre se encuentran cercanos a las comunidades, las personas siguen emigrando a Estados Unidos (Rodríguez,</w:t>
      </w:r>
      <w:r>
        <w:rPr>
          <w:spacing w:val="-13"/>
        </w:rPr>
        <w:t> </w:t>
      </w:r>
      <w:r>
        <w:rPr/>
        <w:t>2003b).</w:t>
      </w:r>
    </w:p>
    <w:p>
      <w:pPr>
        <w:pStyle w:val="BodyText"/>
        <w:spacing w:line="360" w:lineRule="auto" w:before="204"/>
        <w:ind w:left="102" w:right="117"/>
        <w:jc w:val="both"/>
      </w:pPr>
      <w:r>
        <w:rPr/>
        <w:t>Como menciona Alba (1980), la migración de los pobladores indígenas de esta comunidad como actividad económica es principalmente a las ciudades de Oakland, Atlanta y Cleanwater, entre los estados de California, Georgia, La Florida y Carolina del Norte. Pero esta migración es sólo temporal y en cadena, en la que la población establece desplazamientos circulares y recurrentes entre su comunidad de origen y las diversas zonas de Estados Unidos (Alba, 1980).</w:t>
      </w:r>
    </w:p>
    <w:p>
      <w:pPr>
        <w:pStyle w:val="BodyText"/>
        <w:spacing w:line="360" w:lineRule="auto" w:before="204"/>
        <w:ind w:left="102" w:right="119"/>
        <w:jc w:val="both"/>
      </w:pPr>
      <w:r>
        <w:rPr/>
        <w:t>Cabe mencionar que las condiciones en las que emigran los hombres y mujeres  de esta comunidad son limitadas, es decir, no cuentan con el suficiente dinero  para hacer un recorrido cómodo y seguro hacia los Estados Unidos. Los coyotes (nombre común que se les otorga a las personas que se encargan de pasar de manera ilegal a las personas hacia Estados Unidos) cobran alrededor de $35,000 a $40,000,  pero esto no asegura que puedan llegar a Estados Unidos; el medio  de transporte que se utiliza frecuentemente es el autobús. Las personas que llegan a establecerse es Estados Unidos se emplean en restaurantes, lavanderías, tintorerías, jardinería, limpiar lotes, pintor, construcción. Asimismo se   </w:t>
      </w:r>
      <w:r>
        <w:rPr>
          <w:spacing w:val="32"/>
        </w:rPr>
        <w:t> </w:t>
      </w:r>
      <w:r>
        <w:rPr/>
        <w:t>documenta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que el tiempo de residencia de un migrante en Estados Unidos es alrededor de ocho a catorce años, pueden regresar a la comunidad y pasar de dos a tres meses, o en algunos casos ya no regresan a la comunidad de</w:t>
      </w:r>
      <w:r>
        <w:rPr>
          <w:spacing w:val="-30"/>
        </w:rPr>
        <w:t> </w:t>
      </w:r>
      <w:r>
        <w:rPr/>
        <w:t>origen.</w:t>
      </w:r>
    </w:p>
    <w:p>
      <w:pPr>
        <w:pStyle w:val="BodyText"/>
        <w:spacing w:line="360" w:lineRule="auto" w:before="204"/>
        <w:ind w:left="102" w:right="122"/>
        <w:jc w:val="both"/>
      </w:pPr>
      <w:r>
        <w:rPr/>
        <w:t>Las personas que regresan lo hacen por el motivo de nostalgia, para visitar a sus familiares, convivir con los amigos e integrarse a las actividades de la comunidad, esto es en diciembre (navidad) y principalmente la fiesta patronal l 15 de agosto y festejan al Señor de Chalma. Durante las fiestas se preparan platillos especiales, como son la barbacoa, los pastes y el ximbo, que son degustadas por los migrantes y elaborados con este fin.</w:t>
      </w:r>
    </w:p>
    <w:p>
      <w:pPr>
        <w:spacing w:after="0" w:line="360" w:lineRule="auto"/>
        <w:jc w:val="both"/>
        <w:sectPr>
          <w:footerReference w:type="default" r:id="rId12"/>
          <w:pgSz w:w="12240" w:h="15840"/>
          <w:pgMar w:footer="1003" w:header="0" w:top="1360" w:bottom="1200" w:left="1600" w:right="1580"/>
        </w:sectPr>
      </w:pPr>
    </w:p>
    <w:p>
      <w:pPr>
        <w:pStyle w:val="Heading1"/>
        <w:ind w:left="1222"/>
        <w:jc w:val="left"/>
      </w:pPr>
      <w:r>
        <w:rPr/>
        <w:t>CAPÍTULO 3. PROCEDIMIENTO METODOLÓGICO</w:t>
      </w:r>
    </w:p>
    <w:p>
      <w:pPr>
        <w:pStyle w:val="BodyText"/>
        <w:rPr>
          <w:b/>
          <w:sz w:val="28"/>
        </w:rPr>
      </w:pPr>
    </w:p>
    <w:p>
      <w:pPr>
        <w:pStyle w:val="BodyText"/>
        <w:spacing w:before="2"/>
        <w:rPr>
          <w:b/>
          <w:sz w:val="41"/>
        </w:rPr>
      </w:pPr>
    </w:p>
    <w:p>
      <w:pPr>
        <w:pStyle w:val="Heading2"/>
        <w:numPr>
          <w:ilvl w:val="1"/>
          <w:numId w:val="9"/>
        </w:numPr>
        <w:tabs>
          <w:tab w:pos="750" w:val="left" w:leader="none"/>
        </w:tabs>
        <w:spacing w:line="240" w:lineRule="auto" w:before="1" w:after="0"/>
        <w:ind w:left="750" w:right="0" w:hanging="648"/>
        <w:jc w:val="both"/>
      </w:pPr>
      <w:bookmarkStart w:name="_TOC_250011" w:id="26"/>
      <w:r>
        <w:rPr/>
        <w:t>Relevancia de la investigación</w:t>
      </w:r>
      <w:r>
        <w:rPr>
          <w:spacing w:val="-14"/>
        </w:rPr>
        <w:t> </w:t>
      </w:r>
      <w:bookmarkEnd w:id="26"/>
      <w:r>
        <w:rPr/>
        <w:t>cualitativa</w:t>
      </w:r>
    </w:p>
    <w:p>
      <w:pPr>
        <w:pStyle w:val="BodyText"/>
        <w:spacing w:before="3"/>
        <w:rPr>
          <w:b/>
          <w:sz w:val="30"/>
        </w:rPr>
      </w:pPr>
    </w:p>
    <w:p>
      <w:pPr>
        <w:pStyle w:val="BodyText"/>
        <w:spacing w:line="360" w:lineRule="auto"/>
        <w:ind w:left="102" w:right="118"/>
        <w:jc w:val="both"/>
      </w:pPr>
      <w:r>
        <w:rPr/>
        <w:t>Los orígenes de los métodos cualitativos se encuentran en la antigüedad pero a partir del siglo XIX, con el auge de las ciencias sociales – sobre todo de la sociología y la antropología – esta metodología comienza a desarrollarse de forma progresiva al mismo tiempo que ofrecen un gran potencial y adquieren su madurez en diversas técnicas como la observación participante, la entrevista a profundidad y los documentos personales  (Phillimore y Goodson,</w:t>
      </w:r>
      <w:r>
        <w:rPr>
          <w:spacing w:val="-22"/>
        </w:rPr>
        <w:t> </w:t>
      </w:r>
      <w:r>
        <w:rPr/>
        <w:t>2004).</w:t>
      </w:r>
    </w:p>
    <w:p>
      <w:pPr>
        <w:pStyle w:val="BodyText"/>
        <w:spacing w:before="5"/>
        <w:rPr>
          <w:sz w:val="20"/>
        </w:rPr>
      </w:pPr>
    </w:p>
    <w:p>
      <w:pPr>
        <w:pStyle w:val="BodyText"/>
        <w:spacing w:line="360" w:lineRule="auto"/>
        <w:ind w:left="102" w:right="117"/>
        <w:jc w:val="both"/>
      </w:pPr>
      <w:r>
        <w:rPr/>
        <w:t>Sin embargo después de la Segunda Guerra Mundial hubo un predominio de la metodología cuantitativa con la preponderancia de las perspectivas funcionalistas y estructuralistas. Desde una perspectiva sociológica, Bodgan y Biklen (1982) sitúan las raíces de la investigación cualitativa en la década de los </w:t>
      </w:r>
      <w:r>
        <w:rPr>
          <w:spacing w:val="4"/>
        </w:rPr>
        <w:t>60 </w:t>
      </w:r>
      <w:r>
        <w:rPr/>
        <w:t>donde las investigaciones de este corte surgieron principalmente en Estados Unidos y Gran Bretaña como un reconocimiento de las limitaciones de los métodos cuantitativos pero también por la necesidad de explorar elementos no fácilmente</w:t>
      </w:r>
      <w:r>
        <w:rPr>
          <w:spacing w:val="-20"/>
        </w:rPr>
        <w:t> </w:t>
      </w:r>
      <w:r>
        <w:rPr/>
        <w:t>medibles..</w:t>
      </w:r>
    </w:p>
    <w:p>
      <w:pPr>
        <w:pStyle w:val="BodyText"/>
      </w:pPr>
    </w:p>
    <w:p>
      <w:pPr>
        <w:pStyle w:val="BodyText"/>
        <w:spacing w:line="360" w:lineRule="auto" w:before="142"/>
        <w:ind w:left="102" w:right="119"/>
        <w:jc w:val="both"/>
      </w:pPr>
      <w:r>
        <w:rPr/>
        <w:t>Para LeCompte (1995; citado en Hernández Sampieri et al.,1991) la investigación cualitativa podría entenderse como "una categoría de diseños de investigación que extraen descripciones a partir de observaciones que adoptan la forma de entrevistas, narraciones, notas de campo, grabaciones, transcripciones de audio y vídeo cassettes, registros escritos de todo tipo, fotografías o películas  y artefactos". Para este autor la mayor parte de los estudios cualitativos están preocupados por el entorno de los acontecimientos, y centran su indagación en aquellos contextos naturales, o tomados tal y como se encuentran, más que reconstruidos o modificados por el investigador, en los que los seres humanos se implican e interesan, evalúan y experimentan directamente.</w:t>
      </w:r>
    </w:p>
    <w:p>
      <w:pPr>
        <w:spacing w:after="0" w:line="360" w:lineRule="auto"/>
        <w:jc w:val="both"/>
        <w:sectPr>
          <w:footerReference w:type="default" r:id="rId13"/>
          <w:pgSz w:w="12240" w:h="15840"/>
          <w:pgMar w:footer="1003" w:header="0" w:top="1360" w:bottom="1200" w:left="1600" w:right="1580"/>
          <w:pgNumType w:start="31"/>
        </w:sectPr>
      </w:pPr>
    </w:p>
    <w:p>
      <w:pPr>
        <w:pStyle w:val="BodyText"/>
        <w:spacing w:line="360" w:lineRule="auto" w:before="54"/>
        <w:ind w:left="102" w:right="121"/>
        <w:jc w:val="both"/>
      </w:pPr>
      <w:r>
        <w:rPr/>
        <w:t>La investigación cualitativa enfatiza el estudio de los proceso y de los significados, se interesa por fenómenos y experiencias humanas. Da importancia a la naturaleza socialmente construida de la realidad, a la relación estrecha que hay entre el investigador y lo que estudia, además, reconoce las limitaciones prácticas que moldean la propia indagación (Swanson y Chenitz,</w:t>
      </w:r>
      <w:r>
        <w:rPr>
          <w:spacing w:val="-26"/>
        </w:rPr>
        <w:t> </w:t>
      </w:r>
      <w:r>
        <w:rPr/>
        <w:t>1982).</w:t>
      </w:r>
    </w:p>
    <w:p>
      <w:pPr>
        <w:pStyle w:val="BodyText"/>
      </w:pPr>
    </w:p>
    <w:p>
      <w:pPr>
        <w:pStyle w:val="BodyText"/>
        <w:spacing w:line="360" w:lineRule="auto" w:before="211"/>
        <w:ind w:left="102" w:right="126"/>
        <w:jc w:val="both"/>
      </w:pPr>
      <w:r>
        <w:rPr/>
        <w:t>Mella (1998), entiende que entre las características más comunes de la investigación cualitativa se encuentran:</w:t>
      </w:r>
    </w:p>
    <w:p>
      <w:pPr>
        <w:pStyle w:val="ListParagraph"/>
        <w:numPr>
          <w:ilvl w:val="0"/>
          <w:numId w:val="10"/>
        </w:numPr>
        <w:tabs>
          <w:tab w:pos="822" w:val="left" w:leader="none"/>
        </w:tabs>
        <w:spacing w:line="357" w:lineRule="auto" w:before="203" w:after="0"/>
        <w:ind w:left="822" w:right="122" w:hanging="360"/>
        <w:jc w:val="both"/>
        <w:rPr>
          <w:sz w:val="24"/>
        </w:rPr>
      </w:pPr>
      <w:r>
        <w:rPr>
          <w:sz w:val="24"/>
        </w:rPr>
        <w:t>Se manifiesta como estrategia para tratar de conocer los hechos, procesos, estructuras y personas en su totalidad, y no a través de la medición de algunos de sus elementos. La misma estrategia indica ya el empleo de procedimientos que dan un carácter único a las</w:t>
      </w:r>
      <w:r>
        <w:rPr>
          <w:spacing w:val="-20"/>
          <w:sz w:val="24"/>
        </w:rPr>
        <w:t> </w:t>
      </w:r>
      <w:r>
        <w:rPr>
          <w:sz w:val="24"/>
        </w:rPr>
        <w:t>observaciones.</w:t>
      </w:r>
    </w:p>
    <w:p>
      <w:pPr>
        <w:pStyle w:val="ListParagraph"/>
        <w:numPr>
          <w:ilvl w:val="0"/>
          <w:numId w:val="10"/>
        </w:numPr>
        <w:tabs>
          <w:tab w:pos="822" w:val="left" w:leader="none"/>
        </w:tabs>
        <w:spacing w:line="355" w:lineRule="auto" w:before="6" w:after="0"/>
        <w:ind w:left="822" w:right="124" w:hanging="360"/>
        <w:jc w:val="both"/>
        <w:rPr>
          <w:sz w:val="24"/>
        </w:rPr>
      </w:pPr>
      <w:r>
        <w:rPr>
          <w:sz w:val="24"/>
        </w:rPr>
        <w:t>El uso de procedimientos que hacen menos comparables las observaciones en el tiempo y en diferentes circunstancias culturales, es decir, este método busca menos la generalización y se acerca más a la</w:t>
      </w:r>
      <w:r>
        <w:rPr>
          <w:spacing w:val="-27"/>
          <w:sz w:val="24"/>
        </w:rPr>
        <w:t> </w:t>
      </w:r>
      <w:r>
        <w:rPr>
          <w:sz w:val="24"/>
        </w:rPr>
        <w:t>fenomenología.</w:t>
      </w:r>
    </w:p>
    <w:p>
      <w:pPr>
        <w:pStyle w:val="ListParagraph"/>
        <w:numPr>
          <w:ilvl w:val="0"/>
          <w:numId w:val="10"/>
        </w:numPr>
        <w:tabs>
          <w:tab w:pos="822" w:val="left" w:leader="none"/>
        </w:tabs>
        <w:spacing w:line="350" w:lineRule="auto" w:before="8" w:after="0"/>
        <w:ind w:left="822" w:right="117" w:hanging="360"/>
        <w:jc w:val="both"/>
        <w:rPr>
          <w:sz w:val="24"/>
        </w:rPr>
      </w:pPr>
      <w:r>
        <w:rPr>
          <w:sz w:val="24"/>
        </w:rPr>
        <w:t>El papel del investigador en su trato -intensivo- con las personas involucradas en el proceso de investigación, para</w:t>
      </w:r>
      <w:r>
        <w:rPr>
          <w:spacing w:val="-23"/>
          <w:sz w:val="24"/>
        </w:rPr>
        <w:t> </w:t>
      </w:r>
      <w:r>
        <w:rPr>
          <w:sz w:val="24"/>
        </w:rPr>
        <w:t>entenderlas.</w:t>
      </w:r>
    </w:p>
    <w:p>
      <w:pPr>
        <w:pStyle w:val="ListParagraph"/>
        <w:numPr>
          <w:ilvl w:val="0"/>
          <w:numId w:val="10"/>
        </w:numPr>
        <w:tabs>
          <w:tab w:pos="822" w:val="left" w:leader="none"/>
        </w:tabs>
        <w:spacing w:line="357" w:lineRule="auto" w:before="16" w:after="0"/>
        <w:ind w:left="822" w:right="116" w:hanging="360"/>
        <w:jc w:val="both"/>
        <w:rPr>
          <w:sz w:val="24"/>
        </w:rPr>
      </w:pPr>
      <w:r>
        <w:rPr>
          <w:sz w:val="24"/>
        </w:rPr>
        <w:t>El investigador desarrolla o afirma las pautas y problemas centrales de su trabajo durante el mismo proceso de la investigación. Por tal razón, los conceptos que se manejan en las investigaciones cualitativas en la mayoría de los casos no están operacionalizados desde el principio de la investigación, es decir, no están definidos desde el inicio los indicadores que se tomarán en cuenta durante el proceso de investigación. Esta característica remite a otro debate epistemológico, muy intensivo, sobre la cuestión de la objetividad en la investigación</w:t>
      </w:r>
      <w:r>
        <w:rPr>
          <w:spacing w:val="-15"/>
          <w:sz w:val="24"/>
        </w:rPr>
        <w:t> </w:t>
      </w:r>
      <w:r>
        <w:rPr>
          <w:sz w:val="24"/>
        </w:rPr>
        <w:t>social.</w:t>
      </w:r>
    </w:p>
    <w:p>
      <w:pPr>
        <w:pStyle w:val="BodyText"/>
      </w:pPr>
    </w:p>
    <w:p>
      <w:pPr>
        <w:pStyle w:val="BodyText"/>
        <w:spacing w:before="11"/>
        <w:rPr>
          <w:sz w:val="29"/>
        </w:rPr>
      </w:pPr>
    </w:p>
    <w:p>
      <w:pPr>
        <w:pStyle w:val="BodyText"/>
        <w:spacing w:line="360" w:lineRule="auto"/>
        <w:ind w:left="102" w:right="120"/>
        <w:jc w:val="both"/>
      </w:pPr>
      <w:r>
        <w:rPr/>
        <w:t>La investigación cualitativa posee un conjunto de particularidades que la  identifican como tal, mostrando diferencias entre las diversas tradiciones que abarca y no constituye un enfoque monolítico (Palton, 2002; citado en Vasilachis  et</w:t>
      </w:r>
      <w:r>
        <w:rPr>
          <w:spacing w:val="27"/>
        </w:rPr>
        <w:t> </w:t>
      </w:r>
      <w:r>
        <w:rPr/>
        <w:t>al.</w:t>
      </w:r>
      <w:r>
        <w:rPr>
          <w:spacing w:val="27"/>
        </w:rPr>
        <w:t> </w:t>
      </w:r>
      <w:r>
        <w:rPr/>
        <w:t>2006).</w:t>
      </w:r>
      <w:r>
        <w:rPr>
          <w:spacing w:val="26"/>
        </w:rPr>
        <w:t> </w:t>
      </w:r>
      <w:r>
        <w:rPr/>
        <w:t>Su</w:t>
      </w:r>
      <w:r>
        <w:rPr>
          <w:spacing w:val="27"/>
        </w:rPr>
        <w:t> </w:t>
      </w:r>
      <w:r>
        <w:rPr/>
        <w:t>desarrollo</w:t>
      </w:r>
      <w:r>
        <w:rPr>
          <w:spacing w:val="27"/>
        </w:rPr>
        <w:t> </w:t>
      </w:r>
      <w:r>
        <w:rPr/>
        <w:t>prosigue</w:t>
      </w:r>
      <w:r>
        <w:rPr>
          <w:spacing w:val="27"/>
        </w:rPr>
        <w:t> </w:t>
      </w:r>
      <w:r>
        <w:rPr/>
        <w:t>en</w:t>
      </w:r>
      <w:r>
        <w:rPr>
          <w:spacing w:val="27"/>
        </w:rPr>
        <w:t> </w:t>
      </w:r>
      <w:r>
        <w:rPr/>
        <w:t>diferentes</w:t>
      </w:r>
      <w:r>
        <w:rPr>
          <w:spacing w:val="27"/>
        </w:rPr>
        <w:t> </w:t>
      </w:r>
      <w:r>
        <w:rPr/>
        <w:t>áreas,</w:t>
      </w:r>
      <w:r>
        <w:rPr>
          <w:spacing w:val="27"/>
        </w:rPr>
        <w:t> </w:t>
      </w:r>
      <w:r>
        <w:rPr/>
        <w:t>cada</w:t>
      </w:r>
      <w:r>
        <w:rPr>
          <w:spacing w:val="27"/>
        </w:rPr>
        <w:t> </w:t>
      </w:r>
      <w:r>
        <w:rPr/>
        <w:t>una</w:t>
      </w:r>
      <w:r>
        <w:rPr>
          <w:spacing w:val="27"/>
        </w:rPr>
        <w:t> </w:t>
      </w:r>
      <w:r>
        <w:rPr/>
        <w:t>de</w:t>
      </w:r>
      <w:r>
        <w:rPr>
          <w:spacing w:val="27"/>
        </w:rPr>
        <w:t> </w:t>
      </w:r>
      <w:r>
        <w:rPr/>
        <w:t>las</w:t>
      </w:r>
      <w:r>
        <w:rPr>
          <w:spacing w:val="27"/>
        </w:rPr>
        <w:t> </w:t>
      </w:r>
      <w:r>
        <w:rPr/>
        <w:t>cuales</w:t>
      </w:r>
    </w:p>
    <w:p>
      <w:pPr>
        <w:spacing w:after="0" w:line="360" w:lineRule="auto"/>
        <w:jc w:val="both"/>
        <w:sectPr>
          <w:pgSz w:w="12240" w:h="15840"/>
          <w:pgMar w:header="0" w:footer="1003" w:top="1360" w:bottom="1200" w:left="1600" w:right="1580"/>
        </w:sectPr>
      </w:pPr>
    </w:p>
    <w:p>
      <w:pPr>
        <w:pStyle w:val="BodyText"/>
        <w:spacing w:line="362" w:lineRule="auto" w:before="54"/>
        <w:ind w:left="102" w:right="118"/>
        <w:jc w:val="both"/>
      </w:pPr>
      <w:r>
        <w:rPr/>
        <w:t>está caracterizada por su propia orientación metodológica y por sus específicos presupuestos teóricos y conceptuales acerca de la realidad.</w:t>
      </w:r>
    </w:p>
    <w:p>
      <w:pPr>
        <w:pStyle w:val="Heading2"/>
        <w:numPr>
          <w:ilvl w:val="2"/>
          <w:numId w:val="9"/>
        </w:numPr>
        <w:tabs>
          <w:tab w:pos="969" w:val="left" w:leader="none"/>
        </w:tabs>
        <w:spacing w:line="240" w:lineRule="auto" w:before="202" w:after="0"/>
        <w:ind w:left="968" w:right="0" w:hanging="866"/>
        <w:jc w:val="both"/>
      </w:pPr>
      <w:r>
        <w:rPr/>
        <w:t>Fases de la investigación</w:t>
      </w:r>
      <w:r>
        <w:rPr>
          <w:spacing w:val="-12"/>
        </w:rPr>
        <w:t> </w:t>
      </w:r>
      <w:r>
        <w:rPr/>
        <w:t>cualitativa</w:t>
      </w:r>
    </w:p>
    <w:p>
      <w:pPr>
        <w:pStyle w:val="BodyText"/>
        <w:spacing w:before="3"/>
        <w:rPr>
          <w:b/>
          <w:sz w:val="30"/>
        </w:rPr>
      </w:pPr>
    </w:p>
    <w:p>
      <w:pPr>
        <w:pStyle w:val="BodyText"/>
        <w:spacing w:line="360" w:lineRule="auto"/>
        <w:ind w:left="102" w:right="127"/>
        <w:jc w:val="both"/>
      </w:pPr>
      <w:r>
        <w:rPr/>
        <w:t>La investigación cualitativa según Ruíz (1996) se desenvuelve en cinco fases de trabajo:</w:t>
      </w:r>
    </w:p>
    <w:p>
      <w:pPr>
        <w:pStyle w:val="BodyText"/>
      </w:pPr>
    </w:p>
    <w:p>
      <w:pPr>
        <w:pStyle w:val="ListParagraph"/>
        <w:numPr>
          <w:ilvl w:val="0"/>
          <w:numId w:val="11"/>
        </w:numPr>
        <w:tabs>
          <w:tab w:pos="460" w:val="left" w:leader="none"/>
        </w:tabs>
        <w:spacing w:line="360" w:lineRule="auto" w:before="142" w:after="0"/>
        <w:ind w:left="102" w:right="115" w:firstLine="0"/>
        <w:jc w:val="both"/>
        <w:rPr>
          <w:sz w:val="24"/>
        </w:rPr>
      </w:pPr>
      <w:r>
        <w:rPr>
          <w:b/>
          <w:sz w:val="24"/>
        </w:rPr>
        <w:t>Definición del problema: </w:t>
      </w:r>
      <w:r>
        <w:rPr>
          <w:sz w:val="24"/>
        </w:rPr>
        <w:t>Ninguna investigación cualitativa puede iniciarse sin una definición más o menos concreta del problema. El planteamiento  del  problema siempre es provisional, porque la tarea central del análisis cualitativo es averiguar si la definición está bien</w:t>
      </w:r>
      <w:r>
        <w:rPr>
          <w:spacing w:val="-13"/>
          <w:sz w:val="24"/>
        </w:rPr>
        <w:t> </w:t>
      </w:r>
      <w:r>
        <w:rPr>
          <w:sz w:val="24"/>
        </w:rPr>
        <w:t>concretada.</w:t>
      </w:r>
    </w:p>
    <w:p>
      <w:pPr>
        <w:pStyle w:val="BodyText"/>
      </w:pPr>
    </w:p>
    <w:p>
      <w:pPr>
        <w:pStyle w:val="ListParagraph"/>
        <w:numPr>
          <w:ilvl w:val="0"/>
          <w:numId w:val="11"/>
        </w:numPr>
        <w:tabs>
          <w:tab w:pos="513" w:val="left" w:leader="none"/>
        </w:tabs>
        <w:spacing w:line="360" w:lineRule="auto" w:before="142" w:after="0"/>
        <w:ind w:left="102" w:right="122" w:firstLine="0"/>
        <w:jc w:val="both"/>
        <w:rPr>
          <w:sz w:val="24"/>
        </w:rPr>
      </w:pPr>
      <w:r>
        <w:rPr>
          <w:b/>
          <w:sz w:val="24"/>
        </w:rPr>
        <w:t>Diseño de trabajo: </w:t>
      </w:r>
      <w:r>
        <w:rPr>
          <w:sz w:val="24"/>
        </w:rPr>
        <w:t>Tras la definición del problema es preciso elaborar un diseño o proyecto de trabajo. Una característica fundamental de este diseño es precisamente su</w:t>
      </w:r>
      <w:r>
        <w:rPr>
          <w:spacing w:val="-10"/>
          <w:sz w:val="24"/>
        </w:rPr>
        <w:t> </w:t>
      </w:r>
      <w:r>
        <w:rPr>
          <w:sz w:val="24"/>
        </w:rPr>
        <w:t>flexibilidad.</w:t>
      </w:r>
    </w:p>
    <w:p>
      <w:pPr>
        <w:pStyle w:val="BodyText"/>
      </w:pPr>
    </w:p>
    <w:p>
      <w:pPr>
        <w:pStyle w:val="ListParagraph"/>
        <w:numPr>
          <w:ilvl w:val="0"/>
          <w:numId w:val="11"/>
        </w:numPr>
        <w:tabs>
          <w:tab w:pos="489" w:val="left" w:leader="none"/>
        </w:tabs>
        <w:spacing w:line="360" w:lineRule="auto" w:before="142" w:after="0"/>
        <w:ind w:left="102" w:right="117" w:firstLine="0"/>
        <w:jc w:val="both"/>
        <w:rPr>
          <w:sz w:val="24"/>
        </w:rPr>
      </w:pPr>
      <w:r>
        <w:rPr>
          <w:b/>
          <w:sz w:val="24"/>
        </w:rPr>
        <w:t>Recolección de datos: </w:t>
      </w:r>
      <w:r>
        <w:rPr>
          <w:sz w:val="24"/>
        </w:rPr>
        <w:t>Tres técnicas de recogida de datos destacan sobre todas las demás en los estudios cualitativos: la observación, la entrevista a profundidad y la lectura de textos. El principio de la guía del procedimiento en la recogida de datos cualitativos es el de la inspección de primera mano que obliga al investigador a buscar la mayor proximidad a la situación, a la involución analítica de su persona con el fenómeno de estudio, a buscar el foco descriptivo y a estudiar la conducta rutinaria de cada día sin interferencias ni aislamientos artificiales.</w:t>
      </w:r>
    </w:p>
    <w:p>
      <w:pPr>
        <w:pStyle w:val="BodyText"/>
      </w:pPr>
    </w:p>
    <w:p>
      <w:pPr>
        <w:pStyle w:val="ListParagraph"/>
        <w:numPr>
          <w:ilvl w:val="0"/>
          <w:numId w:val="11"/>
        </w:numPr>
        <w:tabs>
          <w:tab w:pos="479" w:val="left" w:leader="none"/>
        </w:tabs>
        <w:spacing w:line="360" w:lineRule="auto" w:before="142" w:after="0"/>
        <w:ind w:left="102" w:right="122" w:firstLine="0"/>
        <w:jc w:val="both"/>
        <w:rPr>
          <w:sz w:val="24"/>
        </w:rPr>
      </w:pPr>
      <w:r>
        <w:rPr>
          <w:b/>
          <w:sz w:val="24"/>
        </w:rPr>
        <w:t>Análisis de datos: </w:t>
      </w:r>
      <w:r>
        <w:rPr>
          <w:sz w:val="24"/>
        </w:rPr>
        <w:t>La observación, la entrevista y la lectura son instrumentos para profundizar tras haber recodificado la</w:t>
      </w:r>
      <w:r>
        <w:rPr>
          <w:spacing w:val="-16"/>
          <w:sz w:val="24"/>
        </w:rPr>
        <w:t> </w:t>
      </w:r>
      <w:r>
        <w:rPr>
          <w:sz w:val="24"/>
        </w:rPr>
        <w:t>información.</w:t>
      </w:r>
    </w:p>
    <w:p>
      <w:pPr>
        <w:pStyle w:val="BodyText"/>
      </w:pPr>
    </w:p>
    <w:p>
      <w:pPr>
        <w:pStyle w:val="ListParagraph"/>
        <w:numPr>
          <w:ilvl w:val="0"/>
          <w:numId w:val="11"/>
        </w:numPr>
        <w:tabs>
          <w:tab w:pos="536" w:val="left" w:leader="none"/>
        </w:tabs>
        <w:spacing w:line="360" w:lineRule="auto" w:before="142" w:after="0"/>
        <w:ind w:left="102" w:right="120" w:firstLine="0"/>
        <w:jc w:val="both"/>
        <w:rPr>
          <w:sz w:val="24"/>
        </w:rPr>
      </w:pPr>
      <w:r>
        <w:rPr>
          <w:b/>
          <w:sz w:val="24"/>
        </w:rPr>
        <w:t>Informe y validación de la información: </w:t>
      </w:r>
      <w:r>
        <w:rPr>
          <w:sz w:val="24"/>
        </w:rPr>
        <w:t>El punto de todo estudio de investigación, tanto cuantitativa como cualitativa, es la de garantizar su validez. Se pretende,   sobre   todo,   generar   interpretaciones   conceptuales,   no </w:t>
      </w:r>
      <w:r>
        <w:rPr>
          <w:spacing w:val="44"/>
          <w:sz w:val="24"/>
        </w:rPr>
        <w:t> </w:t>
      </w:r>
      <w:r>
        <w:rPr>
          <w:sz w:val="24"/>
        </w:rPr>
        <w:t>proyectar</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18"/>
        <w:jc w:val="both"/>
      </w:pPr>
      <w:r>
        <w:rPr/>
        <w:t>resultados de posibles manipulaciones de estos datos. El trabajo cualitativo consiste en inscribir (descripción densa) y especificar (diagnóstico de la situación), es decir, establecer el significado que determinados actos sociales.</w:t>
      </w:r>
    </w:p>
    <w:p>
      <w:pPr>
        <w:pStyle w:val="Heading2"/>
        <w:numPr>
          <w:ilvl w:val="2"/>
          <w:numId w:val="9"/>
        </w:numPr>
        <w:tabs>
          <w:tab w:pos="969" w:val="left" w:leader="none"/>
        </w:tabs>
        <w:spacing w:line="240" w:lineRule="auto" w:before="205" w:after="0"/>
        <w:ind w:left="968" w:right="0" w:hanging="866"/>
        <w:jc w:val="both"/>
      </w:pPr>
      <w:bookmarkStart w:name="_TOC_250010" w:id="27"/>
      <w:r>
        <w:rPr/>
        <w:t>Ventajas de la investigación</w:t>
      </w:r>
      <w:r>
        <w:rPr>
          <w:spacing w:val="-14"/>
        </w:rPr>
        <w:t> </w:t>
      </w:r>
      <w:bookmarkEnd w:id="27"/>
      <w:r>
        <w:rPr/>
        <w:t>cualitativa</w:t>
      </w:r>
    </w:p>
    <w:p>
      <w:pPr>
        <w:pStyle w:val="BodyText"/>
        <w:spacing w:before="3"/>
        <w:rPr>
          <w:b/>
          <w:sz w:val="30"/>
        </w:rPr>
      </w:pPr>
    </w:p>
    <w:p>
      <w:pPr>
        <w:pStyle w:val="BodyText"/>
        <w:spacing w:line="360" w:lineRule="auto"/>
        <w:ind w:left="102" w:right="120"/>
        <w:jc w:val="both"/>
      </w:pPr>
      <w:r>
        <w:rPr/>
        <w:t>La investigación cualitativa es útil durante las etapas tempranas de un estudio, cuando el investigador puede no estar seguro de exactamente qué se estudiará o sobre qué concentrarse. Este tipo de investigación no necesita un plan estrictamente diseñado antes de comenzar. Esto le da al investigador la libertad para dejar que el estudio se desenvuelva más naturalmente. (Castillo y Vásquez, 2003).</w:t>
      </w:r>
    </w:p>
    <w:p>
      <w:pPr>
        <w:pStyle w:val="BodyText"/>
        <w:spacing w:line="360" w:lineRule="auto" w:before="204"/>
        <w:ind w:left="102" w:right="119"/>
        <w:jc w:val="both"/>
      </w:pPr>
      <w:r>
        <w:rPr/>
        <w:t>Otra ventaja de la investigación cualitativa es que el investigador adquiere información más detallada en forma de descripciones escritas o de evidencia visual, como las fotografías. Este tipo de investigación observa el contexto y el sentido social y cómo afecta a los individuos, lo que es una ventaja especialmente para las ciencias sociales. (Castillo y Vásquez, 2003).</w:t>
      </w:r>
    </w:p>
    <w:p>
      <w:pPr>
        <w:pStyle w:val="BodyText"/>
        <w:spacing w:line="360" w:lineRule="auto" w:before="202"/>
        <w:ind w:left="102" w:right="122"/>
        <w:jc w:val="both"/>
      </w:pPr>
      <w:r>
        <w:rPr/>
        <w:t>Ordinariamente, la investigación cualitativa no tiene pretensiones de alta generalización de sus conclusiones, sino que desea ofrecer resultados y sugerencias para instaurar cambios en una institución, en una empresa, en una escuela o en un grupo, evidentemente, al comparar varias investigaciones, se irá logrando un nivel más alto de generalizaciones (Martínez, 2006).</w:t>
      </w:r>
    </w:p>
    <w:p>
      <w:pPr>
        <w:pStyle w:val="Heading2"/>
        <w:numPr>
          <w:ilvl w:val="2"/>
          <w:numId w:val="9"/>
        </w:numPr>
        <w:tabs>
          <w:tab w:pos="969" w:val="left" w:leader="none"/>
        </w:tabs>
        <w:spacing w:line="240" w:lineRule="auto" w:before="205" w:after="0"/>
        <w:ind w:left="968" w:right="0" w:hanging="866"/>
        <w:jc w:val="both"/>
      </w:pPr>
      <w:r>
        <w:rPr/>
        <w:t>Desventajas de la investigación</w:t>
      </w:r>
      <w:r>
        <w:rPr>
          <w:spacing w:val="-11"/>
        </w:rPr>
        <w:t> </w:t>
      </w:r>
      <w:r>
        <w:rPr/>
        <w:t>cualitativa</w:t>
      </w:r>
    </w:p>
    <w:p>
      <w:pPr>
        <w:pStyle w:val="BodyText"/>
        <w:spacing w:before="3"/>
        <w:rPr>
          <w:b/>
          <w:sz w:val="30"/>
        </w:rPr>
      </w:pPr>
    </w:p>
    <w:p>
      <w:pPr>
        <w:pStyle w:val="BodyText"/>
        <w:spacing w:line="360" w:lineRule="auto"/>
        <w:ind w:left="102" w:right="116"/>
        <w:jc w:val="both"/>
      </w:pPr>
      <w:r>
        <w:rPr/>
        <w:t>Algunos autores unen su crítica teórica para hacer énfasis en las desventajas que generalmente se le han atribuido a la investigación cualitativa, por ejemplo la falta aparente de validez y confiabilidad que tiene, entendida de acuerdo a los atributos de la investigación cuantitativa, sin embargo, a juicio de diversos autores como Huberman y Miles (2000), extrapolar estos criterios a la investigación cualitativa  es contraproducente pues se violan sus propósitos, sus objetivos y su naturaleza (Salgado,</w:t>
      </w:r>
      <w:r>
        <w:rPr>
          <w:spacing w:val="-7"/>
        </w:rPr>
        <w:t> </w:t>
      </w:r>
      <w:r>
        <w:rPr/>
        <w:t>2007).</w:t>
      </w:r>
    </w:p>
    <w:p>
      <w:pPr>
        <w:spacing w:after="0" w:line="360" w:lineRule="auto"/>
        <w:jc w:val="both"/>
        <w:sectPr>
          <w:pgSz w:w="12240" w:h="15840"/>
          <w:pgMar w:header="0" w:footer="1003" w:top="1360" w:bottom="1200" w:left="1600" w:right="1580"/>
        </w:sectPr>
      </w:pPr>
    </w:p>
    <w:p>
      <w:pPr>
        <w:pStyle w:val="BodyText"/>
        <w:spacing w:before="7"/>
        <w:rPr>
          <w:sz w:val="22"/>
        </w:rPr>
      </w:pPr>
    </w:p>
    <w:p>
      <w:pPr>
        <w:pStyle w:val="BodyText"/>
        <w:spacing w:line="360" w:lineRule="auto" w:before="69"/>
        <w:ind w:left="102" w:right="120"/>
        <w:jc w:val="both"/>
      </w:pPr>
      <w:r>
        <w:rPr/>
        <w:t>De acuerdo a Castillo y Vásquez (2003) una de las preguntas que el investigador se hace durante toda la investigación es cómo garantizar el trabajo científico. Otra pregunta que se hace es cómo otros investigadores juzgarán la investigación realizada. Estos cuestionamientos han generado debates entre los investigadores de los abordajes cualitativo y cuantitativo. Algunos investigadores cualitativos afirman que los estándares con que se juzgan los estudios cuantitativos son inapropiados para evaluar el rigor metodológico de los estudios cualitativos, por lo que proponen otros criterios coherentes con los propósitos, fines y bases filosóficas del paradigma que representan. En este sentido, los criterios que comúnmente se utilizan para evaluar la calidad científica de un estudio cualitativo  y por ende su rigor metodológico son la dependencia, credibilidad, auditabilidad y transferibilidad (Guba y Lincoln,</w:t>
      </w:r>
      <w:r>
        <w:rPr>
          <w:spacing w:val="-11"/>
        </w:rPr>
        <w:t> </w:t>
      </w:r>
      <w:r>
        <w:rPr/>
        <w:t>1989).</w:t>
      </w:r>
    </w:p>
    <w:p>
      <w:pPr>
        <w:pStyle w:val="BodyText"/>
      </w:pPr>
    </w:p>
    <w:p>
      <w:pPr>
        <w:pStyle w:val="BodyText"/>
        <w:spacing w:line="360" w:lineRule="auto" w:before="142"/>
        <w:ind w:left="102" w:right="118"/>
        <w:jc w:val="both"/>
      </w:pPr>
      <w:r>
        <w:rPr/>
        <w:t>En este contexto, Castillo y Vásquez (2003) señalan que la credibilidad se logra a través de observaciones y conversaciones prolongadas entre los participantes en el estudio y el investigador, así mismo el investigador recolecta información que produce hallazgos que son reconocidos por los informantes como una verdadera aproximación sobre lo que ellos piensan y sienten. Así entonces, la credibilidad se refiere a cómo los resultados de una investigación son verdaderos para las personas que fueron estudiadas y para otras personas que han experimentado o estado en contacto con el fenómeno investigado. Algunas preguntas que le sirven a los evaluadores de trabajos de investigación cualitativa para determinar la credibilidad son:</w:t>
      </w:r>
    </w:p>
    <w:p>
      <w:pPr>
        <w:pStyle w:val="BodyText"/>
        <w:spacing w:line="360" w:lineRule="auto" w:before="2"/>
        <w:ind w:left="102" w:right="119" w:firstLine="67"/>
        <w:jc w:val="both"/>
      </w:pPr>
      <w:r>
        <w:rPr/>
        <w:t>¿Qué se hizo para contrarrestar la perspectiva del investigador? es decir, si se consideraron los efectos de la presencia del investigador sobre la naturaleza de los</w:t>
      </w:r>
      <w:r>
        <w:rPr>
          <w:spacing w:val="-3"/>
        </w:rPr>
        <w:t> </w:t>
      </w:r>
      <w:r>
        <w:rPr/>
        <w:t>datos.</w:t>
      </w:r>
    </w:p>
    <w:p>
      <w:pPr>
        <w:pStyle w:val="BodyText"/>
        <w:spacing w:line="360" w:lineRule="auto" w:before="5"/>
        <w:ind w:left="102" w:right="123" w:firstLine="67"/>
        <w:jc w:val="both"/>
      </w:pPr>
      <w:r>
        <w:rPr/>
        <w:t>¿Mantuvieron los investigadores las notas de campo que surgieron de sus acciones y de sus interacciones durante la investigación?</w:t>
      </w:r>
    </w:p>
    <w:p>
      <w:pPr>
        <w:pStyle w:val="BodyText"/>
        <w:spacing w:line="360" w:lineRule="auto" w:before="2"/>
        <w:ind w:left="102" w:right="123"/>
        <w:jc w:val="both"/>
      </w:pPr>
      <w:r>
        <w:rPr/>
        <w:t>¿Los investigadores discutieron su propio comportamiento y experiencias en relación con la experiencia de los informantes?</w:t>
      </w:r>
    </w:p>
    <w:p>
      <w:pPr>
        <w:spacing w:after="0" w:line="360" w:lineRule="auto"/>
        <w:jc w:val="both"/>
        <w:sectPr>
          <w:pgSz w:w="12240" w:h="15840"/>
          <w:pgMar w:header="0" w:footer="1003" w:top="1500" w:bottom="1200" w:left="1600" w:right="1580"/>
        </w:sectPr>
      </w:pPr>
    </w:p>
    <w:p>
      <w:pPr>
        <w:pStyle w:val="BodyText"/>
        <w:spacing w:line="362" w:lineRule="auto" w:before="54"/>
        <w:ind w:left="102" w:right="122"/>
        <w:jc w:val="both"/>
      </w:pPr>
      <w:r>
        <w:rPr/>
        <w:t>¿Se usaron transcripciones textuales de las entrevistas para respaldar los significados e interpretación presentados en los resultados del estudio?</w:t>
      </w:r>
    </w:p>
    <w:p>
      <w:pPr>
        <w:pStyle w:val="BodyText"/>
      </w:pPr>
    </w:p>
    <w:p>
      <w:pPr>
        <w:pStyle w:val="BodyText"/>
        <w:spacing w:line="360" w:lineRule="auto" w:before="139"/>
        <w:ind w:left="102" w:right="118"/>
        <w:jc w:val="both"/>
      </w:pPr>
      <w:r>
        <w:rPr/>
        <w:t>La dependencia o consistencia lógica es el grado en que diferentes investigadores recolectan datos similares en el campo y efectúen los mismos análisis, generen resultados equivalentes. De acuerdo a Franklin &amp; Ballau (2005), existen dos clases de dependencia, la interna (grado en el cual diversos investigadores,  al menos dos, generan temas similares con los mismos datos) y la externa (grado en que diversos investigadores generan temas similares en el mismo ambiente y período, pero cada quien recaba sus propios datos) (Castillo y Vásquez, 2003).</w:t>
      </w:r>
    </w:p>
    <w:p>
      <w:pPr>
        <w:pStyle w:val="BodyText"/>
      </w:pPr>
    </w:p>
    <w:p>
      <w:pPr>
        <w:pStyle w:val="BodyText"/>
        <w:spacing w:line="360" w:lineRule="auto" w:before="142"/>
        <w:ind w:left="102" w:right="119"/>
        <w:jc w:val="both"/>
      </w:pPr>
      <w:r>
        <w:rPr/>
        <w:t>La transferibilidad o aplicabilidad se refiere a la posibilidad de extender los resultados del estudio a otras poblaciones. En la investigación cualitativa la audiencia o el lector del informe son los que determinan si pueden transferir los hallazgos a un contexto diferente del estudio. Para ello se necesita que se describa densamente el lugar y las características de las personas donde el fenómeno fue estudiado. Por tanto, el grado de transferibilidad es una función directa de la similitud entre los contextos (Castillo y Vásquez,</w:t>
      </w:r>
      <w:r>
        <w:rPr>
          <w:spacing w:val="-25"/>
        </w:rPr>
        <w:t> </w:t>
      </w:r>
      <w:r>
        <w:rPr/>
        <w:t>2003).</w:t>
      </w:r>
    </w:p>
    <w:p>
      <w:pPr>
        <w:pStyle w:val="BodyText"/>
      </w:pPr>
    </w:p>
    <w:p>
      <w:pPr>
        <w:pStyle w:val="BodyText"/>
        <w:spacing w:line="360" w:lineRule="auto" w:before="142"/>
        <w:ind w:left="102" w:right="117"/>
        <w:jc w:val="both"/>
      </w:pPr>
      <w:r>
        <w:rPr/>
        <w:t>La auditabilidad se trata de la habilidad de otro investigador de seguir la pista o la ruta de lo que el investigador original ha hecho. Para ello es necesario un registro y documentación completa de las decisiones e ideas que el investigador haya tenido en relación con el</w:t>
      </w:r>
      <w:r>
        <w:rPr>
          <w:spacing w:val="-8"/>
        </w:rPr>
        <w:t> </w:t>
      </w:r>
      <w:r>
        <w:rPr/>
        <w:t>estudio.</w:t>
      </w:r>
    </w:p>
    <w:p>
      <w:pPr>
        <w:pStyle w:val="BodyText"/>
      </w:pPr>
    </w:p>
    <w:p>
      <w:pPr>
        <w:pStyle w:val="BodyText"/>
        <w:spacing w:before="3"/>
        <w:rPr>
          <w:sz w:val="30"/>
        </w:rPr>
      </w:pPr>
    </w:p>
    <w:p>
      <w:pPr>
        <w:pStyle w:val="BodyText"/>
        <w:spacing w:line="360" w:lineRule="auto"/>
        <w:ind w:left="102" w:right="118"/>
        <w:jc w:val="both"/>
      </w:pPr>
      <w:r>
        <w:rPr/>
        <w:t>Por otro lado, Kincheloe y McLaren (1994) postulan que no existe un método de indagación que garantice la validez de los hallazgos, la pura “corrección metodológica” no produce datos válidos. Más allá de las distintas orientaciones en el campo científico y como parte de su propio desarrollo, se ha dado un cambio en la forma de ver las realidades sociales: de modo simple se ha pasado a verlas de manera compleja y diversa; se genera, así, una sana incertidumbre epistemológica (derivada  de la  complejidad, diversidad,  indeterminación,  apertura y  causalidad</w:t>
      </w:r>
    </w:p>
    <w:p>
      <w:pPr>
        <w:spacing w:after="0" w:line="360" w:lineRule="auto"/>
        <w:jc w:val="both"/>
        <w:sectPr>
          <w:pgSz w:w="12240" w:h="15840"/>
          <w:pgMar w:header="0" w:footer="1003" w:top="1360" w:bottom="1200" w:left="1600" w:right="1580"/>
        </w:sectPr>
      </w:pPr>
    </w:p>
    <w:p>
      <w:pPr>
        <w:pStyle w:val="BodyText"/>
        <w:spacing w:line="362" w:lineRule="auto" w:before="54"/>
        <w:ind w:left="102" w:right="116"/>
        <w:jc w:val="both"/>
      </w:pPr>
      <w:r>
        <w:rPr/>
        <w:t>mutua de lo real), en contra de los acuerdos normativos monolíticos sobre la práctica científica.</w:t>
      </w:r>
    </w:p>
    <w:p>
      <w:pPr>
        <w:pStyle w:val="BodyText"/>
        <w:spacing w:before="10"/>
        <w:rPr>
          <w:sz w:val="20"/>
        </w:rPr>
      </w:pPr>
    </w:p>
    <w:p>
      <w:pPr>
        <w:pStyle w:val="Heading2"/>
        <w:numPr>
          <w:ilvl w:val="2"/>
          <w:numId w:val="9"/>
        </w:numPr>
        <w:tabs>
          <w:tab w:pos="969" w:val="left" w:leader="none"/>
        </w:tabs>
        <w:spacing w:line="240" w:lineRule="auto" w:before="0" w:after="0"/>
        <w:ind w:left="968" w:right="0" w:hanging="866"/>
        <w:jc w:val="both"/>
      </w:pPr>
      <w:r>
        <w:rPr/>
        <w:t>Técnicas de investigación</w:t>
      </w:r>
      <w:r>
        <w:rPr>
          <w:spacing w:val="-11"/>
        </w:rPr>
        <w:t> </w:t>
      </w:r>
      <w:r>
        <w:rPr/>
        <w:t>cualitativa</w:t>
      </w:r>
    </w:p>
    <w:p>
      <w:pPr>
        <w:pStyle w:val="BodyText"/>
        <w:spacing w:before="10"/>
        <w:rPr>
          <w:b/>
          <w:sz w:val="33"/>
        </w:rPr>
      </w:pPr>
    </w:p>
    <w:p>
      <w:pPr>
        <w:pStyle w:val="Heading2"/>
        <w:numPr>
          <w:ilvl w:val="3"/>
          <w:numId w:val="9"/>
        </w:numPr>
        <w:tabs>
          <w:tab w:pos="1185" w:val="left" w:leader="none"/>
        </w:tabs>
        <w:spacing w:line="240" w:lineRule="auto" w:before="0" w:after="0"/>
        <w:ind w:left="1184" w:right="0" w:hanging="1082"/>
        <w:jc w:val="both"/>
      </w:pPr>
      <w:bookmarkStart w:name="_TOC_250009" w:id="28"/>
      <w:r>
        <w:rPr/>
        <w:t>Entrevista a</w:t>
      </w:r>
      <w:r>
        <w:rPr>
          <w:spacing w:val="-3"/>
        </w:rPr>
        <w:t> </w:t>
      </w:r>
      <w:bookmarkEnd w:id="28"/>
      <w:r>
        <w:rPr/>
        <w:t>profundidad</w:t>
      </w:r>
    </w:p>
    <w:p>
      <w:pPr>
        <w:pStyle w:val="BodyText"/>
        <w:spacing w:before="3"/>
        <w:rPr>
          <w:b/>
          <w:sz w:val="30"/>
        </w:rPr>
      </w:pPr>
    </w:p>
    <w:p>
      <w:pPr>
        <w:pStyle w:val="BodyText"/>
        <w:spacing w:line="360" w:lineRule="auto"/>
        <w:ind w:left="102" w:right="119"/>
        <w:jc w:val="both"/>
      </w:pPr>
      <w:r>
        <w:rPr/>
        <w:t>La entrevista es un proceso de comunicación que se realiza normalmente entre dos personas; en este proceso el entrevistado obtiene información del entrevistado de forma directa. Si se generalizara una entrevista sería una conversación entre dos personas por el mero hecho de comunicarse, en cuya acción una obtendría información de la otra y viceversa. En tal caso los roles de entrevistador / entrevistado irían cambiando a lo largo de la conversación.</w:t>
      </w:r>
    </w:p>
    <w:p>
      <w:pPr>
        <w:pStyle w:val="BodyText"/>
        <w:spacing w:line="360" w:lineRule="auto" w:before="204"/>
        <w:ind w:left="102" w:right="120"/>
        <w:jc w:val="both"/>
      </w:pPr>
      <w:r>
        <w:rPr/>
        <w:t>La entrevista no se considera una conversación normal, si no una conversación formal, con una intencionalidad, que lleva implícitos unos objetivos englobados en una Investigación.</w:t>
      </w:r>
    </w:p>
    <w:p>
      <w:pPr>
        <w:pStyle w:val="BodyText"/>
        <w:spacing w:line="360" w:lineRule="auto" w:before="202"/>
        <w:ind w:left="102" w:right="119"/>
        <w:jc w:val="both"/>
      </w:pPr>
      <w:r>
        <w:rPr/>
        <w:t>En la entrevista se solicita que se reflexione sobre el significado de sus experiencias actuales. Esto requiere buscar detalles del pasado para clarificar acontecimientos que puedan ubicarlo en su ahora y describir detalles concretos en el presente (Selltiz y Cook, 1980).</w:t>
      </w:r>
    </w:p>
    <w:p>
      <w:pPr>
        <w:pStyle w:val="BodyText"/>
      </w:pPr>
    </w:p>
    <w:p>
      <w:pPr>
        <w:pStyle w:val="BodyText"/>
        <w:spacing w:before="8"/>
        <w:rPr>
          <w:sz w:val="29"/>
        </w:rPr>
      </w:pPr>
    </w:p>
    <w:p>
      <w:pPr>
        <w:pStyle w:val="Heading2"/>
        <w:numPr>
          <w:ilvl w:val="2"/>
          <w:numId w:val="9"/>
        </w:numPr>
        <w:tabs>
          <w:tab w:pos="969" w:val="left" w:leader="none"/>
        </w:tabs>
        <w:spacing w:line="240" w:lineRule="auto" w:before="0" w:after="0"/>
        <w:ind w:left="968" w:right="0" w:hanging="866"/>
        <w:jc w:val="both"/>
      </w:pPr>
      <w:bookmarkStart w:name="_TOC_250008" w:id="29"/>
      <w:r>
        <w:rPr/>
        <w:t>Tipos de</w:t>
      </w:r>
      <w:r>
        <w:rPr>
          <w:spacing w:val="-7"/>
        </w:rPr>
        <w:t> </w:t>
      </w:r>
      <w:bookmarkEnd w:id="29"/>
      <w:r>
        <w:rPr/>
        <w:t>entrevista</w:t>
      </w:r>
    </w:p>
    <w:p>
      <w:pPr>
        <w:pStyle w:val="BodyText"/>
        <w:spacing w:before="1"/>
        <w:rPr>
          <w:b/>
          <w:sz w:val="30"/>
        </w:rPr>
      </w:pPr>
    </w:p>
    <w:p>
      <w:pPr>
        <w:pStyle w:val="ListParagraph"/>
        <w:numPr>
          <w:ilvl w:val="0"/>
          <w:numId w:val="12"/>
        </w:numPr>
        <w:tabs>
          <w:tab w:pos="821" w:val="left" w:leader="none"/>
          <w:tab w:pos="822" w:val="left" w:leader="none"/>
        </w:tabs>
        <w:spacing w:line="240" w:lineRule="auto" w:before="1" w:after="0"/>
        <w:ind w:left="822" w:right="0" w:hanging="360"/>
        <w:jc w:val="left"/>
        <w:rPr>
          <w:i/>
          <w:sz w:val="24"/>
        </w:rPr>
      </w:pPr>
      <w:r>
        <w:rPr>
          <w:i/>
          <w:sz w:val="24"/>
        </w:rPr>
        <w:t>Semi-estructurada:</w:t>
      </w:r>
    </w:p>
    <w:p>
      <w:pPr>
        <w:pStyle w:val="BodyText"/>
        <w:spacing w:line="360" w:lineRule="auto" w:before="139"/>
        <w:ind w:left="821" w:right="119"/>
        <w:jc w:val="both"/>
      </w:pPr>
      <w:r>
        <w:rPr/>
        <w:t>Se determina de antemano cual es la información relevante que se quiere conseguir. Se hacen preguntas abiertas dando oportunidad a recibir más matices de la respuesta, permite ir entrelazando temas, pero requiere de una gran atención por parte del investigador para poder encauzar y estirar los temas.</w:t>
      </w:r>
    </w:p>
    <w:p>
      <w:pPr>
        <w:spacing w:after="0" w:line="360" w:lineRule="auto"/>
        <w:jc w:val="both"/>
        <w:sectPr>
          <w:pgSz w:w="12240" w:h="15840"/>
          <w:pgMar w:header="0" w:footer="1003" w:top="1360" w:bottom="1200" w:left="1600" w:right="1580"/>
        </w:sectPr>
      </w:pPr>
    </w:p>
    <w:p>
      <w:pPr>
        <w:pStyle w:val="ListParagraph"/>
        <w:numPr>
          <w:ilvl w:val="0"/>
          <w:numId w:val="12"/>
        </w:numPr>
        <w:tabs>
          <w:tab w:pos="821" w:val="left" w:leader="none"/>
          <w:tab w:pos="822" w:val="left" w:leader="none"/>
        </w:tabs>
        <w:spacing w:line="240" w:lineRule="auto" w:before="32" w:after="0"/>
        <w:ind w:left="822" w:right="0" w:hanging="360"/>
        <w:jc w:val="left"/>
        <w:rPr>
          <w:i/>
          <w:sz w:val="24"/>
        </w:rPr>
      </w:pPr>
      <w:r>
        <w:rPr>
          <w:i/>
          <w:sz w:val="24"/>
        </w:rPr>
        <w:t>No</w:t>
      </w:r>
      <w:r>
        <w:rPr>
          <w:i/>
          <w:spacing w:val="-6"/>
          <w:sz w:val="24"/>
        </w:rPr>
        <w:t> </w:t>
      </w:r>
      <w:r>
        <w:rPr>
          <w:i/>
          <w:sz w:val="24"/>
        </w:rPr>
        <w:t>estructuradas:</w:t>
      </w:r>
    </w:p>
    <w:p>
      <w:pPr>
        <w:pStyle w:val="BodyText"/>
        <w:spacing w:line="360" w:lineRule="auto" w:before="140"/>
        <w:ind w:left="821" w:right="122"/>
        <w:jc w:val="both"/>
      </w:pPr>
      <w:r>
        <w:rPr/>
        <w:t>Sin guión previo. El investigador tiene como referentes la información sobre el tema. La entrevista se va construyendo a medida que avanza la entrevista con las respuestas que se dan. Requiere gran preparación por parte de investigador, documentándose previamente sobre todo lo que concierne a los temas que se</w:t>
      </w:r>
      <w:r>
        <w:rPr>
          <w:spacing w:val="-11"/>
        </w:rPr>
        <w:t> </w:t>
      </w:r>
      <w:r>
        <w:rPr/>
        <w:t>tratan.</w:t>
      </w:r>
    </w:p>
    <w:p>
      <w:pPr>
        <w:pStyle w:val="ListParagraph"/>
        <w:numPr>
          <w:ilvl w:val="0"/>
          <w:numId w:val="12"/>
        </w:numPr>
        <w:tabs>
          <w:tab w:pos="821" w:val="left" w:leader="none"/>
          <w:tab w:pos="822" w:val="left" w:leader="none"/>
        </w:tabs>
        <w:spacing w:line="240" w:lineRule="auto" w:before="104" w:after="0"/>
        <w:ind w:left="822" w:right="0" w:hanging="360"/>
        <w:jc w:val="left"/>
        <w:rPr>
          <w:i/>
          <w:sz w:val="24"/>
        </w:rPr>
      </w:pPr>
      <w:r>
        <w:rPr>
          <w:i/>
          <w:sz w:val="24"/>
        </w:rPr>
        <w:t>Estructurada:</w:t>
      </w:r>
    </w:p>
    <w:p>
      <w:pPr>
        <w:pStyle w:val="BodyText"/>
        <w:spacing w:line="360" w:lineRule="auto" w:before="137"/>
        <w:ind w:left="821" w:right="125"/>
        <w:jc w:val="both"/>
      </w:pPr>
      <w:r>
        <w:rPr/>
        <w:t>El investigador planifica previamente las preguntas mediante un guion preestablecido, secuenciado y dirigido, por lo que dejan poca o ninguna posibilidad al entrevistado de replica o de salirse del guión. Son preguntas cerradas (si, no o una respuesta predeterminada).</w:t>
      </w:r>
    </w:p>
    <w:p>
      <w:pPr>
        <w:pStyle w:val="BodyText"/>
      </w:pPr>
    </w:p>
    <w:p>
      <w:pPr>
        <w:pStyle w:val="Heading2"/>
        <w:numPr>
          <w:ilvl w:val="2"/>
          <w:numId w:val="9"/>
        </w:numPr>
        <w:tabs>
          <w:tab w:pos="969" w:val="left" w:leader="none"/>
        </w:tabs>
        <w:spacing w:line="240" w:lineRule="auto" w:before="140" w:after="0"/>
        <w:ind w:left="968" w:right="0" w:hanging="866"/>
        <w:jc w:val="both"/>
      </w:pPr>
      <w:bookmarkStart w:name="_TOC_250007" w:id="30"/>
      <w:r>
        <w:rPr/>
        <w:t>La</w:t>
      </w:r>
      <w:r>
        <w:rPr>
          <w:spacing w:val="-3"/>
        </w:rPr>
        <w:t> </w:t>
      </w:r>
      <w:bookmarkEnd w:id="30"/>
      <w:r>
        <w:rPr/>
        <w:t>observación</w:t>
      </w:r>
    </w:p>
    <w:p>
      <w:pPr>
        <w:pStyle w:val="BodyText"/>
        <w:spacing w:before="1"/>
        <w:rPr>
          <w:b/>
          <w:sz w:val="26"/>
        </w:rPr>
      </w:pPr>
    </w:p>
    <w:p>
      <w:pPr>
        <w:pStyle w:val="BodyText"/>
        <w:spacing w:line="360" w:lineRule="auto"/>
        <w:ind w:left="102" w:right="119"/>
        <w:jc w:val="both"/>
      </w:pPr>
      <w:r>
        <w:rPr/>
        <w:t>Es un procedimiento por el cual se recoge información para la investigación; es el acto de mirar algo sin modificarlo con la intención de examinarlo, interpretarlo y obtener conclusiones sobre ello, el objetivo es definir de antemano varias modalidades de conducta. Como menciona Anguera (2001), la observación se clasifica en:</w:t>
      </w:r>
    </w:p>
    <w:p>
      <w:pPr>
        <w:pStyle w:val="ListParagraph"/>
        <w:numPr>
          <w:ilvl w:val="0"/>
          <w:numId w:val="13"/>
        </w:numPr>
        <w:tabs>
          <w:tab w:pos="822" w:val="left" w:leader="none"/>
        </w:tabs>
        <w:spacing w:line="357" w:lineRule="auto" w:before="205" w:after="0"/>
        <w:ind w:left="822" w:right="119" w:hanging="360"/>
        <w:jc w:val="both"/>
        <w:rPr>
          <w:sz w:val="24"/>
        </w:rPr>
      </w:pPr>
      <w:r>
        <w:rPr>
          <w:b/>
          <w:sz w:val="24"/>
        </w:rPr>
        <w:t>La observación indirecta</w:t>
      </w:r>
      <w:r>
        <w:rPr>
          <w:sz w:val="24"/>
        </w:rPr>
        <w:t>: Es la inspección de un fenómeno sin entrar en contacto con él, sino tratándolo a través de métodos específicos que permitan hacer las observaciones pertinentes de sus características y comportamientos.</w:t>
      </w:r>
    </w:p>
    <w:p>
      <w:pPr>
        <w:pStyle w:val="ListParagraph"/>
        <w:numPr>
          <w:ilvl w:val="0"/>
          <w:numId w:val="13"/>
        </w:numPr>
        <w:tabs>
          <w:tab w:pos="890" w:val="left" w:leader="none"/>
        </w:tabs>
        <w:spacing w:line="355" w:lineRule="auto" w:before="6" w:after="0"/>
        <w:ind w:left="822" w:right="120" w:hanging="360"/>
        <w:jc w:val="both"/>
        <w:rPr>
          <w:sz w:val="24"/>
        </w:rPr>
      </w:pPr>
      <w:r>
        <w:rPr>
          <w:b/>
          <w:sz w:val="24"/>
        </w:rPr>
        <w:t>La observación oculta</w:t>
      </w:r>
      <w:r>
        <w:rPr>
          <w:sz w:val="24"/>
        </w:rPr>
        <w:t>: Se realiza sin que sea notada la presencia del observador, con el fin de que su presencia no influya ni haga variar la conducta y características propias del objeto en</w:t>
      </w:r>
      <w:r>
        <w:rPr>
          <w:spacing w:val="-15"/>
          <w:sz w:val="24"/>
        </w:rPr>
        <w:t> </w:t>
      </w:r>
      <w:r>
        <w:rPr>
          <w:sz w:val="24"/>
        </w:rPr>
        <w:t>estudio.</w:t>
      </w:r>
    </w:p>
    <w:p>
      <w:pPr>
        <w:pStyle w:val="ListParagraph"/>
        <w:numPr>
          <w:ilvl w:val="0"/>
          <w:numId w:val="13"/>
        </w:numPr>
        <w:tabs>
          <w:tab w:pos="890" w:val="left" w:leader="none"/>
        </w:tabs>
        <w:spacing w:line="355" w:lineRule="auto" w:before="11" w:after="0"/>
        <w:ind w:left="822" w:right="119" w:hanging="360"/>
        <w:jc w:val="both"/>
        <w:rPr>
          <w:sz w:val="24"/>
        </w:rPr>
      </w:pPr>
      <w:r>
        <w:rPr>
          <w:b/>
          <w:sz w:val="24"/>
        </w:rPr>
        <w:t>La observación participativa</w:t>
      </w:r>
      <w:r>
        <w:rPr>
          <w:sz w:val="24"/>
        </w:rPr>
        <w:t>: Es cuando el observador forma parte del fenómeno estudiado y le permite conocer más de cerca las características, conducta y desenvolvimiento del fenómeno en su medio</w:t>
      </w:r>
      <w:r>
        <w:rPr>
          <w:spacing w:val="-31"/>
          <w:sz w:val="24"/>
        </w:rPr>
        <w:t> </w:t>
      </w:r>
      <w:r>
        <w:rPr>
          <w:sz w:val="24"/>
        </w:rPr>
        <w:t>ambiente.</w:t>
      </w:r>
    </w:p>
    <w:p>
      <w:pPr>
        <w:spacing w:after="0" w:line="355" w:lineRule="auto"/>
        <w:jc w:val="both"/>
        <w:rPr>
          <w:sz w:val="24"/>
        </w:rPr>
        <w:sectPr>
          <w:pgSz w:w="12240" w:h="15840"/>
          <w:pgMar w:header="0" w:footer="1003" w:top="1380" w:bottom="1200" w:left="1600" w:right="1580"/>
        </w:sectPr>
      </w:pPr>
    </w:p>
    <w:p>
      <w:pPr>
        <w:pStyle w:val="ListParagraph"/>
        <w:numPr>
          <w:ilvl w:val="0"/>
          <w:numId w:val="13"/>
        </w:numPr>
        <w:tabs>
          <w:tab w:pos="822" w:val="left" w:leader="none"/>
        </w:tabs>
        <w:spacing w:line="355" w:lineRule="auto" w:before="34" w:after="0"/>
        <w:ind w:left="822" w:right="123" w:hanging="360"/>
        <w:jc w:val="both"/>
        <w:rPr>
          <w:sz w:val="24"/>
        </w:rPr>
      </w:pPr>
      <w:r>
        <w:rPr>
          <w:b/>
          <w:sz w:val="24"/>
        </w:rPr>
        <w:t>La observación no participativa</w:t>
      </w:r>
      <w:r>
        <w:rPr>
          <w:sz w:val="24"/>
        </w:rPr>
        <w:t>: Es aquella en que el observador evita participar en el fenómeno a fin de no impactar su conducta, características y desenvolvimiento.</w:t>
      </w:r>
    </w:p>
    <w:p>
      <w:pPr>
        <w:pStyle w:val="ListParagraph"/>
        <w:numPr>
          <w:ilvl w:val="0"/>
          <w:numId w:val="13"/>
        </w:numPr>
        <w:tabs>
          <w:tab w:pos="822" w:val="left" w:leader="none"/>
        </w:tabs>
        <w:spacing w:line="350" w:lineRule="auto" w:before="11" w:after="0"/>
        <w:ind w:left="822" w:right="125" w:hanging="360"/>
        <w:jc w:val="both"/>
        <w:rPr>
          <w:sz w:val="24"/>
        </w:rPr>
      </w:pPr>
      <w:r>
        <w:rPr>
          <w:b/>
          <w:sz w:val="24"/>
        </w:rPr>
        <w:t>La observación histórica</w:t>
      </w:r>
      <w:r>
        <w:rPr>
          <w:sz w:val="24"/>
        </w:rPr>
        <w:t>: Se basa en hechos pasados para analizarlos y proyectarlos al</w:t>
      </w:r>
      <w:r>
        <w:rPr>
          <w:spacing w:val="-7"/>
          <w:sz w:val="24"/>
        </w:rPr>
        <w:t> </w:t>
      </w:r>
      <w:r>
        <w:rPr>
          <w:sz w:val="24"/>
        </w:rPr>
        <w:t>futuro.</w:t>
      </w:r>
    </w:p>
    <w:p>
      <w:pPr>
        <w:pStyle w:val="ListParagraph"/>
        <w:numPr>
          <w:ilvl w:val="0"/>
          <w:numId w:val="13"/>
        </w:numPr>
        <w:tabs>
          <w:tab w:pos="822" w:val="left" w:leader="none"/>
        </w:tabs>
        <w:spacing w:line="352" w:lineRule="auto" w:before="14" w:after="0"/>
        <w:ind w:left="822" w:right="122" w:hanging="360"/>
        <w:jc w:val="both"/>
        <w:rPr>
          <w:sz w:val="24"/>
        </w:rPr>
      </w:pPr>
      <w:r>
        <w:rPr>
          <w:b/>
          <w:sz w:val="24"/>
        </w:rPr>
        <w:t>La observación dinámica</w:t>
      </w:r>
      <w:r>
        <w:rPr>
          <w:sz w:val="24"/>
        </w:rPr>
        <w:t>: Se va adaptando a las propias necesidades del fenómeno en</w:t>
      </w:r>
      <w:r>
        <w:rPr>
          <w:spacing w:val="-8"/>
          <w:sz w:val="24"/>
        </w:rPr>
        <w:t> </w:t>
      </w:r>
      <w:r>
        <w:rPr>
          <w:sz w:val="24"/>
        </w:rPr>
        <w:t>estudio.</w:t>
      </w:r>
    </w:p>
    <w:p>
      <w:pPr>
        <w:pStyle w:val="ListParagraph"/>
        <w:numPr>
          <w:ilvl w:val="0"/>
          <w:numId w:val="13"/>
        </w:numPr>
        <w:tabs>
          <w:tab w:pos="822" w:val="left" w:leader="none"/>
        </w:tabs>
        <w:spacing w:line="350" w:lineRule="auto" w:before="11" w:after="0"/>
        <w:ind w:left="822" w:right="122" w:hanging="360"/>
        <w:jc w:val="both"/>
        <w:rPr>
          <w:sz w:val="24"/>
        </w:rPr>
      </w:pPr>
      <w:r>
        <w:rPr>
          <w:b/>
          <w:sz w:val="24"/>
        </w:rPr>
        <w:t>La observación controlada</w:t>
      </w:r>
      <w:r>
        <w:rPr>
          <w:sz w:val="24"/>
        </w:rPr>
        <w:t>: Donde se manipulan las variables para inspeccionar los cambios de conducta en el fenómeno</w:t>
      </w:r>
      <w:r>
        <w:rPr>
          <w:spacing w:val="-21"/>
          <w:sz w:val="24"/>
        </w:rPr>
        <w:t> </w:t>
      </w:r>
      <w:r>
        <w:rPr>
          <w:sz w:val="24"/>
        </w:rPr>
        <w:t>observado.</w:t>
      </w:r>
    </w:p>
    <w:p>
      <w:pPr>
        <w:pStyle w:val="ListParagraph"/>
        <w:numPr>
          <w:ilvl w:val="0"/>
          <w:numId w:val="13"/>
        </w:numPr>
        <w:tabs>
          <w:tab w:pos="822" w:val="left" w:leader="none"/>
        </w:tabs>
        <w:spacing w:line="350" w:lineRule="auto" w:before="17" w:after="0"/>
        <w:ind w:left="822" w:right="122" w:hanging="360"/>
        <w:jc w:val="both"/>
        <w:rPr>
          <w:sz w:val="24"/>
        </w:rPr>
      </w:pPr>
      <w:r>
        <w:rPr>
          <w:b/>
          <w:sz w:val="24"/>
        </w:rPr>
        <w:t>La observación natural</w:t>
      </w:r>
      <w:r>
        <w:rPr>
          <w:sz w:val="24"/>
        </w:rPr>
        <w:t>: Se realiza dentro del medio del fenómeno sin que se altere ninguna parte o componente de</w:t>
      </w:r>
      <w:r>
        <w:rPr>
          <w:spacing w:val="-16"/>
          <w:sz w:val="24"/>
        </w:rPr>
        <w:t> </w:t>
      </w:r>
      <w:r>
        <w:rPr>
          <w:sz w:val="24"/>
        </w:rPr>
        <w:t>éste.</w:t>
      </w:r>
    </w:p>
    <w:p>
      <w:pPr>
        <w:pStyle w:val="BodyText"/>
      </w:pPr>
    </w:p>
    <w:p>
      <w:pPr>
        <w:pStyle w:val="Heading2"/>
        <w:numPr>
          <w:ilvl w:val="2"/>
          <w:numId w:val="14"/>
        </w:numPr>
        <w:tabs>
          <w:tab w:pos="897" w:val="left" w:leader="none"/>
        </w:tabs>
        <w:spacing w:line="240" w:lineRule="auto" w:before="184" w:after="0"/>
        <w:ind w:left="896" w:right="0" w:hanging="794"/>
        <w:jc w:val="both"/>
      </w:pPr>
      <w:bookmarkStart w:name="_TOC_250006" w:id="31"/>
      <w:r>
        <w:rPr/>
        <w:t>El</w:t>
      </w:r>
      <w:r>
        <w:rPr>
          <w:spacing w:val="-5"/>
        </w:rPr>
        <w:t> </w:t>
      </w:r>
      <w:bookmarkEnd w:id="31"/>
      <w:r>
        <w:rPr/>
        <w:t>muestreo</w:t>
      </w:r>
    </w:p>
    <w:p>
      <w:pPr>
        <w:pStyle w:val="BodyText"/>
        <w:spacing w:before="2"/>
        <w:rPr>
          <w:b/>
          <w:sz w:val="37"/>
        </w:rPr>
      </w:pPr>
    </w:p>
    <w:p>
      <w:pPr>
        <w:pStyle w:val="BodyText"/>
        <w:spacing w:line="360" w:lineRule="auto"/>
        <w:ind w:left="102" w:right="117"/>
        <w:jc w:val="both"/>
      </w:pPr>
      <w:r>
        <w:rPr/>
        <w:t>En ocasiones en que no es posible o conveniente realizar un censo (analizar a todos los elementos de una población), se selecciona una muestra, entendiendo por tal una parte representativa de la población. El muestreo es por lo tanto una herramienta de la investigación científica, cuya función básica es determinar qué parte de una población debe examinarse, con la finalidad de hacer inferencias sobre dicha población (Taylor y Bogdan, 1987).</w:t>
      </w:r>
    </w:p>
    <w:p>
      <w:pPr>
        <w:pStyle w:val="BodyText"/>
        <w:spacing w:line="360" w:lineRule="auto" w:before="2"/>
        <w:ind w:left="102" w:right="118"/>
        <w:jc w:val="both"/>
      </w:pPr>
      <w:r>
        <w:rPr/>
        <w:t>Existen diferentes criterios de clasificación de los diferentes tipos de muestreo, aunque en general pueden dividirse en dos grupos: métodos de muestreo probabilísticos y métodos de muestreo no probabilísticos. A continuación se describe el segundo método, ya que para efectos de la presente investigación es el que</w:t>
      </w:r>
      <w:r>
        <w:rPr>
          <w:spacing w:val="-4"/>
        </w:rPr>
        <w:t> </w:t>
      </w:r>
      <w:r>
        <w:rPr/>
        <w:t>interesa.</w:t>
      </w:r>
    </w:p>
    <w:p>
      <w:pPr>
        <w:pStyle w:val="BodyText"/>
      </w:pPr>
    </w:p>
    <w:p>
      <w:pPr>
        <w:pStyle w:val="Heading2"/>
        <w:numPr>
          <w:ilvl w:val="3"/>
          <w:numId w:val="14"/>
        </w:numPr>
        <w:tabs>
          <w:tab w:pos="1113" w:val="left" w:leader="none"/>
        </w:tabs>
        <w:spacing w:line="240" w:lineRule="auto" w:before="140" w:after="0"/>
        <w:ind w:left="1112" w:right="0" w:hanging="1010"/>
        <w:jc w:val="both"/>
      </w:pPr>
      <w:r>
        <w:rPr/>
        <w:t>Muestreo no</w:t>
      </w:r>
      <w:r>
        <w:rPr>
          <w:spacing w:val="-4"/>
        </w:rPr>
        <w:t> </w:t>
      </w:r>
      <w:r>
        <w:rPr/>
        <w:t>probabilístico</w:t>
      </w:r>
    </w:p>
    <w:p>
      <w:pPr>
        <w:pStyle w:val="BodyText"/>
        <w:rPr>
          <w:b/>
          <w:sz w:val="26"/>
        </w:rPr>
      </w:pPr>
    </w:p>
    <w:p>
      <w:pPr>
        <w:pStyle w:val="BodyText"/>
        <w:spacing w:before="2"/>
        <w:rPr>
          <w:b/>
          <w:sz w:val="26"/>
        </w:rPr>
      </w:pPr>
    </w:p>
    <w:p>
      <w:pPr>
        <w:pStyle w:val="BodyText"/>
        <w:spacing w:line="360" w:lineRule="auto"/>
        <w:ind w:left="102" w:right="123"/>
        <w:jc w:val="both"/>
      </w:pPr>
      <w:r>
        <w:rPr/>
        <w:t>En ocasiones para estudios exploratorios, el muestreo probabilístico resulta excesivamente costoso y se acude a métodos no probabilísticos, aun siendo conscientes  de  que  no  sirven  para  realizar  generalizaciones       (estimaciones</w:t>
      </w:r>
    </w:p>
    <w:p>
      <w:pPr>
        <w:spacing w:after="0" w:line="360" w:lineRule="auto"/>
        <w:jc w:val="both"/>
        <w:sectPr>
          <w:pgSz w:w="12240" w:h="15840"/>
          <w:pgMar w:header="0" w:footer="1003" w:top="1380" w:bottom="1200" w:left="1600" w:right="1580"/>
        </w:sectPr>
      </w:pPr>
    </w:p>
    <w:p>
      <w:pPr>
        <w:pStyle w:val="BodyText"/>
        <w:spacing w:line="360" w:lineRule="auto" w:before="54"/>
        <w:ind w:left="102" w:right="117"/>
        <w:jc w:val="both"/>
      </w:pPr>
      <w:r>
        <w:rPr/>
        <w:t>inferenciales sobre la población), pues no se tiene certeza de que la muestra extraída sea representativa, ya que no todos los sujetos de la población tienen la misma probabilidad de ser elegidos. En general se seleccionan a los sujetos siguiendo determinados criterios procurando, en la medida de lo posible, que la muestra sea representativa (Navas, 2001).</w:t>
      </w:r>
    </w:p>
    <w:p>
      <w:pPr>
        <w:pStyle w:val="BodyText"/>
        <w:spacing w:line="360" w:lineRule="auto" w:before="5"/>
        <w:ind w:left="102" w:right="126"/>
        <w:jc w:val="both"/>
      </w:pPr>
      <w:r>
        <w:rPr/>
        <w:t>Entre los métodos de muestreo no probabilísticos más utilizados en investigación encontramos:</w:t>
      </w:r>
    </w:p>
    <w:p>
      <w:pPr>
        <w:pStyle w:val="ListParagraph"/>
        <w:numPr>
          <w:ilvl w:val="4"/>
          <w:numId w:val="14"/>
        </w:numPr>
        <w:tabs>
          <w:tab w:pos="822" w:val="left" w:leader="none"/>
        </w:tabs>
        <w:spacing w:line="357" w:lineRule="auto" w:before="5" w:after="0"/>
        <w:ind w:left="822" w:right="118" w:hanging="360"/>
        <w:jc w:val="both"/>
        <w:rPr>
          <w:b/>
          <w:sz w:val="24"/>
        </w:rPr>
      </w:pPr>
      <w:r>
        <w:rPr>
          <w:b/>
          <w:sz w:val="24"/>
        </w:rPr>
        <w:t>Muestreo intencional o de conveniencia: </w:t>
      </w:r>
      <w:r>
        <w:rPr>
          <w:sz w:val="24"/>
        </w:rPr>
        <w:t>Este tipo de muestreo se caracteriza por un esfuerzo deliberado de obtener muestras "representativas" mediante la inclusión en la muestra de grupos supuestamente</w:t>
      </w:r>
      <w:r>
        <w:rPr>
          <w:spacing w:val="-6"/>
          <w:sz w:val="24"/>
        </w:rPr>
        <w:t> </w:t>
      </w:r>
      <w:r>
        <w:rPr>
          <w:sz w:val="24"/>
        </w:rPr>
        <w:t>típicos</w:t>
      </w:r>
      <w:r>
        <w:rPr>
          <w:b/>
          <w:sz w:val="24"/>
        </w:rPr>
        <w:t>.</w:t>
      </w:r>
    </w:p>
    <w:p>
      <w:pPr>
        <w:pStyle w:val="ListParagraph"/>
        <w:numPr>
          <w:ilvl w:val="4"/>
          <w:numId w:val="14"/>
        </w:numPr>
        <w:tabs>
          <w:tab w:pos="822" w:val="left" w:leader="none"/>
        </w:tabs>
        <w:spacing w:line="352" w:lineRule="auto" w:before="6" w:after="0"/>
        <w:ind w:left="822" w:right="123" w:hanging="360"/>
        <w:jc w:val="both"/>
        <w:rPr>
          <w:sz w:val="24"/>
        </w:rPr>
      </w:pPr>
      <w:r>
        <w:rPr>
          <w:b/>
          <w:sz w:val="24"/>
        </w:rPr>
        <w:t>Bola de nieve: </w:t>
      </w:r>
      <w:r>
        <w:rPr>
          <w:sz w:val="24"/>
        </w:rPr>
        <w:t>Se localiza a algunos individuos, los cuales conducen a otros, y éstos a otros, y así hasta conseguir una muestra</w:t>
      </w:r>
      <w:r>
        <w:rPr>
          <w:spacing w:val="-21"/>
          <w:sz w:val="24"/>
        </w:rPr>
        <w:t> </w:t>
      </w:r>
      <w:r>
        <w:rPr>
          <w:sz w:val="24"/>
        </w:rPr>
        <w:t>suficiente.</w:t>
      </w:r>
    </w:p>
    <w:p>
      <w:pPr>
        <w:pStyle w:val="ListParagraph"/>
        <w:numPr>
          <w:ilvl w:val="4"/>
          <w:numId w:val="14"/>
        </w:numPr>
        <w:tabs>
          <w:tab w:pos="822" w:val="left" w:leader="none"/>
        </w:tabs>
        <w:spacing w:line="350" w:lineRule="auto" w:before="11" w:after="0"/>
        <w:ind w:left="822" w:right="121" w:hanging="360"/>
        <w:jc w:val="both"/>
        <w:rPr>
          <w:sz w:val="24"/>
        </w:rPr>
      </w:pPr>
      <w:r>
        <w:rPr>
          <w:b/>
          <w:sz w:val="24"/>
        </w:rPr>
        <w:t>Muestreo Discrecional</w:t>
      </w:r>
      <w:r>
        <w:rPr>
          <w:sz w:val="24"/>
        </w:rPr>
        <w:t>: A criterio del investigador los elementos son elegidos sobre lo que él cree que pueden aportar al</w:t>
      </w:r>
      <w:r>
        <w:rPr>
          <w:spacing w:val="-20"/>
          <w:sz w:val="24"/>
        </w:rPr>
        <w:t> </w:t>
      </w:r>
      <w:r>
        <w:rPr>
          <w:sz w:val="24"/>
        </w:rPr>
        <w:t>estudio.</w:t>
      </w:r>
    </w:p>
    <w:p>
      <w:pPr>
        <w:pStyle w:val="BodyText"/>
      </w:pPr>
    </w:p>
    <w:p>
      <w:pPr>
        <w:pStyle w:val="Heading2"/>
        <w:spacing w:before="153"/>
        <w:ind w:left="102" w:firstLine="0"/>
      </w:pPr>
      <w:r>
        <w:rPr>
          <w:b w:val="0"/>
        </w:rPr>
        <w:t>3.2.   </w:t>
      </w:r>
      <w:r>
        <w:rPr/>
        <w:t>Descripción del procedimiento metodológico cualitativo adoptado</w:t>
      </w:r>
    </w:p>
    <w:p>
      <w:pPr>
        <w:pStyle w:val="BodyText"/>
        <w:spacing w:before="6"/>
        <w:rPr>
          <w:b/>
          <w:sz w:val="30"/>
        </w:rPr>
      </w:pPr>
    </w:p>
    <w:p>
      <w:pPr>
        <w:pStyle w:val="BodyText"/>
        <w:spacing w:line="360" w:lineRule="auto"/>
        <w:ind w:left="102" w:right="118"/>
        <w:jc w:val="both"/>
      </w:pPr>
      <w:r>
        <w:rPr/>
        <w:t>La presente investigación adoptó la técnica de entrevista a profundidad para alcanzar su objetivo principal: Conocer los impactos culturales que provoca el turismo de nostalgia en la comunidad de El Tephé, Hidalgo, México.</w:t>
      </w:r>
    </w:p>
    <w:p>
      <w:pPr>
        <w:pStyle w:val="BodyText"/>
        <w:spacing w:line="360" w:lineRule="auto" w:before="202"/>
        <w:ind w:left="102" w:right="117"/>
        <w:jc w:val="both"/>
      </w:pPr>
      <w:r>
        <w:rPr/>
        <w:t>La entrevista se estructuró en tres partes, la primera parte buscaba identificar los cambios en la comunidad a partir de la llegada de los migrantes, en la segunda parte se persiguió conocer acerca del fenómeno de migración de residentes en la comunidad de El Tephé hacia Estados Unidos y la última versó sobre los cambios percibidos del turismo de nostalgia en la comunidad (ver Anexo 1).</w:t>
      </w:r>
    </w:p>
    <w:p>
      <w:pPr>
        <w:pStyle w:val="BodyText"/>
      </w:pPr>
    </w:p>
    <w:p>
      <w:pPr>
        <w:pStyle w:val="BodyText"/>
      </w:pPr>
    </w:p>
    <w:p>
      <w:pPr>
        <w:pStyle w:val="BodyText"/>
        <w:spacing w:before="2"/>
        <w:rPr>
          <w:sz w:val="23"/>
        </w:rPr>
      </w:pPr>
    </w:p>
    <w:p>
      <w:pPr>
        <w:pStyle w:val="BodyText"/>
        <w:spacing w:line="360" w:lineRule="auto"/>
        <w:ind w:left="102" w:right="122"/>
        <w:jc w:val="both"/>
      </w:pPr>
      <w:r>
        <w:rPr/>
        <w:t>Para la selección de los informantes, se utilizó el muestreo no probabilístico por bola de nieve, descrito anteriormente. En este marco, el primer contacto se dio a través de una señora (informante 1) de 58 años de edad, vendedora de </w:t>
      </w:r>
      <w:r>
        <w:rPr>
          <w:spacing w:val="63"/>
        </w:rPr>
        <w:t> </w:t>
      </w:r>
      <w:r>
        <w:rPr/>
        <w:t>verduras,</w:t>
      </w:r>
    </w:p>
    <w:p>
      <w:pPr>
        <w:spacing w:after="0" w:line="360" w:lineRule="auto"/>
        <w:jc w:val="both"/>
        <w:sectPr>
          <w:footerReference w:type="default" r:id="rId14"/>
          <w:pgSz w:w="12240" w:h="15840"/>
          <w:pgMar w:footer="1003" w:header="0" w:top="1360" w:bottom="1200" w:left="1600" w:right="1580"/>
        </w:sectPr>
      </w:pPr>
    </w:p>
    <w:p>
      <w:pPr>
        <w:pStyle w:val="BodyText"/>
        <w:spacing w:line="360" w:lineRule="auto" w:before="54"/>
        <w:ind w:left="102" w:right="118"/>
        <w:jc w:val="both"/>
      </w:pPr>
      <w:r>
        <w:rPr/>
        <w:t>en el mes de octubre, quien a su vez presentó al (informante 2), su esposo, quien fue clave porque él contactó a otros informantes importantes que estaban en la comunidad.</w:t>
      </w:r>
    </w:p>
    <w:p>
      <w:pPr>
        <w:pStyle w:val="BodyText"/>
      </w:pPr>
    </w:p>
    <w:p>
      <w:pPr>
        <w:pStyle w:val="BodyText"/>
        <w:spacing w:before="10"/>
        <w:rPr>
          <w:sz w:val="29"/>
        </w:rPr>
      </w:pPr>
    </w:p>
    <w:p>
      <w:pPr>
        <w:pStyle w:val="BodyText"/>
        <w:spacing w:line="360" w:lineRule="auto"/>
        <w:ind w:left="102" w:right="116"/>
        <w:jc w:val="both"/>
      </w:pPr>
      <w:r>
        <w:rPr/>
        <w:t>Posteriormente el tercer acercamiento fue con dos señoras (informante 3 y 4) que tienen un negocio de comida, en específico de barbacoa, a quienes se les entrevisto de manera separada. El quinto contacto fue con un señor (informante 5) que recientemente había llegado de Estados Unidos. En este caso la entrevista no se pudo extender porque tenía a su esposa enferma.</w:t>
      </w:r>
    </w:p>
    <w:p>
      <w:pPr>
        <w:pStyle w:val="BodyText"/>
      </w:pPr>
    </w:p>
    <w:p>
      <w:pPr>
        <w:pStyle w:val="BodyText"/>
        <w:spacing w:line="360" w:lineRule="auto" w:before="142"/>
        <w:ind w:left="102" w:right="122"/>
        <w:jc w:val="both"/>
      </w:pPr>
      <w:r>
        <w:rPr/>
        <w:t>El último contacto de esta primera fase fue con una señora que trabaja en una tortillería, (informante 6) esta persona hizo comentarios relacionados con los secuestros y robos que se habían suscitando en la comunidad, por lo que la entrevista no se realizó con éxito, Cabe señalar que esta situación limitó el trabajo de campo y la mayor parte de la información se realizó a través de la observación no participante.</w:t>
      </w:r>
    </w:p>
    <w:p>
      <w:pPr>
        <w:pStyle w:val="BodyText"/>
        <w:spacing w:line="360" w:lineRule="auto" w:before="204"/>
        <w:ind w:left="102" w:right="121"/>
        <w:jc w:val="both"/>
      </w:pPr>
      <w:r>
        <w:rPr/>
        <w:t>La segunda fase de recolección en campo fue en el mes de noviembre de 2012. El trabajo realizado en esta ocasión consistió en la aplicación de seis entrevistas a profundidad. Estas se aplicaron a cuatro personas que habían emigrado y que ya habían regresado a la comunidad y a dos personas que nunca habían emigrado. Esta mezcla buscó identificar desde perspectivas distintas (migrantes y residentes permanentes) los cambios percibidos. La mayoría de las entrevistas se hicieron afuera de las casas de los entrevistados, se contó con la autorización de las personas para que su voz fuera grabada.</w:t>
      </w:r>
    </w:p>
    <w:p>
      <w:pPr>
        <w:pStyle w:val="BodyText"/>
        <w:spacing w:line="360" w:lineRule="auto" w:before="205"/>
        <w:ind w:left="102" w:right="118"/>
        <w:jc w:val="both"/>
      </w:pPr>
      <w:r>
        <w:rPr/>
        <w:t>La tercera fase fue en el mes de enero de 2013, esta vez fue para profundizar en aspectos sobre los impactos culturales del turismo de nostalgia. Cabe mencionar que se realizaron cuatro entrevistas a las mismas personas que ya se habían entrevistado. Esto fue por una serie de acontecimientos tales como asaltos que sucedieron a la llegada de algunos migrantes a la comunidad en el mes de diciembre 2012. Se tenía la intención de entrevistar a otras personas para  ampliar</w:t>
      </w:r>
    </w:p>
    <w:p>
      <w:pPr>
        <w:spacing w:after="0" w:line="360" w:lineRule="auto"/>
        <w:jc w:val="both"/>
        <w:sectPr>
          <w:footerReference w:type="default" r:id="rId15"/>
          <w:pgSz w:w="12240" w:h="15840"/>
          <w:pgMar w:footer="1003" w:header="0" w:top="1360" w:bottom="1200" w:left="1600" w:right="1580"/>
          <w:pgNumType w:start="41"/>
        </w:sectPr>
      </w:pPr>
    </w:p>
    <w:p>
      <w:pPr>
        <w:pStyle w:val="BodyText"/>
        <w:spacing w:line="360" w:lineRule="auto" w:before="54"/>
        <w:ind w:left="102" w:right="116"/>
        <w:jc w:val="both"/>
      </w:pPr>
      <w:r>
        <w:rPr/>
        <w:t>la investigación, pero algunos pobladores no dejaron que la investigadora entrevistara, ni sacara fotos de la comunidad. Esto demuestra que las propuestas metodológicas planteadas en un proyecto de investigación se verán siempre modificadas por las condiciones que se presenten en el campo.</w:t>
      </w:r>
    </w:p>
    <w:p>
      <w:pPr>
        <w:pStyle w:val="BodyText"/>
        <w:spacing w:line="360" w:lineRule="auto" w:before="204"/>
        <w:ind w:left="102" w:right="115"/>
        <w:jc w:val="both"/>
      </w:pPr>
      <w:r>
        <w:rPr/>
        <w:t>Tomando lo anterior como consideración, el número de informantes podría en algún momento contemplarse como una desventaja del trabajo de campo, por el número relativamente pequeño de personas entrevistadas. Sin embargo, es importante señalar que esta limitación se compensa por las repetidas visitas a la comunidad, donde se pudo constatar a través de la observación no participante y por las relaciones cercanas que se generaron con algunos informantes, así  mismo, vale reconocer que este trabajo tuvo un alcance exploratorio y que no busca necesariamente la representatividad de sus hallazgos -lo cual requeriría otras aproximaciones metodológicas-, sino un primer acercamiento al</w:t>
      </w:r>
      <w:r>
        <w:rPr>
          <w:spacing w:val="-25"/>
        </w:rPr>
        <w:t> </w:t>
      </w:r>
      <w:r>
        <w:rPr/>
        <w:t>fenómeno.</w:t>
      </w:r>
    </w:p>
    <w:p>
      <w:pPr>
        <w:pStyle w:val="BodyText"/>
        <w:spacing w:line="360" w:lineRule="auto" w:before="202"/>
        <w:ind w:left="102" w:right="121"/>
        <w:jc w:val="both"/>
      </w:pPr>
      <w:r>
        <w:rPr/>
        <w:t>Además del uso de la entrevista, la investigación de campo se complementó con  la observación no participante. La observación se enfocó principalmente en la vestimenta de los residentes y el tipo la vivienda, sobre todo en cuanto a los  estilos de construcción. Las observaciones se realizaron durante las visitas hechas a la comunidad y fueron registradas en un cuaderno de</w:t>
      </w:r>
      <w:r>
        <w:rPr>
          <w:spacing w:val="-18"/>
        </w:rPr>
        <w:t> </w:t>
      </w:r>
      <w:r>
        <w:rPr/>
        <w:t>notas.</w:t>
      </w:r>
    </w:p>
    <w:p>
      <w:pPr>
        <w:spacing w:after="0" w:line="360" w:lineRule="auto"/>
        <w:jc w:val="both"/>
        <w:sectPr>
          <w:pgSz w:w="12240" w:h="15840"/>
          <w:pgMar w:header="0" w:footer="1003" w:top="1360" w:bottom="1200" w:left="1600" w:right="1580"/>
        </w:sectPr>
      </w:pPr>
    </w:p>
    <w:p>
      <w:pPr>
        <w:pStyle w:val="Heading1"/>
        <w:ind w:left="292" w:right="410"/>
      </w:pPr>
      <w:bookmarkStart w:name="_bookmark14" w:id="32"/>
      <w:bookmarkEnd w:id="32"/>
      <w:r>
        <w:rPr>
          <w:b w:val="0"/>
        </w:rPr>
      </w:r>
      <w:r>
        <w:rPr/>
        <w:t>CAPÍTULO 4. HALLAZGOS</w:t>
      </w:r>
    </w:p>
    <w:p>
      <w:pPr>
        <w:pStyle w:val="BodyText"/>
        <w:rPr>
          <w:b/>
          <w:sz w:val="28"/>
        </w:rPr>
      </w:pPr>
    </w:p>
    <w:p>
      <w:pPr>
        <w:pStyle w:val="BodyText"/>
        <w:spacing w:before="11"/>
        <w:rPr>
          <w:b/>
          <w:sz w:val="29"/>
        </w:rPr>
      </w:pPr>
    </w:p>
    <w:p>
      <w:pPr>
        <w:pStyle w:val="Heading2"/>
        <w:numPr>
          <w:ilvl w:val="1"/>
          <w:numId w:val="15"/>
        </w:numPr>
        <w:tabs>
          <w:tab w:pos="770" w:val="left" w:leader="none"/>
        </w:tabs>
        <w:spacing w:line="240" w:lineRule="auto" w:before="0" w:after="0"/>
        <w:ind w:left="770" w:right="0" w:hanging="648"/>
        <w:jc w:val="both"/>
      </w:pPr>
      <w:bookmarkStart w:name="_TOC_250005" w:id="33"/>
      <w:r>
        <w:rPr/>
        <w:t>Perfil de los</w:t>
      </w:r>
      <w:r>
        <w:rPr>
          <w:spacing w:val="-5"/>
        </w:rPr>
        <w:t> </w:t>
      </w:r>
      <w:bookmarkEnd w:id="33"/>
      <w:r>
        <w:rPr/>
        <w:t>informantes</w:t>
      </w:r>
    </w:p>
    <w:p>
      <w:pPr>
        <w:pStyle w:val="BodyText"/>
        <w:spacing w:before="3"/>
        <w:rPr>
          <w:b/>
          <w:sz w:val="30"/>
        </w:rPr>
      </w:pPr>
    </w:p>
    <w:p>
      <w:pPr>
        <w:pStyle w:val="BodyText"/>
        <w:spacing w:line="360" w:lineRule="auto"/>
        <w:ind w:left="122" w:right="236"/>
        <w:jc w:val="both"/>
      </w:pPr>
      <w:r>
        <w:rPr/>
        <w:t>Todos los informantes radican en la comunidad de El Tephé, la mayoría un 95% son nativos del mismo lugar. La mayor parte de los habitantes de El Tephé, aproximadamente 70%, han emigrado a los Estados Unidos  (Ver Tabla 2).</w:t>
      </w:r>
    </w:p>
    <w:p>
      <w:pPr>
        <w:pStyle w:val="BodyText"/>
      </w:pPr>
    </w:p>
    <w:p>
      <w:pPr>
        <w:pStyle w:val="BodyText"/>
        <w:spacing w:before="1"/>
        <w:rPr>
          <w:sz w:val="30"/>
        </w:rPr>
      </w:pPr>
    </w:p>
    <w:p>
      <w:pPr>
        <w:spacing w:before="1"/>
        <w:ind w:left="292" w:right="410" w:firstLine="0"/>
        <w:jc w:val="center"/>
        <w:rPr>
          <w:rFonts w:ascii="Calibri"/>
          <w:b/>
          <w:sz w:val="18"/>
        </w:rPr>
      </w:pPr>
      <w:r>
        <w:rPr>
          <w:rFonts w:ascii="Calibri"/>
          <w:b/>
          <w:sz w:val="18"/>
        </w:rPr>
        <w:t>TABLA 2 PERFIL DE LOS INFORMANTES</w:t>
      </w:r>
    </w:p>
    <w:p>
      <w:pPr>
        <w:pStyle w:val="BodyText"/>
        <w:spacing w:before="2" w:after="1"/>
        <w:rPr>
          <w:rFonts w:ascii="Calibri"/>
          <w:b/>
          <w:sz w:val="21"/>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64"/>
        <w:gridCol w:w="1325"/>
        <w:gridCol w:w="1646"/>
        <w:gridCol w:w="1440"/>
        <w:gridCol w:w="1577"/>
        <w:gridCol w:w="1496"/>
      </w:tblGrid>
      <w:tr>
        <w:trPr>
          <w:trHeight w:val="586" w:hRule="exact"/>
        </w:trPr>
        <w:tc>
          <w:tcPr>
            <w:tcW w:w="1464" w:type="dxa"/>
            <w:tcBorders>
              <w:bottom w:val="single" w:sz="17" w:space="0" w:color="000000"/>
            </w:tcBorders>
          </w:tcPr>
          <w:p>
            <w:pPr>
              <w:pStyle w:val="TableParagraph"/>
              <w:spacing w:before="102"/>
              <w:ind w:left="223"/>
              <w:rPr>
                <w:rFonts w:ascii="Arial"/>
                <w:b/>
                <w:sz w:val="16"/>
              </w:rPr>
            </w:pPr>
            <w:r>
              <w:rPr>
                <w:rFonts w:ascii="Arial"/>
                <w:b/>
                <w:color w:val="006FC0"/>
                <w:sz w:val="24"/>
              </w:rPr>
              <w:t>Nombre</w:t>
            </w:r>
            <w:r>
              <w:rPr>
                <w:rFonts w:ascii="Arial"/>
                <w:b/>
                <w:color w:val="006FC0"/>
                <w:position w:val="11"/>
                <w:sz w:val="16"/>
              </w:rPr>
              <w:t>2</w:t>
            </w:r>
          </w:p>
        </w:tc>
        <w:tc>
          <w:tcPr>
            <w:tcW w:w="1325" w:type="dxa"/>
            <w:tcBorders>
              <w:bottom w:val="single" w:sz="17" w:space="0" w:color="000000"/>
            </w:tcBorders>
          </w:tcPr>
          <w:p>
            <w:pPr>
              <w:pStyle w:val="TableParagraph"/>
              <w:spacing w:before="137"/>
              <w:ind w:right="356"/>
              <w:jc w:val="right"/>
              <w:rPr>
                <w:rFonts w:ascii="Arial"/>
                <w:b/>
                <w:sz w:val="24"/>
              </w:rPr>
            </w:pPr>
            <w:r>
              <w:rPr>
                <w:rFonts w:ascii="Arial"/>
                <w:b/>
                <w:color w:val="006FC0"/>
                <w:sz w:val="24"/>
              </w:rPr>
              <w:t>Edad</w:t>
            </w:r>
          </w:p>
        </w:tc>
        <w:tc>
          <w:tcPr>
            <w:tcW w:w="1646" w:type="dxa"/>
            <w:tcBorders>
              <w:bottom w:val="single" w:sz="17" w:space="0" w:color="000000"/>
            </w:tcBorders>
          </w:tcPr>
          <w:p>
            <w:pPr>
              <w:pStyle w:val="TableParagraph"/>
              <w:spacing w:before="0"/>
              <w:ind w:left="179" w:right="161" w:firstLine="124"/>
              <w:rPr>
                <w:rFonts w:ascii="Arial"/>
                <w:b/>
                <w:sz w:val="24"/>
              </w:rPr>
            </w:pPr>
            <w:r>
              <w:rPr>
                <w:rFonts w:ascii="Arial"/>
                <w:b/>
                <w:color w:val="006FC0"/>
                <w:sz w:val="24"/>
              </w:rPr>
              <w:t>Lugar de nacimiento</w:t>
            </w:r>
          </w:p>
        </w:tc>
        <w:tc>
          <w:tcPr>
            <w:tcW w:w="1440" w:type="dxa"/>
            <w:tcBorders>
              <w:bottom w:val="single" w:sz="17" w:space="0" w:color="000000"/>
            </w:tcBorders>
          </w:tcPr>
          <w:p>
            <w:pPr>
              <w:pStyle w:val="TableParagraph"/>
              <w:spacing w:before="0"/>
              <w:ind w:left="475" w:right="292" w:hanging="166"/>
              <w:rPr>
                <w:rFonts w:ascii="Arial"/>
                <w:b/>
                <w:sz w:val="24"/>
              </w:rPr>
            </w:pPr>
            <w:r>
              <w:rPr>
                <w:rFonts w:ascii="Arial"/>
                <w:b/>
                <w:color w:val="006FC0"/>
                <w:sz w:val="24"/>
              </w:rPr>
              <w:t>Estado civil</w:t>
            </w:r>
          </w:p>
        </w:tc>
        <w:tc>
          <w:tcPr>
            <w:tcW w:w="1577" w:type="dxa"/>
            <w:tcBorders>
              <w:bottom w:val="single" w:sz="17" w:space="0" w:color="000000"/>
            </w:tcBorders>
          </w:tcPr>
          <w:p>
            <w:pPr>
              <w:pStyle w:val="TableParagraph"/>
              <w:spacing w:before="137"/>
              <w:ind w:left="158"/>
              <w:rPr>
                <w:rFonts w:ascii="Arial" w:hAnsi="Arial"/>
                <w:b/>
                <w:sz w:val="24"/>
              </w:rPr>
            </w:pPr>
            <w:r>
              <w:rPr>
                <w:rFonts w:ascii="Arial" w:hAnsi="Arial"/>
                <w:b/>
                <w:color w:val="006FC0"/>
                <w:sz w:val="24"/>
              </w:rPr>
              <w:t>Ocupación</w:t>
            </w:r>
          </w:p>
        </w:tc>
        <w:tc>
          <w:tcPr>
            <w:tcW w:w="1496" w:type="dxa"/>
            <w:tcBorders>
              <w:bottom w:val="single" w:sz="17" w:space="0" w:color="000000"/>
            </w:tcBorders>
          </w:tcPr>
          <w:p>
            <w:pPr>
              <w:pStyle w:val="TableParagraph"/>
              <w:spacing w:before="0"/>
              <w:ind w:left="264" w:right="245" w:firstLine="319"/>
              <w:rPr>
                <w:rFonts w:ascii="Arial"/>
                <w:b/>
                <w:sz w:val="24"/>
              </w:rPr>
            </w:pPr>
            <w:r>
              <w:rPr>
                <w:rFonts w:ascii="Arial"/>
                <w:b/>
                <w:color w:val="006FC0"/>
                <w:sz w:val="24"/>
              </w:rPr>
              <w:t>Ha migrado</w:t>
            </w:r>
          </w:p>
        </w:tc>
      </w:tr>
      <w:tr>
        <w:trPr>
          <w:trHeight w:val="307" w:hRule="exact"/>
        </w:trPr>
        <w:tc>
          <w:tcPr>
            <w:tcW w:w="1464" w:type="dxa"/>
            <w:tcBorders>
              <w:top w:val="single" w:sz="17" w:space="0" w:color="000000"/>
            </w:tcBorders>
          </w:tcPr>
          <w:p>
            <w:pPr>
              <w:pStyle w:val="TableParagraph"/>
              <w:spacing w:line="274" w:lineRule="exact" w:before="0"/>
              <w:ind w:left="98"/>
              <w:rPr>
                <w:rFonts w:ascii="Arial" w:hAnsi="Arial"/>
                <w:sz w:val="24"/>
              </w:rPr>
            </w:pPr>
            <w:r>
              <w:rPr>
                <w:rFonts w:ascii="Arial" w:hAnsi="Arial"/>
                <w:sz w:val="24"/>
              </w:rPr>
              <w:t>Víctor</w:t>
            </w:r>
          </w:p>
        </w:tc>
        <w:tc>
          <w:tcPr>
            <w:tcW w:w="1325" w:type="dxa"/>
            <w:tcBorders>
              <w:top w:val="single" w:sz="17" w:space="0" w:color="000000"/>
            </w:tcBorders>
          </w:tcPr>
          <w:p>
            <w:pPr>
              <w:pStyle w:val="TableParagraph"/>
              <w:spacing w:line="274" w:lineRule="exact" w:before="0"/>
              <w:ind w:right="347"/>
              <w:jc w:val="right"/>
              <w:rPr>
                <w:rFonts w:ascii="Arial" w:hAnsi="Arial"/>
                <w:sz w:val="24"/>
              </w:rPr>
            </w:pPr>
            <w:r>
              <w:rPr>
                <w:rFonts w:ascii="Arial" w:hAnsi="Arial"/>
                <w:sz w:val="24"/>
              </w:rPr>
              <w:t>65 años</w:t>
            </w:r>
          </w:p>
        </w:tc>
        <w:tc>
          <w:tcPr>
            <w:tcW w:w="1646" w:type="dxa"/>
            <w:tcBorders>
              <w:top w:val="single" w:sz="17" w:space="0" w:color="000000"/>
            </w:tcBorders>
          </w:tcPr>
          <w:p>
            <w:pPr>
              <w:pStyle w:val="TableParagraph"/>
              <w:spacing w:line="274" w:lineRule="exact" w:before="0"/>
              <w:ind w:left="98" w:right="161"/>
              <w:rPr>
                <w:rFonts w:ascii="Arial"/>
                <w:sz w:val="24"/>
              </w:rPr>
            </w:pPr>
            <w:r>
              <w:rPr>
                <w:rFonts w:ascii="Arial"/>
                <w:sz w:val="24"/>
              </w:rPr>
              <w:t>El Maje</w:t>
            </w:r>
          </w:p>
        </w:tc>
        <w:tc>
          <w:tcPr>
            <w:tcW w:w="1440" w:type="dxa"/>
            <w:tcBorders>
              <w:top w:val="single" w:sz="17" w:space="0" w:color="000000"/>
            </w:tcBorders>
          </w:tcPr>
          <w:p>
            <w:pPr>
              <w:pStyle w:val="TableParagraph"/>
              <w:spacing w:line="274" w:lineRule="exact" w:before="0"/>
              <w:ind w:left="98" w:right="292"/>
              <w:rPr>
                <w:rFonts w:ascii="Arial"/>
                <w:sz w:val="24"/>
              </w:rPr>
            </w:pPr>
            <w:r>
              <w:rPr>
                <w:rFonts w:ascii="Arial"/>
                <w:sz w:val="24"/>
              </w:rPr>
              <w:t>Casado</w:t>
            </w:r>
          </w:p>
        </w:tc>
        <w:tc>
          <w:tcPr>
            <w:tcW w:w="1577" w:type="dxa"/>
            <w:tcBorders>
              <w:top w:val="single" w:sz="17" w:space="0" w:color="000000"/>
            </w:tcBorders>
          </w:tcPr>
          <w:p>
            <w:pPr>
              <w:pStyle w:val="TableParagraph"/>
              <w:spacing w:line="274" w:lineRule="exact" w:before="0"/>
              <w:ind w:left="98"/>
              <w:rPr>
                <w:rFonts w:ascii="Arial"/>
                <w:sz w:val="16"/>
              </w:rPr>
            </w:pPr>
            <w:r>
              <w:rPr>
                <w:rFonts w:ascii="Arial"/>
                <w:sz w:val="24"/>
              </w:rPr>
              <w:t>Coyote</w:t>
            </w:r>
            <w:r>
              <w:rPr>
                <w:rFonts w:ascii="Arial"/>
                <w:position w:val="11"/>
                <w:sz w:val="16"/>
              </w:rPr>
              <w:t>3</w:t>
            </w:r>
          </w:p>
        </w:tc>
        <w:tc>
          <w:tcPr>
            <w:tcW w:w="1496" w:type="dxa"/>
            <w:tcBorders>
              <w:top w:val="single" w:sz="17" w:space="0" w:color="000000"/>
            </w:tcBorders>
          </w:tcPr>
          <w:p>
            <w:pPr>
              <w:pStyle w:val="TableParagraph"/>
              <w:spacing w:line="274" w:lineRule="exact" w:before="0"/>
              <w:ind w:left="98" w:right="245"/>
              <w:rPr>
                <w:rFonts w:ascii="Arial" w:hAnsi="Arial"/>
                <w:sz w:val="24"/>
              </w:rPr>
            </w:pPr>
            <w:r>
              <w:rPr>
                <w:rFonts w:ascii="Arial" w:hAnsi="Arial"/>
                <w:sz w:val="24"/>
              </w:rPr>
              <w:t>Sí</w:t>
            </w:r>
          </w:p>
        </w:tc>
      </w:tr>
      <w:tr>
        <w:trPr>
          <w:trHeight w:val="574" w:hRule="exact"/>
        </w:trPr>
        <w:tc>
          <w:tcPr>
            <w:tcW w:w="1464" w:type="dxa"/>
          </w:tcPr>
          <w:p>
            <w:pPr>
              <w:pStyle w:val="TableParagraph"/>
              <w:spacing w:before="137"/>
              <w:ind w:left="98"/>
              <w:rPr>
                <w:rFonts w:ascii="Arial"/>
                <w:sz w:val="24"/>
              </w:rPr>
            </w:pPr>
            <w:r>
              <w:rPr>
                <w:rFonts w:ascii="Arial"/>
                <w:sz w:val="24"/>
              </w:rPr>
              <w:t>Juanita</w:t>
            </w:r>
          </w:p>
        </w:tc>
        <w:tc>
          <w:tcPr>
            <w:tcW w:w="1325" w:type="dxa"/>
          </w:tcPr>
          <w:p>
            <w:pPr>
              <w:pStyle w:val="TableParagraph"/>
              <w:spacing w:before="137"/>
              <w:ind w:right="347"/>
              <w:jc w:val="right"/>
              <w:rPr>
                <w:rFonts w:ascii="Arial" w:hAnsi="Arial"/>
                <w:sz w:val="24"/>
              </w:rPr>
            </w:pPr>
            <w:r>
              <w:rPr>
                <w:rFonts w:ascii="Arial" w:hAnsi="Arial"/>
                <w:sz w:val="24"/>
              </w:rPr>
              <w:t>58 años</w:t>
            </w:r>
          </w:p>
        </w:tc>
        <w:tc>
          <w:tcPr>
            <w:tcW w:w="1646" w:type="dxa"/>
          </w:tcPr>
          <w:p>
            <w:pPr>
              <w:pStyle w:val="TableParagraph"/>
              <w:spacing w:before="137"/>
              <w:ind w:left="98" w:right="161"/>
              <w:rPr>
                <w:rFonts w:ascii="Arial" w:hAnsi="Arial"/>
                <w:sz w:val="24"/>
              </w:rPr>
            </w:pPr>
            <w:r>
              <w:rPr>
                <w:rFonts w:ascii="Arial" w:hAnsi="Arial"/>
                <w:sz w:val="24"/>
              </w:rPr>
              <w:t>El Tephé</w:t>
            </w:r>
          </w:p>
        </w:tc>
        <w:tc>
          <w:tcPr>
            <w:tcW w:w="1440" w:type="dxa"/>
          </w:tcPr>
          <w:p>
            <w:pPr>
              <w:pStyle w:val="TableParagraph"/>
              <w:spacing w:before="137"/>
              <w:ind w:left="98" w:right="292"/>
              <w:rPr>
                <w:rFonts w:ascii="Arial"/>
                <w:sz w:val="24"/>
              </w:rPr>
            </w:pPr>
            <w:r>
              <w:rPr>
                <w:rFonts w:ascii="Arial"/>
                <w:sz w:val="24"/>
              </w:rPr>
              <w:t>Casada</w:t>
            </w:r>
          </w:p>
        </w:tc>
        <w:tc>
          <w:tcPr>
            <w:tcW w:w="1577" w:type="dxa"/>
          </w:tcPr>
          <w:p>
            <w:pPr>
              <w:pStyle w:val="TableParagraph"/>
              <w:spacing w:before="0"/>
              <w:ind w:left="98" w:right="612"/>
              <w:rPr>
                <w:rFonts w:ascii="Arial"/>
                <w:sz w:val="24"/>
              </w:rPr>
            </w:pPr>
            <w:r>
              <w:rPr>
                <w:rFonts w:ascii="Arial"/>
                <w:sz w:val="24"/>
              </w:rPr>
              <w:t>Ama de casa</w:t>
            </w:r>
          </w:p>
        </w:tc>
        <w:tc>
          <w:tcPr>
            <w:tcW w:w="1496" w:type="dxa"/>
          </w:tcPr>
          <w:p>
            <w:pPr>
              <w:pStyle w:val="TableParagraph"/>
              <w:spacing w:before="137"/>
              <w:ind w:left="98" w:right="245"/>
              <w:rPr>
                <w:rFonts w:ascii="Arial"/>
                <w:sz w:val="24"/>
              </w:rPr>
            </w:pPr>
            <w:r>
              <w:rPr>
                <w:rFonts w:ascii="Arial"/>
                <w:sz w:val="24"/>
              </w:rPr>
              <w:t>No</w:t>
            </w:r>
          </w:p>
        </w:tc>
      </w:tr>
      <w:tr>
        <w:trPr>
          <w:trHeight w:val="295" w:hRule="exact"/>
        </w:trPr>
        <w:tc>
          <w:tcPr>
            <w:tcW w:w="1464" w:type="dxa"/>
          </w:tcPr>
          <w:p>
            <w:pPr>
              <w:pStyle w:val="TableParagraph"/>
              <w:spacing w:line="274" w:lineRule="exact" w:before="0"/>
              <w:ind w:left="98"/>
              <w:rPr>
                <w:rFonts w:ascii="Arial"/>
                <w:sz w:val="24"/>
              </w:rPr>
            </w:pPr>
            <w:r>
              <w:rPr>
                <w:rFonts w:ascii="Arial"/>
                <w:sz w:val="24"/>
              </w:rPr>
              <w:t>Esther</w:t>
            </w:r>
          </w:p>
        </w:tc>
        <w:tc>
          <w:tcPr>
            <w:tcW w:w="1325" w:type="dxa"/>
          </w:tcPr>
          <w:p>
            <w:pPr>
              <w:pStyle w:val="TableParagraph"/>
              <w:spacing w:line="274" w:lineRule="exact" w:before="0"/>
              <w:ind w:right="347"/>
              <w:jc w:val="right"/>
              <w:rPr>
                <w:rFonts w:ascii="Arial" w:hAnsi="Arial"/>
                <w:sz w:val="24"/>
              </w:rPr>
            </w:pPr>
            <w:r>
              <w:rPr>
                <w:rFonts w:ascii="Arial" w:hAnsi="Arial"/>
                <w:sz w:val="24"/>
              </w:rPr>
              <w:t>35 años</w:t>
            </w:r>
          </w:p>
        </w:tc>
        <w:tc>
          <w:tcPr>
            <w:tcW w:w="1646" w:type="dxa"/>
          </w:tcPr>
          <w:p>
            <w:pPr>
              <w:pStyle w:val="TableParagraph"/>
              <w:spacing w:line="274" w:lineRule="exact" w:before="0"/>
              <w:ind w:left="98" w:right="161"/>
              <w:rPr>
                <w:rFonts w:ascii="Arial" w:hAnsi="Arial"/>
                <w:sz w:val="24"/>
              </w:rPr>
            </w:pPr>
            <w:r>
              <w:rPr>
                <w:rFonts w:ascii="Arial" w:hAnsi="Arial"/>
                <w:sz w:val="24"/>
              </w:rPr>
              <w:t>El Tephé</w:t>
            </w:r>
          </w:p>
        </w:tc>
        <w:tc>
          <w:tcPr>
            <w:tcW w:w="1440" w:type="dxa"/>
          </w:tcPr>
          <w:p>
            <w:pPr>
              <w:pStyle w:val="TableParagraph"/>
              <w:spacing w:line="274" w:lineRule="exact" w:before="0"/>
              <w:ind w:left="98" w:right="292"/>
              <w:rPr>
                <w:rFonts w:ascii="Arial"/>
                <w:sz w:val="24"/>
              </w:rPr>
            </w:pPr>
            <w:r>
              <w:rPr>
                <w:rFonts w:ascii="Arial"/>
                <w:sz w:val="24"/>
              </w:rPr>
              <w:t>Soltera</w:t>
            </w:r>
          </w:p>
        </w:tc>
        <w:tc>
          <w:tcPr>
            <w:tcW w:w="1577" w:type="dxa"/>
          </w:tcPr>
          <w:p>
            <w:pPr>
              <w:pStyle w:val="TableParagraph"/>
              <w:spacing w:line="274" w:lineRule="exact" w:before="0"/>
              <w:ind w:left="98"/>
              <w:rPr>
                <w:rFonts w:ascii="Arial"/>
                <w:sz w:val="24"/>
              </w:rPr>
            </w:pPr>
            <w:r>
              <w:rPr>
                <w:rFonts w:ascii="Arial"/>
                <w:sz w:val="24"/>
              </w:rPr>
              <w:t>Comerciante</w:t>
            </w:r>
          </w:p>
        </w:tc>
        <w:tc>
          <w:tcPr>
            <w:tcW w:w="1496" w:type="dxa"/>
          </w:tcPr>
          <w:p>
            <w:pPr>
              <w:pStyle w:val="TableParagraph"/>
              <w:spacing w:line="274" w:lineRule="exact" w:before="0"/>
              <w:ind w:left="98" w:right="245"/>
              <w:rPr>
                <w:rFonts w:ascii="Arial" w:hAnsi="Arial"/>
                <w:sz w:val="24"/>
              </w:rPr>
            </w:pPr>
            <w:r>
              <w:rPr>
                <w:rFonts w:ascii="Arial" w:hAnsi="Arial"/>
                <w:sz w:val="24"/>
              </w:rPr>
              <w:t>Sí</w:t>
            </w:r>
          </w:p>
        </w:tc>
      </w:tr>
      <w:tr>
        <w:trPr>
          <w:trHeight w:val="295" w:hRule="exact"/>
        </w:trPr>
        <w:tc>
          <w:tcPr>
            <w:tcW w:w="1464" w:type="dxa"/>
          </w:tcPr>
          <w:p>
            <w:pPr>
              <w:pStyle w:val="TableParagraph"/>
              <w:spacing w:line="274" w:lineRule="exact" w:before="0"/>
              <w:ind w:left="98"/>
              <w:rPr>
                <w:rFonts w:ascii="Arial"/>
                <w:sz w:val="24"/>
              </w:rPr>
            </w:pPr>
            <w:r>
              <w:rPr>
                <w:rFonts w:ascii="Arial"/>
                <w:sz w:val="24"/>
              </w:rPr>
              <w:t>Carmen</w:t>
            </w:r>
          </w:p>
        </w:tc>
        <w:tc>
          <w:tcPr>
            <w:tcW w:w="1325" w:type="dxa"/>
          </w:tcPr>
          <w:p>
            <w:pPr>
              <w:pStyle w:val="TableParagraph"/>
              <w:spacing w:line="274" w:lineRule="exact" w:before="0"/>
              <w:ind w:right="347"/>
              <w:jc w:val="right"/>
              <w:rPr>
                <w:rFonts w:ascii="Arial" w:hAnsi="Arial"/>
                <w:sz w:val="24"/>
              </w:rPr>
            </w:pPr>
            <w:r>
              <w:rPr>
                <w:rFonts w:ascii="Arial" w:hAnsi="Arial"/>
                <w:sz w:val="24"/>
              </w:rPr>
              <w:t>54 años</w:t>
            </w:r>
          </w:p>
        </w:tc>
        <w:tc>
          <w:tcPr>
            <w:tcW w:w="1646" w:type="dxa"/>
          </w:tcPr>
          <w:p>
            <w:pPr>
              <w:pStyle w:val="TableParagraph"/>
              <w:spacing w:line="274" w:lineRule="exact" w:before="0"/>
              <w:ind w:left="98" w:right="161"/>
              <w:rPr>
                <w:rFonts w:ascii="Arial" w:hAnsi="Arial"/>
                <w:sz w:val="24"/>
              </w:rPr>
            </w:pPr>
            <w:r>
              <w:rPr>
                <w:rFonts w:ascii="Arial" w:hAnsi="Arial"/>
                <w:sz w:val="24"/>
              </w:rPr>
              <w:t>El Tephé</w:t>
            </w:r>
          </w:p>
        </w:tc>
        <w:tc>
          <w:tcPr>
            <w:tcW w:w="1440" w:type="dxa"/>
          </w:tcPr>
          <w:p>
            <w:pPr>
              <w:pStyle w:val="TableParagraph"/>
              <w:spacing w:line="274" w:lineRule="exact" w:before="0"/>
              <w:ind w:left="98" w:right="292"/>
              <w:rPr>
                <w:rFonts w:ascii="Arial"/>
                <w:sz w:val="24"/>
              </w:rPr>
            </w:pPr>
            <w:r>
              <w:rPr>
                <w:rFonts w:ascii="Arial"/>
                <w:sz w:val="24"/>
              </w:rPr>
              <w:t>Casada</w:t>
            </w:r>
          </w:p>
        </w:tc>
        <w:tc>
          <w:tcPr>
            <w:tcW w:w="1577" w:type="dxa"/>
          </w:tcPr>
          <w:p>
            <w:pPr>
              <w:pStyle w:val="TableParagraph"/>
              <w:spacing w:line="274" w:lineRule="exact" w:before="0"/>
              <w:ind w:left="98"/>
              <w:rPr>
                <w:rFonts w:ascii="Arial"/>
                <w:sz w:val="24"/>
              </w:rPr>
            </w:pPr>
            <w:r>
              <w:rPr>
                <w:rFonts w:ascii="Arial"/>
                <w:sz w:val="24"/>
              </w:rPr>
              <w:t>Comerciante</w:t>
            </w:r>
          </w:p>
        </w:tc>
        <w:tc>
          <w:tcPr>
            <w:tcW w:w="1496" w:type="dxa"/>
          </w:tcPr>
          <w:p>
            <w:pPr>
              <w:pStyle w:val="TableParagraph"/>
              <w:spacing w:line="274" w:lineRule="exact" w:before="0"/>
              <w:ind w:left="98" w:right="245"/>
              <w:rPr>
                <w:rFonts w:ascii="Arial" w:hAnsi="Arial"/>
                <w:sz w:val="24"/>
              </w:rPr>
            </w:pPr>
            <w:r>
              <w:rPr>
                <w:rFonts w:ascii="Arial" w:hAnsi="Arial"/>
                <w:sz w:val="24"/>
              </w:rPr>
              <w:t>Sí</w:t>
            </w:r>
          </w:p>
        </w:tc>
      </w:tr>
      <w:tr>
        <w:trPr>
          <w:trHeight w:val="298" w:hRule="exact"/>
        </w:trPr>
        <w:tc>
          <w:tcPr>
            <w:tcW w:w="1464" w:type="dxa"/>
          </w:tcPr>
          <w:p>
            <w:pPr>
              <w:pStyle w:val="TableParagraph"/>
              <w:spacing w:before="0"/>
              <w:ind w:left="98"/>
              <w:rPr>
                <w:rFonts w:ascii="Arial"/>
                <w:sz w:val="24"/>
              </w:rPr>
            </w:pPr>
            <w:r>
              <w:rPr>
                <w:rFonts w:ascii="Arial"/>
                <w:sz w:val="24"/>
              </w:rPr>
              <w:t>Genaro</w:t>
            </w:r>
          </w:p>
        </w:tc>
        <w:tc>
          <w:tcPr>
            <w:tcW w:w="1325" w:type="dxa"/>
          </w:tcPr>
          <w:p>
            <w:pPr>
              <w:pStyle w:val="TableParagraph"/>
              <w:spacing w:before="0"/>
              <w:ind w:right="347"/>
              <w:jc w:val="right"/>
              <w:rPr>
                <w:rFonts w:ascii="Arial" w:hAnsi="Arial"/>
                <w:sz w:val="24"/>
              </w:rPr>
            </w:pPr>
            <w:r>
              <w:rPr>
                <w:rFonts w:ascii="Arial" w:hAnsi="Arial"/>
                <w:sz w:val="24"/>
              </w:rPr>
              <w:t>35 años</w:t>
            </w:r>
          </w:p>
        </w:tc>
        <w:tc>
          <w:tcPr>
            <w:tcW w:w="1646" w:type="dxa"/>
          </w:tcPr>
          <w:p>
            <w:pPr>
              <w:pStyle w:val="TableParagraph"/>
              <w:spacing w:before="0"/>
              <w:ind w:left="98" w:right="161"/>
              <w:rPr>
                <w:rFonts w:ascii="Arial" w:hAnsi="Arial"/>
                <w:sz w:val="24"/>
              </w:rPr>
            </w:pPr>
            <w:r>
              <w:rPr>
                <w:rFonts w:ascii="Arial" w:hAnsi="Arial"/>
                <w:sz w:val="24"/>
              </w:rPr>
              <w:t>El Tephé</w:t>
            </w:r>
          </w:p>
        </w:tc>
        <w:tc>
          <w:tcPr>
            <w:tcW w:w="1440" w:type="dxa"/>
          </w:tcPr>
          <w:p>
            <w:pPr>
              <w:pStyle w:val="TableParagraph"/>
              <w:spacing w:before="0"/>
              <w:ind w:left="98" w:right="292"/>
              <w:rPr>
                <w:rFonts w:ascii="Arial"/>
                <w:sz w:val="24"/>
              </w:rPr>
            </w:pPr>
            <w:r>
              <w:rPr>
                <w:rFonts w:ascii="Arial"/>
                <w:sz w:val="24"/>
              </w:rPr>
              <w:t>Casado</w:t>
            </w:r>
          </w:p>
        </w:tc>
        <w:tc>
          <w:tcPr>
            <w:tcW w:w="1577" w:type="dxa"/>
          </w:tcPr>
          <w:p>
            <w:pPr>
              <w:pStyle w:val="TableParagraph"/>
              <w:spacing w:before="0"/>
              <w:ind w:left="98"/>
              <w:rPr>
                <w:rFonts w:ascii="Arial"/>
                <w:sz w:val="24"/>
              </w:rPr>
            </w:pPr>
            <w:r>
              <w:rPr>
                <w:rFonts w:ascii="Arial"/>
                <w:sz w:val="24"/>
              </w:rPr>
              <w:t>Empleado</w:t>
            </w:r>
          </w:p>
        </w:tc>
        <w:tc>
          <w:tcPr>
            <w:tcW w:w="1496" w:type="dxa"/>
          </w:tcPr>
          <w:p>
            <w:pPr>
              <w:pStyle w:val="TableParagraph"/>
              <w:spacing w:before="0"/>
              <w:ind w:left="98" w:right="245"/>
              <w:rPr>
                <w:rFonts w:ascii="Arial" w:hAnsi="Arial"/>
                <w:sz w:val="24"/>
              </w:rPr>
            </w:pPr>
            <w:r>
              <w:rPr>
                <w:rFonts w:ascii="Arial" w:hAnsi="Arial"/>
                <w:sz w:val="24"/>
              </w:rPr>
              <w:t>Sí</w:t>
            </w:r>
          </w:p>
        </w:tc>
      </w:tr>
      <w:tr>
        <w:trPr>
          <w:trHeight w:val="571" w:hRule="exact"/>
        </w:trPr>
        <w:tc>
          <w:tcPr>
            <w:tcW w:w="1464" w:type="dxa"/>
          </w:tcPr>
          <w:p>
            <w:pPr>
              <w:pStyle w:val="TableParagraph"/>
              <w:spacing w:before="135"/>
              <w:ind w:left="98"/>
              <w:rPr>
                <w:rFonts w:ascii="Arial"/>
                <w:sz w:val="24"/>
              </w:rPr>
            </w:pPr>
            <w:r>
              <w:rPr>
                <w:rFonts w:ascii="Arial"/>
                <w:sz w:val="24"/>
              </w:rPr>
              <w:t>Luz</w:t>
            </w:r>
          </w:p>
        </w:tc>
        <w:tc>
          <w:tcPr>
            <w:tcW w:w="1325" w:type="dxa"/>
          </w:tcPr>
          <w:p>
            <w:pPr>
              <w:pStyle w:val="TableParagraph"/>
              <w:spacing w:before="135"/>
              <w:ind w:right="347"/>
              <w:jc w:val="right"/>
              <w:rPr>
                <w:rFonts w:ascii="Arial" w:hAnsi="Arial"/>
                <w:sz w:val="24"/>
              </w:rPr>
            </w:pPr>
            <w:r>
              <w:rPr>
                <w:rFonts w:ascii="Arial" w:hAnsi="Arial"/>
                <w:sz w:val="24"/>
              </w:rPr>
              <w:t>35 años</w:t>
            </w:r>
          </w:p>
        </w:tc>
        <w:tc>
          <w:tcPr>
            <w:tcW w:w="1646" w:type="dxa"/>
          </w:tcPr>
          <w:p>
            <w:pPr>
              <w:pStyle w:val="TableParagraph"/>
              <w:spacing w:before="135"/>
              <w:ind w:left="98" w:right="161"/>
              <w:rPr>
                <w:rFonts w:ascii="Arial" w:hAnsi="Arial"/>
                <w:sz w:val="24"/>
              </w:rPr>
            </w:pPr>
            <w:r>
              <w:rPr>
                <w:rFonts w:ascii="Arial" w:hAnsi="Arial"/>
                <w:sz w:val="24"/>
              </w:rPr>
              <w:t>El Tephé</w:t>
            </w:r>
          </w:p>
        </w:tc>
        <w:tc>
          <w:tcPr>
            <w:tcW w:w="1440" w:type="dxa"/>
          </w:tcPr>
          <w:p>
            <w:pPr>
              <w:pStyle w:val="TableParagraph"/>
              <w:spacing w:before="135"/>
              <w:ind w:left="98" w:right="292"/>
              <w:rPr>
                <w:rFonts w:ascii="Arial"/>
                <w:sz w:val="24"/>
              </w:rPr>
            </w:pPr>
            <w:r>
              <w:rPr>
                <w:rFonts w:ascii="Arial"/>
                <w:sz w:val="24"/>
              </w:rPr>
              <w:t>Casada</w:t>
            </w:r>
          </w:p>
        </w:tc>
        <w:tc>
          <w:tcPr>
            <w:tcW w:w="1577" w:type="dxa"/>
          </w:tcPr>
          <w:p>
            <w:pPr>
              <w:pStyle w:val="TableParagraph"/>
              <w:spacing w:before="0"/>
              <w:ind w:left="98" w:right="131"/>
              <w:rPr>
                <w:rFonts w:ascii="Arial" w:hAnsi="Arial"/>
                <w:sz w:val="24"/>
              </w:rPr>
            </w:pPr>
            <w:r>
              <w:rPr>
                <w:rFonts w:ascii="Arial" w:hAnsi="Arial"/>
                <w:sz w:val="24"/>
              </w:rPr>
              <w:t>Empleada en tortillería</w:t>
            </w:r>
          </w:p>
        </w:tc>
        <w:tc>
          <w:tcPr>
            <w:tcW w:w="1496" w:type="dxa"/>
          </w:tcPr>
          <w:p>
            <w:pPr>
              <w:pStyle w:val="TableParagraph"/>
              <w:spacing w:before="135"/>
              <w:ind w:left="98" w:right="245"/>
              <w:rPr>
                <w:rFonts w:ascii="Arial"/>
                <w:sz w:val="24"/>
              </w:rPr>
            </w:pPr>
            <w:r>
              <w:rPr>
                <w:rFonts w:ascii="Arial"/>
                <w:sz w:val="24"/>
              </w:rPr>
              <w:t>No</w:t>
            </w:r>
          </w:p>
        </w:tc>
      </w:tr>
    </w:tbl>
    <w:p>
      <w:pPr>
        <w:spacing w:before="0"/>
        <w:ind w:left="122" w:right="0" w:firstLine="0"/>
        <w:jc w:val="both"/>
        <w:rPr>
          <w:rFonts w:ascii="Calibri"/>
          <w:sz w:val="22"/>
        </w:rPr>
      </w:pPr>
      <w:r>
        <w:rPr>
          <w:rFonts w:ascii="Calibri"/>
          <w:b/>
          <w:sz w:val="22"/>
        </w:rPr>
        <w:t>Fuente: </w:t>
      </w:r>
      <w:r>
        <w:rPr>
          <w:rFonts w:ascii="Calibri"/>
          <w:sz w:val="22"/>
        </w:rPr>
        <w:t>Trabajo de campo.</w:t>
      </w:r>
    </w:p>
    <w:p>
      <w:pPr>
        <w:pStyle w:val="BodyText"/>
        <w:rPr>
          <w:rFonts w:ascii="Calibri"/>
          <w:sz w:val="22"/>
        </w:rPr>
      </w:pPr>
    </w:p>
    <w:p>
      <w:pPr>
        <w:pStyle w:val="BodyText"/>
        <w:spacing w:before="12"/>
        <w:rPr>
          <w:rFonts w:ascii="Calibri"/>
          <w:sz w:val="21"/>
        </w:rPr>
      </w:pPr>
    </w:p>
    <w:p>
      <w:pPr>
        <w:pStyle w:val="Heading2"/>
        <w:numPr>
          <w:ilvl w:val="1"/>
          <w:numId w:val="15"/>
        </w:numPr>
        <w:tabs>
          <w:tab w:pos="698" w:val="left" w:leader="none"/>
        </w:tabs>
        <w:spacing w:line="240" w:lineRule="auto" w:before="0" w:after="0"/>
        <w:ind w:left="698" w:right="0" w:hanging="576"/>
        <w:jc w:val="both"/>
      </w:pPr>
      <w:r>
        <w:rPr/>
        <w:t>Características de la</w:t>
      </w:r>
      <w:r>
        <w:rPr>
          <w:spacing w:val="-7"/>
        </w:rPr>
        <w:t> </w:t>
      </w:r>
      <w:r>
        <w:rPr/>
        <w:t>migración</w:t>
      </w:r>
    </w:p>
    <w:p>
      <w:pPr>
        <w:pStyle w:val="BodyText"/>
        <w:spacing w:before="1"/>
        <w:rPr>
          <w:b/>
          <w:sz w:val="26"/>
        </w:rPr>
      </w:pPr>
    </w:p>
    <w:p>
      <w:pPr>
        <w:pStyle w:val="BodyText"/>
        <w:spacing w:line="360" w:lineRule="auto"/>
        <w:ind w:left="122" w:right="238"/>
        <w:jc w:val="both"/>
      </w:pPr>
      <w:r>
        <w:rPr/>
        <w:t>De acuerdo con las entrevistas realizadas la forma de migrar de los habitantes de la comunidad de El Tephé es grupal aproximadamente de 15 personas, la mayoría hombres, en algunas ocasiones acompañados de otros habitantes de las comunidades cercanas, guiados por un coyote hasta la frontera con Estados Unidos.</w:t>
      </w:r>
    </w:p>
    <w:p>
      <w:pPr>
        <w:pStyle w:val="BodyText"/>
        <w:rPr>
          <w:sz w:val="20"/>
        </w:rPr>
      </w:pP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1048;mso-wrap-distance-left:0;mso-wrap-distance-right:0" from="85.103996pt,17.726845pt" to="229.123996pt,17.726845pt" stroked="true" strokeweight=".71997pt" strokecolor="#000000">
            <w10:wrap type="topAndBottom"/>
          </v:line>
        </w:pict>
      </w:r>
    </w:p>
    <w:p>
      <w:pPr>
        <w:spacing w:before="39"/>
        <w:ind w:left="122" w:right="245" w:firstLine="0"/>
        <w:jc w:val="both"/>
        <w:rPr>
          <w:rFonts w:ascii="Calibri" w:hAnsi="Calibri"/>
          <w:sz w:val="20"/>
        </w:rPr>
      </w:pPr>
      <w:r>
        <w:rPr>
          <w:rFonts w:ascii="Calibri" w:hAnsi="Calibri"/>
          <w:position w:val="10"/>
          <w:sz w:val="13"/>
        </w:rPr>
        <w:t>2 </w:t>
      </w:r>
      <w:r>
        <w:rPr>
          <w:rFonts w:ascii="Calibri" w:hAnsi="Calibri"/>
          <w:sz w:val="20"/>
        </w:rPr>
        <w:t>Para efectos de confidencialidad, los nombres originales de los informantes han sido sustituidos por pseudónimos.</w:t>
      </w:r>
    </w:p>
    <w:p>
      <w:pPr>
        <w:spacing w:line="244" w:lineRule="exact" w:before="0"/>
        <w:ind w:left="122" w:right="0" w:firstLine="0"/>
        <w:jc w:val="both"/>
        <w:rPr>
          <w:rFonts w:ascii="Calibri"/>
          <w:sz w:val="20"/>
        </w:rPr>
      </w:pPr>
      <w:r>
        <w:rPr>
          <w:rFonts w:ascii="Calibri"/>
          <w:position w:val="10"/>
          <w:sz w:val="13"/>
        </w:rPr>
        <w:t>3  </w:t>
      </w:r>
      <w:r>
        <w:rPr>
          <w:rFonts w:ascii="Calibri"/>
          <w:sz w:val="20"/>
        </w:rPr>
        <w:t>En el municipio de Ixmiquilpan el nombre </w:t>
      </w:r>
      <w:r>
        <w:rPr>
          <w:rFonts w:ascii="Calibri"/>
          <w:i/>
          <w:sz w:val="20"/>
        </w:rPr>
        <w:t>coyote </w:t>
      </w:r>
      <w:r>
        <w:rPr>
          <w:rFonts w:ascii="Calibri"/>
          <w:sz w:val="20"/>
        </w:rPr>
        <w:t>hace referencia a dos situaciones. La primera como a</w:t>
      </w:r>
    </w:p>
    <w:p>
      <w:pPr>
        <w:spacing w:before="0"/>
        <w:ind w:left="122" w:right="234" w:firstLine="0"/>
        <w:jc w:val="both"/>
        <w:rPr>
          <w:rFonts w:ascii="Calibri" w:hAnsi="Calibri"/>
          <w:sz w:val="20"/>
        </w:rPr>
      </w:pPr>
      <w:r>
        <w:rPr>
          <w:rFonts w:ascii="Calibri" w:hAnsi="Calibri"/>
          <w:sz w:val="20"/>
        </w:rPr>
        <w:t>aquel individuo que pasa personas a Estados Unidos y la segunda como aquella persona que se dedica a la compra - venta de fruta y verduras en el municipio de Ixmiquilpan. En este caso la palabra </w:t>
      </w:r>
      <w:r>
        <w:rPr>
          <w:rFonts w:ascii="Calibri" w:hAnsi="Calibri"/>
          <w:i/>
          <w:sz w:val="20"/>
        </w:rPr>
        <w:t>coyote </w:t>
      </w:r>
      <w:r>
        <w:rPr>
          <w:rFonts w:ascii="Calibri" w:hAnsi="Calibri"/>
          <w:sz w:val="20"/>
        </w:rPr>
        <w:t>hace referencia a la segunda noción.</w:t>
      </w:r>
    </w:p>
    <w:p>
      <w:pPr>
        <w:spacing w:after="0"/>
        <w:jc w:val="both"/>
        <w:rPr>
          <w:rFonts w:ascii="Calibri" w:hAnsi="Calibri"/>
          <w:sz w:val="20"/>
        </w:rPr>
        <w:sectPr>
          <w:pgSz w:w="12240" w:h="15840"/>
          <w:pgMar w:header="0" w:footer="1003" w:top="1360" w:bottom="1200" w:left="1580" w:right="1460"/>
        </w:sectPr>
      </w:pPr>
    </w:p>
    <w:p>
      <w:pPr>
        <w:pStyle w:val="BodyText"/>
        <w:spacing w:line="362" w:lineRule="auto" w:before="54"/>
        <w:ind w:left="102" w:right="117"/>
        <w:jc w:val="both"/>
      </w:pPr>
      <w:r>
        <w:rPr/>
        <w:t>El fenómeno de la migración en El Tephé tiene sus orígenes en las primeras personas que migraron hace diez años, por la escasez de trabajo.</w:t>
      </w:r>
    </w:p>
    <w:p>
      <w:pPr>
        <w:pStyle w:val="BodyText"/>
        <w:spacing w:line="360" w:lineRule="auto" w:before="201"/>
        <w:ind w:left="102" w:right="116"/>
        <w:jc w:val="both"/>
      </w:pPr>
      <w:r>
        <w:rPr/>
        <w:t>Los entrevistados señalaron que aquellas personas que deciden regresar lo hacen por aburrimiento y por nostalgia. Señalan que al establecerse en Estados Unidos no pueden salir a las calles y si lo hacen es para comprar lo necesario, los niños no pueden jugar en los parques, es cuando mencionan que la vida se hace monótona, aburrida y es cuando la nostalgia se hace presente y deciden regresar  a la</w:t>
      </w:r>
      <w:r>
        <w:rPr>
          <w:spacing w:val="-3"/>
        </w:rPr>
        <w:t> </w:t>
      </w:r>
      <w:r>
        <w:rPr/>
        <w:t>comunidad.</w:t>
      </w:r>
    </w:p>
    <w:p>
      <w:pPr>
        <w:pStyle w:val="BodyText"/>
        <w:spacing w:line="360" w:lineRule="auto" w:before="205"/>
        <w:ind w:left="102" w:right="117"/>
        <w:jc w:val="both"/>
      </w:pPr>
      <w:r>
        <w:rPr/>
        <w:t>Los migrantes retornan en la fiesta patronal (15 de agosto), en el mes de noviembre y diciembre y regresan a Estados Unidos en  enero.  Algunos  migrantes visitan la comunidad dos veces al año y señalan que los deseos </w:t>
      </w:r>
      <w:r>
        <w:rPr>
          <w:spacing w:val="-2"/>
        </w:rPr>
        <w:t>que </w:t>
      </w:r>
      <w:r>
        <w:rPr/>
        <w:t>tienen es ver a sus familiares, convivir, salir a pasear y  comer lo</w:t>
      </w:r>
      <w:r>
        <w:rPr>
          <w:spacing w:val="-19"/>
        </w:rPr>
        <w:t> </w:t>
      </w:r>
      <w:r>
        <w:rPr/>
        <w:t>tradicional.</w:t>
      </w:r>
    </w:p>
    <w:p>
      <w:pPr>
        <w:pStyle w:val="BodyText"/>
        <w:spacing w:line="360" w:lineRule="auto" w:before="204"/>
        <w:ind w:left="102" w:right="123"/>
        <w:jc w:val="both"/>
      </w:pPr>
      <w:r>
        <w:rPr/>
        <w:t>Como algunas investigaciones han señalado previamente (Mendoza y Leal, 2010) el turismo puede contribuir a un cambio desde la perspectiva cultural. En el caso de la comunidad El Tephé, de acuerdo con la información de los entrevistados, el turismo de nostalgia ha mostrado algunos impactos en algunas costumbres de sus habitantes. Particularmente, los impactos de este tipo de turismo en la comunidad estudiada se han manifestado principalmente en cuatro aspectos: la vivienda, el lenguaje, la vestimenta y la</w:t>
      </w:r>
      <w:r>
        <w:rPr>
          <w:spacing w:val="-7"/>
        </w:rPr>
        <w:t> </w:t>
      </w:r>
      <w:r>
        <w:rPr/>
        <w:t>gastronomía.</w:t>
      </w:r>
    </w:p>
    <w:p>
      <w:pPr>
        <w:pStyle w:val="BodyText"/>
        <w:spacing w:line="360" w:lineRule="auto" w:before="204"/>
        <w:ind w:left="102" w:right="112"/>
        <w:jc w:val="both"/>
      </w:pPr>
      <w:r>
        <w:rPr/>
        <w:t>De acuerdo a las entrevistas podemos señalar que esto se debe a que los turistas nostálgicos (residentes en Estados Unidos) van apropiándose de algunos  aspectos del modo de vida norteamericano (esto se debe a la adaptación), y que estos acostumbrados al modo de vida de Estados Unidos adoptan ciertos patrones que hacen parte de su vida cotidiana y cuando llegan a su comunidad de origen y quieren representar su estilo de vida en el país</w:t>
      </w:r>
      <w:r>
        <w:rPr>
          <w:spacing w:val="-16"/>
        </w:rPr>
        <w:t> </w:t>
      </w:r>
      <w:r>
        <w:rPr/>
        <w:t>receptor.</w:t>
      </w:r>
    </w:p>
    <w:p>
      <w:pPr>
        <w:pStyle w:val="BodyText"/>
        <w:spacing w:line="360" w:lineRule="auto" w:before="204"/>
        <w:ind w:left="102" w:right="118"/>
        <w:jc w:val="both"/>
      </w:pPr>
      <w:r>
        <w:rPr/>
        <w:t>Asimismo existen otros cambios relevantes dentro de la comunidad. Todos estos se describen a continuación.</w:t>
      </w:r>
    </w:p>
    <w:p>
      <w:pPr>
        <w:spacing w:after="0" w:line="360" w:lineRule="auto"/>
        <w:jc w:val="both"/>
        <w:sectPr>
          <w:pgSz w:w="12240" w:h="15840"/>
          <w:pgMar w:header="0" w:footer="1003" w:top="1360" w:bottom="1200" w:left="1600" w:right="1580"/>
        </w:sectPr>
      </w:pPr>
    </w:p>
    <w:p>
      <w:pPr>
        <w:pStyle w:val="Heading2"/>
        <w:numPr>
          <w:ilvl w:val="1"/>
          <w:numId w:val="16"/>
        </w:numPr>
        <w:tabs>
          <w:tab w:pos="822" w:val="left" w:leader="none"/>
        </w:tabs>
        <w:spacing w:line="240" w:lineRule="auto" w:before="52" w:after="0"/>
        <w:ind w:left="822" w:right="0" w:hanging="720"/>
        <w:jc w:val="both"/>
      </w:pPr>
      <w:bookmarkStart w:name="_TOC_250004" w:id="34"/>
      <w:r>
        <w:rPr/>
        <w:t>Cambios en la</w:t>
      </w:r>
      <w:r>
        <w:rPr>
          <w:spacing w:val="-5"/>
        </w:rPr>
        <w:t> </w:t>
      </w:r>
      <w:bookmarkEnd w:id="34"/>
      <w:r>
        <w:rPr/>
        <w:t>vivienda</w:t>
      </w:r>
    </w:p>
    <w:p>
      <w:pPr>
        <w:pStyle w:val="BodyText"/>
        <w:spacing w:before="4"/>
        <w:rPr>
          <w:b/>
          <w:sz w:val="26"/>
        </w:rPr>
      </w:pPr>
    </w:p>
    <w:p>
      <w:pPr>
        <w:pStyle w:val="BodyText"/>
        <w:spacing w:line="360" w:lineRule="auto"/>
        <w:ind w:left="102" w:right="118"/>
        <w:jc w:val="both"/>
      </w:pPr>
      <w:r>
        <w:rPr/>
        <w:t>La práctica del turismo de nostalgia ha contribuido al cambio en la construcción de vivienda. Esta situación se observa principalmente en el material que ocupan para dicho fin, anteriormente las casas se construían con adobe, eran  pequeñas,  tenían cocina de humo y en algunas ocasiones el baño estaba fuera de la casa.  En la actualidad las casas se diseñan incorporando elementos como: chimenea, cuarto de lavado, garaje, cuarto para cada integrante de la casa y cuarto para estudio.</w:t>
      </w:r>
    </w:p>
    <w:p>
      <w:pPr>
        <w:pStyle w:val="BodyText"/>
        <w:spacing w:before="205"/>
        <w:ind w:left="102"/>
        <w:jc w:val="both"/>
      </w:pPr>
      <w:r>
        <w:rPr/>
        <w:t>Al respecto una entrevistada comentó:</w:t>
      </w:r>
    </w:p>
    <w:p>
      <w:pPr>
        <w:pStyle w:val="BodyText"/>
        <w:spacing w:before="2"/>
        <w:rPr>
          <w:sz w:val="29"/>
        </w:rPr>
      </w:pPr>
    </w:p>
    <w:p>
      <w:pPr>
        <w:spacing w:line="360" w:lineRule="auto" w:before="0"/>
        <w:ind w:left="745" w:right="116" w:firstLine="0"/>
        <w:jc w:val="both"/>
        <w:rPr>
          <w:sz w:val="24"/>
        </w:rPr>
      </w:pPr>
      <w:r>
        <w:rPr>
          <w:i/>
          <w:sz w:val="24"/>
        </w:rPr>
        <w:t>“Ah, pues anteriormente las personas construían con material, por ejemplo </w:t>
      </w:r>
      <w:r>
        <w:rPr>
          <w:i/>
          <w:sz w:val="24"/>
        </w:rPr>
        <w:t>ladrillo o adobe, pero cuando empezaron a irse, ellos (los migrantes) querían su casa mejor y empezaron a hacer sus casas muy grandes, de ventanas muy grandes, de dos pisos, con cocinas grandes y ya utilizan lo que le llaman el tabicón y pues, si se da cuenta, la mayoría (las casas) está en  obra negra o sí las habitan pero no están pintadas por fuera, por lo mismo  de que están bien grandes”  </w:t>
      </w:r>
      <w:r>
        <w:rPr>
          <w:sz w:val="24"/>
        </w:rPr>
        <w:t>(Juanita, 58 años) (Ver Fotografía</w:t>
      </w:r>
      <w:r>
        <w:rPr>
          <w:spacing w:val="-22"/>
          <w:sz w:val="24"/>
        </w:rPr>
        <w:t> </w:t>
      </w:r>
      <w:r>
        <w:rPr>
          <w:sz w:val="24"/>
        </w:rPr>
        <w:t>1).</w:t>
      </w:r>
    </w:p>
    <w:p>
      <w:pPr>
        <w:pStyle w:val="BodyText"/>
        <w:rPr>
          <w:sz w:val="20"/>
        </w:rPr>
      </w:pPr>
    </w:p>
    <w:p>
      <w:pPr>
        <w:pStyle w:val="BodyText"/>
        <w:rPr>
          <w:sz w:val="20"/>
        </w:rPr>
      </w:pPr>
    </w:p>
    <w:p>
      <w:pPr>
        <w:pStyle w:val="BodyText"/>
        <w:spacing w:before="2"/>
        <w:rPr>
          <w:sz w:val="29"/>
        </w:rPr>
      </w:pPr>
      <w:r>
        <w:rPr/>
        <w:drawing>
          <wp:anchor distT="0" distB="0" distL="0" distR="0" allowOverlap="1" layoutInCell="1" locked="0" behindDoc="0" simplePos="0" relativeHeight="1072">
            <wp:simplePos x="0" y="0"/>
            <wp:positionH relativeFrom="page">
              <wp:posOffset>2623820</wp:posOffset>
            </wp:positionH>
            <wp:positionV relativeFrom="paragraph">
              <wp:posOffset>238326</wp:posOffset>
            </wp:positionV>
            <wp:extent cx="2947222" cy="2078736"/>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6" cstate="print"/>
                    <a:stretch>
                      <a:fillRect/>
                    </a:stretch>
                  </pic:blipFill>
                  <pic:spPr>
                    <a:xfrm>
                      <a:off x="0" y="0"/>
                      <a:ext cx="2947222" cy="2078736"/>
                    </a:xfrm>
                    <a:prstGeom prst="rect">
                      <a:avLst/>
                    </a:prstGeom>
                  </pic:spPr>
                </pic:pic>
              </a:graphicData>
            </a:graphic>
          </wp:anchor>
        </w:drawing>
      </w:r>
    </w:p>
    <w:p>
      <w:pPr>
        <w:spacing w:before="81"/>
        <w:ind w:left="2290" w:right="0" w:firstLine="0"/>
        <w:jc w:val="left"/>
        <w:rPr>
          <w:rFonts w:ascii="Calibri" w:hAnsi="Calibri"/>
          <w:b/>
          <w:sz w:val="18"/>
        </w:rPr>
      </w:pPr>
      <w:bookmarkStart w:name="_bookmark15" w:id="35"/>
      <w:bookmarkEnd w:id="35"/>
      <w:r>
        <w:rPr/>
      </w:r>
      <w:r>
        <w:rPr>
          <w:rFonts w:ascii="Calibri" w:hAnsi="Calibri"/>
          <w:b/>
          <w:sz w:val="18"/>
        </w:rPr>
        <w:t>Fotografía 1. Vivienda típica El Tephé (Foto tomada por THM, 2013)</w:t>
      </w:r>
    </w:p>
    <w:p>
      <w:pPr>
        <w:spacing w:after="0"/>
        <w:jc w:val="left"/>
        <w:rPr>
          <w:rFonts w:ascii="Calibri" w:hAnsi="Calibri"/>
          <w:sz w:val="18"/>
        </w:rPr>
        <w:sectPr>
          <w:pgSz w:w="12240" w:h="15840"/>
          <w:pgMar w:header="0" w:footer="1003" w:top="1360" w:bottom="1200" w:left="1600" w:right="1580"/>
        </w:sectPr>
      </w:pPr>
    </w:p>
    <w:p>
      <w:pPr>
        <w:pStyle w:val="BodyText"/>
        <w:spacing w:before="54"/>
        <w:ind w:left="102"/>
      </w:pPr>
      <w:r>
        <w:rPr/>
        <w:t>Otros entrevistados comentaron:</w:t>
      </w:r>
    </w:p>
    <w:p>
      <w:pPr>
        <w:pStyle w:val="BodyText"/>
      </w:pPr>
    </w:p>
    <w:p>
      <w:pPr>
        <w:pStyle w:val="BodyText"/>
        <w:spacing w:before="9"/>
        <w:rPr>
          <w:sz w:val="23"/>
        </w:rPr>
      </w:pPr>
    </w:p>
    <w:p>
      <w:pPr>
        <w:spacing w:line="360" w:lineRule="auto" w:before="0"/>
        <w:ind w:left="745" w:right="119" w:firstLine="0"/>
        <w:jc w:val="both"/>
        <w:rPr>
          <w:sz w:val="24"/>
        </w:rPr>
      </w:pPr>
      <w:r>
        <w:rPr>
          <w:i/>
          <w:sz w:val="24"/>
        </w:rPr>
        <w:t>“Pues ya no quieren hacer casas normales, ya quieren hacer como las </w:t>
      </w:r>
      <w:r>
        <w:rPr>
          <w:i/>
          <w:sz w:val="24"/>
        </w:rPr>
        <w:t>casas de Estados Unidos, grandes y los diseños, ya en tiempo de frío queremos calefacción, en tiempo de calor también se mal acostumbra uno” (</w:t>
      </w:r>
      <w:r>
        <w:rPr>
          <w:sz w:val="24"/>
        </w:rPr>
        <w:t>Esther, 35 años) (Ver fotografía</w:t>
      </w:r>
      <w:r>
        <w:rPr>
          <w:spacing w:val="-9"/>
          <w:sz w:val="24"/>
        </w:rPr>
        <w:t> </w:t>
      </w:r>
      <w:r>
        <w:rPr>
          <w:sz w:val="24"/>
        </w:rPr>
        <w:t>2).</w:t>
      </w:r>
    </w:p>
    <w:p>
      <w:pPr>
        <w:pStyle w:val="BodyText"/>
        <w:rPr>
          <w:sz w:val="20"/>
        </w:rPr>
      </w:pPr>
    </w:p>
    <w:p>
      <w:pPr>
        <w:pStyle w:val="BodyText"/>
        <w:spacing w:before="3"/>
        <w:rPr>
          <w:sz w:val="13"/>
        </w:rPr>
      </w:pPr>
      <w:r>
        <w:rPr/>
        <w:drawing>
          <wp:anchor distT="0" distB="0" distL="0" distR="0" allowOverlap="1" layoutInCell="1" locked="0" behindDoc="0" simplePos="0" relativeHeight="1096">
            <wp:simplePos x="0" y="0"/>
            <wp:positionH relativeFrom="page">
              <wp:posOffset>2267204</wp:posOffset>
            </wp:positionH>
            <wp:positionV relativeFrom="paragraph">
              <wp:posOffset>121855</wp:posOffset>
            </wp:positionV>
            <wp:extent cx="3680877" cy="2757678"/>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7" cstate="print"/>
                    <a:stretch>
                      <a:fillRect/>
                    </a:stretch>
                  </pic:blipFill>
                  <pic:spPr>
                    <a:xfrm>
                      <a:off x="0" y="0"/>
                      <a:ext cx="3680877" cy="2757678"/>
                    </a:xfrm>
                    <a:prstGeom prst="rect">
                      <a:avLst/>
                    </a:prstGeom>
                  </pic:spPr>
                </pic:pic>
              </a:graphicData>
            </a:graphic>
          </wp:anchor>
        </w:drawing>
      </w:r>
    </w:p>
    <w:p>
      <w:pPr>
        <w:spacing w:before="66"/>
        <w:ind w:left="3424" w:right="0" w:hanging="3227"/>
        <w:jc w:val="left"/>
        <w:rPr>
          <w:rFonts w:ascii="Calibri" w:hAnsi="Calibri"/>
          <w:b/>
          <w:sz w:val="18"/>
        </w:rPr>
      </w:pPr>
      <w:bookmarkStart w:name="_bookmark16" w:id="36"/>
      <w:bookmarkEnd w:id="36"/>
      <w:r>
        <w:rPr/>
      </w:r>
      <w:r>
        <w:rPr>
          <w:rFonts w:ascii="Calibri" w:hAnsi="Calibri"/>
          <w:b/>
          <w:sz w:val="18"/>
        </w:rPr>
        <w:t>Fotografía 2. El estilo y el tamaño de las viviendas se han transformado como consecuencia del turismo de nostalgia (foto tomada por THM, 2012)</w:t>
      </w: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spacing w:line="360" w:lineRule="auto" w:before="146"/>
        <w:ind w:left="745" w:right="114" w:firstLine="0"/>
        <w:jc w:val="both"/>
        <w:rPr>
          <w:sz w:val="24"/>
        </w:rPr>
      </w:pPr>
      <w:r>
        <w:rPr>
          <w:i/>
          <w:sz w:val="24"/>
        </w:rPr>
        <w:t>“Ah, pues mire yo en eso sí le sé poco pero le sé, porque luego cuando </w:t>
      </w:r>
      <w:r>
        <w:rPr>
          <w:i/>
          <w:sz w:val="24"/>
        </w:rPr>
        <w:t>estoy por acá pues me dedico a la construcción, los materiales para alzar bardas pues ese no cambia es arena, grava y cemento, pero eso sí cuando se detalla la casa sí cambia por ejemplo pues la casa tiene chimenea, un recibidor, un cuarto de estudio que le llaman, un cuarto de lavar y bueno las ventanas ya son de aluminio, ya sea negro o blanco, pero más blanco, el piso ya es de loseta o de mármol, ya no es de vinil, pero lo malo de tan grandes las casas las mayoría están en obra negra” </w:t>
      </w:r>
      <w:r>
        <w:rPr>
          <w:sz w:val="24"/>
        </w:rPr>
        <w:t>(Víctor, 65 años) (Ver Fotografías 3 y</w:t>
      </w:r>
      <w:r>
        <w:rPr>
          <w:spacing w:val="-6"/>
          <w:sz w:val="24"/>
        </w:rPr>
        <w:t> </w:t>
      </w:r>
      <w:r>
        <w:rPr>
          <w:sz w:val="24"/>
        </w:rPr>
        <w:t>4).</w:t>
      </w:r>
    </w:p>
    <w:p>
      <w:pPr>
        <w:spacing w:after="0" w:line="360" w:lineRule="auto"/>
        <w:jc w:val="both"/>
        <w:rPr>
          <w:sz w:val="24"/>
        </w:rPr>
        <w:sectPr>
          <w:pgSz w:w="12240" w:h="15840"/>
          <w:pgMar w:header="0" w:footer="1003" w:top="1360" w:bottom="1200" w:left="1600" w:right="1580"/>
        </w:sectPr>
      </w:pPr>
    </w:p>
    <w:p>
      <w:pPr>
        <w:pStyle w:val="BodyText"/>
        <w:rPr>
          <w:sz w:val="20"/>
        </w:rPr>
      </w:pPr>
    </w:p>
    <w:p>
      <w:pPr>
        <w:pStyle w:val="BodyText"/>
        <w:rPr>
          <w:sz w:val="20"/>
        </w:rPr>
      </w:pPr>
    </w:p>
    <w:p>
      <w:pPr>
        <w:pStyle w:val="BodyText"/>
        <w:spacing w:before="9"/>
      </w:pPr>
    </w:p>
    <w:p>
      <w:pPr>
        <w:pStyle w:val="BodyText"/>
        <w:ind w:left="1107"/>
        <w:rPr>
          <w:sz w:val="20"/>
        </w:rPr>
      </w:pPr>
      <w:r>
        <w:rPr>
          <w:sz w:val="20"/>
        </w:rPr>
        <w:drawing>
          <wp:inline distT="0" distB="0" distL="0" distR="0">
            <wp:extent cx="4544364" cy="3405282"/>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8" cstate="print"/>
                    <a:stretch>
                      <a:fillRect/>
                    </a:stretch>
                  </pic:blipFill>
                  <pic:spPr>
                    <a:xfrm>
                      <a:off x="0" y="0"/>
                      <a:ext cx="4544364" cy="3405282"/>
                    </a:xfrm>
                    <a:prstGeom prst="rect">
                      <a:avLst/>
                    </a:prstGeom>
                  </pic:spPr>
                </pic:pic>
              </a:graphicData>
            </a:graphic>
          </wp:inline>
        </w:drawing>
      </w:r>
      <w:r>
        <w:rPr>
          <w:sz w:val="20"/>
        </w:rPr>
      </w:r>
    </w:p>
    <w:p>
      <w:pPr>
        <w:pStyle w:val="BodyText"/>
        <w:spacing w:before="8"/>
        <w:rPr>
          <w:sz w:val="15"/>
        </w:rPr>
      </w:pPr>
    </w:p>
    <w:p>
      <w:pPr>
        <w:spacing w:before="64"/>
        <w:ind w:left="2166" w:right="0" w:hanging="80"/>
        <w:jc w:val="left"/>
        <w:rPr>
          <w:rFonts w:ascii="Calibri" w:hAnsi="Calibri"/>
          <w:b/>
          <w:sz w:val="18"/>
        </w:rPr>
      </w:pPr>
      <w:bookmarkStart w:name="_bookmark17" w:id="37"/>
      <w:bookmarkEnd w:id="37"/>
      <w:r>
        <w:rPr/>
      </w:r>
      <w:r>
        <w:rPr>
          <w:rFonts w:ascii="Calibri" w:hAnsi="Calibri"/>
          <w:b/>
          <w:sz w:val="18"/>
        </w:rPr>
        <w:t>Fotografía 3. Vivienda estilo americano (foto tomada por THM, 2012)</w:t>
      </w:r>
    </w:p>
    <w:p>
      <w:pPr>
        <w:pStyle w:val="BodyText"/>
        <w:spacing w:before="2"/>
        <w:rPr>
          <w:rFonts w:ascii="Calibri"/>
          <w:b/>
          <w:sz w:val="13"/>
        </w:rPr>
      </w:pPr>
      <w:r>
        <w:rPr/>
        <w:drawing>
          <wp:anchor distT="0" distB="0" distL="0" distR="0" allowOverlap="1" layoutInCell="1" locked="0" behindDoc="0" simplePos="0" relativeHeight="1120">
            <wp:simplePos x="0" y="0"/>
            <wp:positionH relativeFrom="page">
              <wp:posOffset>1810004</wp:posOffset>
            </wp:positionH>
            <wp:positionV relativeFrom="paragraph">
              <wp:posOffset>127165</wp:posOffset>
            </wp:positionV>
            <wp:extent cx="4531769" cy="2756916"/>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9" cstate="print"/>
                    <a:stretch>
                      <a:fillRect/>
                    </a:stretch>
                  </pic:blipFill>
                  <pic:spPr>
                    <a:xfrm>
                      <a:off x="0" y="0"/>
                      <a:ext cx="4531769" cy="2756916"/>
                    </a:xfrm>
                    <a:prstGeom prst="rect">
                      <a:avLst/>
                    </a:prstGeom>
                  </pic:spPr>
                </pic:pic>
              </a:graphicData>
            </a:graphic>
          </wp:anchor>
        </w:drawing>
      </w:r>
    </w:p>
    <w:p>
      <w:pPr>
        <w:spacing w:before="145"/>
        <w:ind w:left="2166" w:right="0" w:firstLine="0"/>
        <w:jc w:val="left"/>
        <w:rPr>
          <w:rFonts w:ascii="Calibri" w:hAnsi="Calibri"/>
          <w:b/>
          <w:sz w:val="18"/>
        </w:rPr>
      </w:pPr>
      <w:bookmarkStart w:name="_bookmark18" w:id="38"/>
      <w:bookmarkEnd w:id="38"/>
      <w:r>
        <w:rPr/>
      </w:r>
      <w:r>
        <w:rPr>
          <w:rFonts w:ascii="Calibri" w:hAnsi="Calibri"/>
          <w:b/>
          <w:sz w:val="18"/>
        </w:rPr>
        <w:t>Fotografía 4. Vivienda en obra negra (foto tomada por THM, 2012)</w:t>
      </w:r>
    </w:p>
    <w:p>
      <w:pPr>
        <w:spacing w:after="0"/>
        <w:jc w:val="left"/>
        <w:rPr>
          <w:rFonts w:ascii="Calibri" w:hAnsi="Calibri"/>
          <w:sz w:val="18"/>
        </w:rPr>
        <w:sectPr>
          <w:pgSz w:w="12240" w:h="15840"/>
          <w:pgMar w:header="0" w:footer="1003" w:top="1500" w:bottom="1200" w:left="1720" w:right="1580"/>
        </w:sectPr>
      </w:pPr>
    </w:p>
    <w:p>
      <w:pPr>
        <w:pStyle w:val="BodyText"/>
        <w:spacing w:before="54"/>
        <w:ind w:left="102"/>
      </w:pPr>
      <w:r>
        <w:rPr/>
        <w:t>En el mismo sentido, otro entrevistado comentó:</w:t>
      </w:r>
    </w:p>
    <w:p>
      <w:pPr>
        <w:pStyle w:val="BodyText"/>
      </w:pPr>
    </w:p>
    <w:p>
      <w:pPr>
        <w:pStyle w:val="BodyText"/>
        <w:spacing w:before="9"/>
        <w:rPr>
          <w:sz w:val="23"/>
        </w:rPr>
      </w:pPr>
    </w:p>
    <w:p>
      <w:pPr>
        <w:spacing w:line="360" w:lineRule="auto" w:before="0"/>
        <w:ind w:left="745" w:right="121" w:firstLine="0"/>
        <w:jc w:val="both"/>
        <w:rPr>
          <w:sz w:val="24"/>
        </w:rPr>
      </w:pPr>
      <w:r>
        <w:rPr>
          <w:i/>
          <w:sz w:val="24"/>
        </w:rPr>
        <w:t>“Pues ya no las hacen chiquitas, bueno los que viven allá, acá sus familiares </w:t>
      </w:r>
      <w:r>
        <w:rPr>
          <w:i/>
          <w:sz w:val="24"/>
        </w:rPr>
        <w:t>las hacen a como dicen ellos, y de los materiales pues yo veo que ya no ocupan tabique, ocupan tabicón, las ventanas son grandes y de vidrios oscuros de aluminio, algunas tienen chimenea, las puertas de la entrada son de madera, el techo es de dos aguas y dicen que algunas hasta el jacuzzi tienen, pero aquí en El Tephé pocas son las casas que están habitadas, la mayoría están en obra negra” </w:t>
      </w:r>
      <w:r>
        <w:rPr>
          <w:sz w:val="24"/>
        </w:rPr>
        <w:t>(Esther, 35 años) (Ver fotografía 5 y 6).</w:t>
      </w:r>
    </w:p>
    <w:p>
      <w:pPr>
        <w:pStyle w:val="BodyText"/>
        <w:rPr>
          <w:sz w:val="20"/>
        </w:rPr>
      </w:pPr>
    </w:p>
    <w:p>
      <w:pPr>
        <w:pStyle w:val="BodyText"/>
        <w:spacing w:before="4"/>
        <w:rPr>
          <w:sz w:val="13"/>
        </w:rPr>
      </w:pPr>
      <w:r>
        <w:rPr/>
        <w:drawing>
          <wp:anchor distT="0" distB="0" distL="0" distR="0" allowOverlap="1" layoutInCell="1" locked="0" behindDoc="0" simplePos="0" relativeHeight="1144">
            <wp:simplePos x="0" y="0"/>
            <wp:positionH relativeFrom="page">
              <wp:posOffset>2247900</wp:posOffset>
            </wp:positionH>
            <wp:positionV relativeFrom="paragraph">
              <wp:posOffset>122235</wp:posOffset>
            </wp:positionV>
            <wp:extent cx="3554771" cy="2310003"/>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0" cstate="print"/>
                    <a:stretch>
                      <a:fillRect/>
                    </a:stretch>
                  </pic:blipFill>
                  <pic:spPr>
                    <a:xfrm>
                      <a:off x="0" y="0"/>
                      <a:ext cx="3554771" cy="2310003"/>
                    </a:xfrm>
                    <a:prstGeom prst="rect">
                      <a:avLst/>
                    </a:prstGeom>
                  </pic:spPr>
                </pic:pic>
              </a:graphicData>
            </a:graphic>
          </wp:anchor>
        </w:drawing>
      </w:r>
    </w:p>
    <w:p>
      <w:pPr>
        <w:spacing w:before="134"/>
        <w:ind w:left="2398" w:right="0" w:hanging="195"/>
        <w:jc w:val="left"/>
        <w:rPr>
          <w:rFonts w:ascii="Calibri" w:hAnsi="Calibri"/>
          <w:b/>
          <w:sz w:val="18"/>
        </w:rPr>
      </w:pPr>
      <w:bookmarkStart w:name="_bookmark19" w:id="39"/>
      <w:bookmarkEnd w:id="39"/>
      <w:r>
        <w:rPr/>
      </w:r>
      <w:r>
        <w:rPr>
          <w:rFonts w:ascii="Calibri" w:hAnsi="Calibri"/>
          <w:b/>
          <w:sz w:val="18"/>
        </w:rPr>
        <w:t>Fotografía 5. Vivienda en obra negra (foto tomada por THM, 2012)</w:t>
      </w:r>
    </w:p>
    <w:p>
      <w:pPr>
        <w:pStyle w:val="BodyText"/>
        <w:rPr>
          <w:rFonts w:ascii="Calibri"/>
          <w:b/>
          <w:sz w:val="20"/>
        </w:rPr>
      </w:pPr>
    </w:p>
    <w:p>
      <w:pPr>
        <w:pStyle w:val="BodyText"/>
        <w:rPr>
          <w:rFonts w:ascii="Calibri"/>
          <w:b/>
          <w:sz w:val="20"/>
        </w:rPr>
      </w:pPr>
    </w:p>
    <w:p>
      <w:pPr>
        <w:pStyle w:val="BodyText"/>
        <w:spacing w:before="10"/>
        <w:rPr>
          <w:rFonts w:ascii="Calibri"/>
          <w:b/>
          <w:sz w:val="14"/>
        </w:rPr>
      </w:pPr>
      <w:r>
        <w:rPr/>
        <w:drawing>
          <wp:anchor distT="0" distB="0" distL="0" distR="0" allowOverlap="1" layoutInCell="1" locked="0" behindDoc="0" simplePos="0" relativeHeight="1168">
            <wp:simplePos x="0" y="0"/>
            <wp:positionH relativeFrom="page">
              <wp:posOffset>2271395</wp:posOffset>
            </wp:positionH>
            <wp:positionV relativeFrom="paragraph">
              <wp:posOffset>139940</wp:posOffset>
            </wp:positionV>
            <wp:extent cx="3620869" cy="2244471"/>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1" cstate="print"/>
                    <a:stretch>
                      <a:fillRect/>
                    </a:stretch>
                  </pic:blipFill>
                  <pic:spPr>
                    <a:xfrm>
                      <a:off x="0" y="0"/>
                      <a:ext cx="3620869" cy="2244471"/>
                    </a:xfrm>
                    <a:prstGeom prst="rect">
                      <a:avLst/>
                    </a:prstGeom>
                  </pic:spPr>
                </pic:pic>
              </a:graphicData>
            </a:graphic>
          </wp:anchor>
        </w:drawing>
      </w:r>
    </w:p>
    <w:p>
      <w:pPr>
        <w:pStyle w:val="BodyText"/>
        <w:spacing w:before="7"/>
        <w:rPr>
          <w:rFonts w:ascii="Calibri"/>
          <w:b/>
          <w:sz w:val="18"/>
        </w:rPr>
      </w:pPr>
    </w:p>
    <w:p>
      <w:pPr>
        <w:spacing w:before="0"/>
        <w:ind w:left="2398" w:right="0" w:firstLine="0"/>
        <w:jc w:val="left"/>
        <w:rPr>
          <w:rFonts w:ascii="Calibri" w:hAnsi="Calibri"/>
          <w:b/>
          <w:sz w:val="18"/>
        </w:rPr>
      </w:pPr>
      <w:bookmarkStart w:name="_bookmark20" w:id="40"/>
      <w:bookmarkEnd w:id="40"/>
      <w:r>
        <w:rPr/>
      </w:r>
      <w:r>
        <w:rPr>
          <w:rFonts w:ascii="Calibri" w:hAnsi="Calibri"/>
          <w:b/>
          <w:sz w:val="18"/>
        </w:rPr>
        <w:t>Fotografía 6. Vivienda desocupada (foto tomada por THM, 2012)</w:t>
      </w:r>
    </w:p>
    <w:p>
      <w:pPr>
        <w:spacing w:after="0"/>
        <w:jc w:val="left"/>
        <w:rPr>
          <w:rFonts w:ascii="Calibri" w:hAnsi="Calibri"/>
          <w:sz w:val="18"/>
        </w:rPr>
        <w:sectPr>
          <w:pgSz w:w="12240" w:h="15840"/>
          <w:pgMar w:header="0" w:footer="1003" w:top="1360" w:bottom="1200" w:left="1600" w:right="1580"/>
        </w:sectPr>
      </w:pPr>
    </w:p>
    <w:p>
      <w:pPr>
        <w:pStyle w:val="BodyText"/>
        <w:spacing w:before="3"/>
        <w:rPr>
          <w:rFonts w:ascii="Calibri"/>
          <w:b/>
          <w:sz w:val="21"/>
        </w:rPr>
      </w:pPr>
    </w:p>
    <w:p>
      <w:pPr>
        <w:pStyle w:val="BodyText"/>
        <w:spacing w:line="360" w:lineRule="auto" w:before="70"/>
        <w:ind w:left="102" w:right="118"/>
        <w:jc w:val="both"/>
      </w:pPr>
      <w:r>
        <w:rPr/>
        <w:t>Sobre este impacto en la vivienda, cabe mencionar, que para algunos residentes las implicaciones del turismo de nostalgia en la localidad han reflejado la creación de viviendas de estilo americano. Sin embargo, esta idea, de acuerdo con la investigación previa, no parece ser compartida, para algunos de los habitantes de la comunidad comentan que sólo significa presunción.</w:t>
      </w:r>
    </w:p>
    <w:p>
      <w:pPr>
        <w:pStyle w:val="BodyText"/>
      </w:pPr>
    </w:p>
    <w:p>
      <w:pPr>
        <w:pStyle w:val="BodyText"/>
        <w:spacing w:before="5"/>
        <w:rPr>
          <w:sz w:val="29"/>
        </w:rPr>
      </w:pPr>
    </w:p>
    <w:p>
      <w:pPr>
        <w:pStyle w:val="Heading2"/>
        <w:numPr>
          <w:ilvl w:val="1"/>
          <w:numId w:val="16"/>
        </w:numPr>
        <w:tabs>
          <w:tab w:pos="822" w:val="left" w:leader="none"/>
        </w:tabs>
        <w:spacing w:line="240" w:lineRule="auto" w:before="0" w:after="0"/>
        <w:ind w:left="822" w:right="0" w:hanging="720"/>
        <w:jc w:val="both"/>
      </w:pPr>
      <w:r>
        <w:rPr/>
        <w:t>Cambios en el</w:t>
      </w:r>
      <w:r>
        <w:rPr>
          <w:spacing w:val="-1"/>
        </w:rPr>
        <w:t> </w:t>
      </w:r>
      <w:r>
        <w:rPr/>
        <w:t>lenguaje</w:t>
      </w:r>
    </w:p>
    <w:p>
      <w:pPr>
        <w:pStyle w:val="BodyText"/>
        <w:spacing w:before="2"/>
        <w:rPr>
          <w:b/>
          <w:sz w:val="36"/>
        </w:rPr>
      </w:pPr>
    </w:p>
    <w:p>
      <w:pPr>
        <w:pStyle w:val="BodyText"/>
        <w:spacing w:line="360" w:lineRule="auto"/>
        <w:ind w:left="102" w:right="116"/>
        <w:jc w:val="both"/>
      </w:pPr>
      <w:r>
        <w:rPr/>
        <w:t>De igual forma, con la práctica del turismo de nostalgia se observó un cambio significativo en la forma de hablar de ciertos habitantes de la comunidad, en particular de los niños y jóvenes, esto es que el idioma se está perdiendo y el inglés lo sustituye. Tal y como lo señaló un entrevistado:</w:t>
      </w:r>
    </w:p>
    <w:p>
      <w:pPr>
        <w:pStyle w:val="BodyText"/>
      </w:pPr>
    </w:p>
    <w:p>
      <w:pPr>
        <w:spacing w:line="360" w:lineRule="auto" w:before="139"/>
        <w:ind w:left="745" w:right="117" w:firstLine="0"/>
        <w:jc w:val="both"/>
        <w:rPr>
          <w:sz w:val="24"/>
        </w:rPr>
      </w:pPr>
      <w:r>
        <w:rPr>
          <w:i/>
          <w:sz w:val="24"/>
        </w:rPr>
        <w:t>“Aquí se habla el dialecto otomí, pero los que vienen de allá muchos se les </w:t>
      </w:r>
      <w:r>
        <w:rPr>
          <w:i/>
          <w:sz w:val="24"/>
        </w:rPr>
        <w:t>graba el inglés, son inteligentes y muchos no le echan ganas y los que se graban el inglés pues llegan y hablan, pero sí se escucha, pues por ejemplo en el caso de mi nieto él sabe que sus tíos están allá y cuando hablan pues en algunas veces mi nieto habla con ellos y mis hijos le hablan en inglés, mi nieto no sabe lo que se le ha enseñado, es un poco de otomí porque ya los niños no quieren hablar otomí quieren aprender el inglés, y pues la edad que empiezan con la curiosidad de aprender es como a los 5 o 6 años, pero aquí en la primaria les enseñan un poco” </w:t>
      </w:r>
      <w:r>
        <w:rPr>
          <w:sz w:val="24"/>
        </w:rPr>
        <w:t>(Víctor, 65 años).</w:t>
      </w:r>
    </w:p>
    <w:p>
      <w:pPr>
        <w:pStyle w:val="BodyText"/>
      </w:pPr>
    </w:p>
    <w:p>
      <w:pPr>
        <w:pStyle w:val="BodyText"/>
        <w:spacing w:before="142"/>
        <w:ind w:left="102"/>
        <w:jc w:val="both"/>
      </w:pPr>
      <w:r>
        <w:rPr/>
        <w:t>Otros entrevistados comentaron:</w:t>
      </w:r>
    </w:p>
    <w:p>
      <w:pPr>
        <w:pStyle w:val="BodyText"/>
      </w:pPr>
    </w:p>
    <w:p>
      <w:pPr>
        <w:spacing w:line="360" w:lineRule="auto" w:before="178"/>
        <w:ind w:left="745" w:right="116" w:firstLine="0"/>
        <w:jc w:val="both"/>
        <w:rPr>
          <w:sz w:val="24"/>
        </w:rPr>
      </w:pPr>
      <w:r>
        <w:rPr>
          <w:i/>
          <w:sz w:val="24"/>
        </w:rPr>
        <w:t>“Por ejemplo cuando traen niños que vienen de allá </w:t>
      </w:r>
      <w:r>
        <w:rPr>
          <w:sz w:val="24"/>
        </w:rPr>
        <w:t>[Estados Unidos] </w:t>
      </w:r>
      <w:r>
        <w:rPr>
          <w:i/>
          <w:sz w:val="24"/>
        </w:rPr>
        <w:t>tienen </w:t>
      </w:r>
      <w:r>
        <w:rPr>
          <w:i/>
          <w:sz w:val="24"/>
        </w:rPr>
        <w:t>que hablarles un poco el idioma de allá y luego les hablan el español para que lo vayan aprendiendo” </w:t>
      </w:r>
      <w:r>
        <w:rPr>
          <w:sz w:val="24"/>
        </w:rPr>
        <w:t>(Carmen, 54 años).</w:t>
      </w:r>
    </w:p>
    <w:p>
      <w:pPr>
        <w:spacing w:after="0" w:line="360" w:lineRule="auto"/>
        <w:jc w:val="both"/>
        <w:rPr>
          <w:sz w:val="24"/>
        </w:rPr>
        <w:sectPr>
          <w:pgSz w:w="12240" w:h="15840"/>
          <w:pgMar w:header="0" w:footer="1003" w:top="1500" w:bottom="1200" w:left="1600" w:right="1580"/>
        </w:sectPr>
      </w:pPr>
    </w:p>
    <w:p>
      <w:pPr>
        <w:spacing w:line="360" w:lineRule="auto" w:before="51"/>
        <w:ind w:left="745" w:right="119" w:firstLine="0"/>
        <w:jc w:val="both"/>
        <w:rPr>
          <w:sz w:val="24"/>
        </w:rPr>
      </w:pPr>
      <w:r>
        <w:rPr>
          <w:i/>
          <w:sz w:val="24"/>
        </w:rPr>
        <w:t>“Pues en mi caso yo no combino nada de idiomas a pesar de que estuve por </w:t>
      </w:r>
      <w:r>
        <w:rPr>
          <w:i/>
          <w:sz w:val="24"/>
        </w:rPr>
        <w:t>allá, pero yo escucho luego que los niños sí dicen palabras yo veo que en ellos sí influye más el idioma o a la mejor es la curiosidad y más los niños que están en la primaria los que tienen de 5 años para adelante, en el caso de mi hija, ella me lo pide porque en la primaria de aquí les enseñan pero ella luego me dice que le enseñe y a pesar de </w:t>
      </w:r>
      <w:r>
        <w:rPr>
          <w:i/>
          <w:spacing w:val="2"/>
          <w:sz w:val="24"/>
        </w:rPr>
        <w:t>que </w:t>
      </w:r>
      <w:r>
        <w:rPr>
          <w:i/>
          <w:sz w:val="24"/>
        </w:rPr>
        <w:t>está chiquita pero le llama la atención, pero ya no quiere aprender el otomí y pues para mí es más importante el otomí que el inglés, pero también pienso cuando trabaje pues lo que va a ocupar es el inglés, desgraciadamente se está perdiendo nuestra lengua” </w:t>
      </w:r>
      <w:r>
        <w:rPr>
          <w:sz w:val="24"/>
        </w:rPr>
        <w:t>(Genaro, 35</w:t>
      </w:r>
      <w:r>
        <w:rPr>
          <w:spacing w:val="-11"/>
          <w:sz w:val="24"/>
        </w:rPr>
        <w:t> </w:t>
      </w:r>
      <w:r>
        <w:rPr>
          <w:sz w:val="24"/>
        </w:rPr>
        <w:t>años).</w:t>
      </w:r>
    </w:p>
    <w:p>
      <w:pPr>
        <w:pStyle w:val="BodyText"/>
      </w:pPr>
    </w:p>
    <w:p>
      <w:pPr>
        <w:pStyle w:val="BodyText"/>
        <w:spacing w:before="3"/>
        <w:rPr>
          <w:sz w:val="21"/>
        </w:rPr>
      </w:pPr>
    </w:p>
    <w:p>
      <w:pPr>
        <w:spacing w:line="360" w:lineRule="auto" w:before="0"/>
        <w:ind w:left="745" w:right="118" w:firstLine="0"/>
        <w:jc w:val="both"/>
        <w:rPr>
          <w:sz w:val="24"/>
        </w:rPr>
      </w:pPr>
      <w:r>
        <w:rPr>
          <w:i/>
          <w:sz w:val="24"/>
        </w:rPr>
        <w:t>“Pues yo creo que desde hace 8 años se combinan los idiomas, porque acá </w:t>
      </w:r>
      <w:r>
        <w:rPr>
          <w:i/>
          <w:sz w:val="24"/>
        </w:rPr>
        <w:t>los niños chiquitos son los que luego hablan inglés, el que les enseñan sus papás, por ejemplo la otra vez vinieron a comprar verdura una señora y yo creo que era su hija, pero esa señora estuvo mucho tiempo en Estados Unidos y la niña le preguntó una cosa en Inglés y ella también le respondió en Inglés” </w:t>
      </w:r>
      <w:r>
        <w:rPr>
          <w:sz w:val="24"/>
        </w:rPr>
        <w:t>(Juanita, 58 años).</w:t>
      </w:r>
    </w:p>
    <w:p>
      <w:pPr>
        <w:pStyle w:val="BodyText"/>
      </w:pPr>
    </w:p>
    <w:p>
      <w:pPr>
        <w:pStyle w:val="BodyText"/>
        <w:spacing w:line="360" w:lineRule="auto" w:before="144"/>
        <w:ind w:left="102" w:right="117"/>
        <w:jc w:val="both"/>
      </w:pPr>
      <w:r>
        <w:rPr/>
        <w:t>Si bien la mayoría de los entrevistados habla otomí, los niños ya no lo hablan, el español y el inglés lo sustituyen, esto se debe a que en su núcleo familiar se encuentran personas que emigraron hacia los Estados Unidos o son los mismos niños los que algún tiempo estuvieron en ese país, por lo tanto tuvieron que aprender, el idioma. En contraparte, se encontraron informantes con percepciones pesimistas porque la lengua nativa se está perdiendo.</w:t>
      </w:r>
    </w:p>
    <w:p>
      <w:pPr>
        <w:pStyle w:val="BodyText"/>
      </w:pPr>
    </w:p>
    <w:p>
      <w:pPr>
        <w:pStyle w:val="BodyText"/>
      </w:pPr>
    </w:p>
    <w:p>
      <w:pPr>
        <w:pStyle w:val="BodyText"/>
        <w:spacing w:before="1"/>
      </w:pPr>
    </w:p>
    <w:p>
      <w:pPr>
        <w:pStyle w:val="Heading2"/>
        <w:numPr>
          <w:ilvl w:val="1"/>
          <w:numId w:val="16"/>
        </w:numPr>
        <w:tabs>
          <w:tab w:pos="822" w:val="left" w:leader="none"/>
        </w:tabs>
        <w:spacing w:line="240" w:lineRule="auto" w:before="0" w:after="0"/>
        <w:ind w:left="822" w:right="0" w:hanging="720"/>
        <w:jc w:val="both"/>
      </w:pPr>
      <w:bookmarkStart w:name="_TOC_250003" w:id="41"/>
      <w:r>
        <w:rPr/>
        <w:t>Cambios en la</w:t>
      </w:r>
      <w:r>
        <w:rPr>
          <w:spacing w:val="-6"/>
        </w:rPr>
        <w:t> </w:t>
      </w:r>
      <w:bookmarkEnd w:id="41"/>
      <w:r>
        <w:rPr/>
        <w:t>vestimenta</w:t>
      </w:r>
    </w:p>
    <w:p>
      <w:pPr>
        <w:pStyle w:val="BodyText"/>
        <w:rPr>
          <w:b/>
          <w:sz w:val="26"/>
        </w:rPr>
      </w:pPr>
    </w:p>
    <w:p>
      <w:pPr>
        <w:pStyle w:val="BodyText"/>
        <w:spacing w:line="360" w:lineRule="auto" w:before="162"/>
        <w:ind w:left="102" w:right="116"/>
        <w:jc w:val="both"/>
      </w:pPr>
      <w:r>
        <w:rPr/>
        <w:t>De forma similar, y como presunta consecuencia del turismo de nostalgia se ha transformado la forma de vestir de los habitantes de El Tephé. A través de los</w:t>
      </w:r>
    </w:p>
    <w:p>
      <w:pPr>
        <w:spacing w:after="0" w:line="360" w:lineRule="auto"/>
        <w:jc w:val="both"/>
        <w:sectPr>
          <w:footerReference w:type="default" r:id="rId22"/>
          <w:pgSz w:w="12240" w:h="15840"/>
          <w:pgMar w:footer="1003" w:header="0" w:top="1360" w:bottom="1200" w:left="1600" w:right="1580"/>
        </w:sectPr>
      </w:pPr>
    </w:p>
    <w:p>
      <w:pPr>
        <w:pStyle w:val="BodyText"/>
        <w:spacing w:line="362" w:lineRule="auto" w:before="54"/>
        <w:ind w:left="102" w:right="120"/>
      </w:pPr>
      <w:r>
        <w:rPr/>
        <w:t>años, la vestimenta típica se ha dejado atrás (ver imagen 1), para dar paso a la ropa común.</w:t>
      </w:r>
    </w:p>
    <w:p>
      <w:pPr>
        <w:pStyle w:val="BodyText"/>
        <w:rPr>
          <w:sz w:val="20"/>
        </w:rPr>
      </w:pPr>
    </w:p>
    <w:p>
      <w:pPr>
        <w:pStyle w:val="BodyText"/>
        <w:spacing w:before="9"/>
        <w:rPr>
          <w:sz w:val="12"/>
        </w:rPr>
      </w:pPr>
      <w:r>
        <w:rPr/>
        <w:drawing>
          <wp:anchor distT="0" distB="0" distL="0" distR="0" allowOverlap="1" layoutInCell="1" locked="0" behindDoc="0" simplePos="0" relativeHeight="1192">
            <wp:simplePos x="0" y="0"/>
            <wp:positionH relativeFrom="page">
              <wp:posOffset>3184144</wp:posOffset>
            </wp:positionH>
            <wp:positionV relativeFrom="paragraph">
              <wp:posOffset>118628</wp:posOffset>
            </wp:positionV>
            <wp:extent cx="1590307" cy="2219801"/>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4" cstate="print"/>
                    <a:stretch>
                      <a:fillRect/>
                    </a:stretch>
                  </pic:blipFill>
                  <pic:spPr>
                    <a:xfrm>
                      <a:off x="0" y="0"/>
                      <a:ext cx="1590307" cy="2219801"/>
                    </a:xfrm>
                    <a:prstGeom prst="rect">
                      <a:avLst/>
                    </a:prstGeom>
                  </pic:spPr>
                </pic:pic>
              </a:graphicData>
            </a:graphic>
          </wp:anchor>
        </w:drawing>
      </w:r>
    </w:p>
    <w:p>
      <w:pPr>
        <w:spacing w:before="92"/>
        <w:ind w:left="420" w:right="34" w:firstLine="0"/>
        <w:jc w:val="center"/>
        <w:rPr>
          <w:rFonts w:ascii="Calibri" w:hAnsi="Calibri"/>
          <w:b/>
          <w:sz w:val="18"/>
        </w:rPr>
      </w:pPr>
      <w:bookmarkStart w:name="_bookmark21" w:id="42"/>
      <w:bookmarkEnd w:id="42"/>
      <w:r>
        <w:rPr/>
      </w:r>
      <w:r>
        <w:rPr>
          <w:rFonts w:ascii="Calibri" w:hAnsi="Calibri"/>
          <w:b/>
          <w:sz w:val="18"/>
        </w:rPr>
        <w:t>Imagen 1. Traje típico Hñähñú</w:t>
      </w:r>
    </w:p>
    <w:p>
      <w:pPr>
        <w:pStyle w:val="BodyText"/>
        <w:spacing w:before="4"/>
        <w:rPr>
          <w:rFonts w:ascii="Calibri"/>
          <w:b/>
          <w:sz w:val="16"/>
        </w:rPr>
      </w:pPr>
    </w:p>
    <w:p>
      <w:pPr>
        <w:spacing w:before="1"/>
        <w:ind w:left="289" w:right="34" w:firstLine="0"/>
        <w:jc w:val="center"/>
        <w:rPr>
          <w:rFonts w:ascii="Calibri"/>
          <w:sz w:val="18"/>
        </w:rPr>
      </w:pPr>
      <w:r>
        <w:rPr>
          <w:rFonts w:ascii="Calibri"/>
          <w:sz w:val="18"/>
        </w:rPr>
        <w:t>Fuente</w:t>
      </w:r>
      <w:hyperlink r:id="rId25">
        <w:r>
          <w:rPr>
            <w:rFonts w:ascii="Calibri"/>
            <w:sz w:val="18"/>
          </w:rPr>
          <w:t>: http://www.cdi.gob.mx/index.php?option=com_content&amp;task=view&amp;id=687&amp;Itemid=63</w:t>
        </w:r>
      </w:hyperlink>
    </w:p>
    <w:p>
      <w:pPr>
        <w:pStyle w:val="BodyText"/>
        <w:rPr>
          <w:rFonts w:ascii="Calibri"/>
          <w:sz w:val="18"/>
        </w:rPr>
      </w:pPr>
    </w:p>
    <w:p>
      <w:pPr>
        <w:pStyle w:val="BodyText"/>
        <w:rPr>
          <w:rFonts w:ascii="Calibri"/>
          <w:sz w:val="18"/>
        </w:rPr>
      </w:pPr>
    </w:p>
    <w:p>
      <w:pPr>
        <w:pStyle w:val="BodyText"/>
        <w:spacing w:before="11"/>
        <w:rPr>
          <w:rFonts w:ascii="Calibri"/>
          <w:sz w:val="13"/>
        </w:rPr>
      </w:pPr>
    </w:p>
    <w:p>
      <w:pPr>
        <w:spacing w:line="360" w:lineRule="auto" w:before="0"/>
        <w:ind w:left="745" w:right="120" w:firstLine="0"/>
        <w:jc w:val="both"/>
        <w:rPr>
          <w:sz w:val="24"/>
        </w:rPr>
      </w:pPr>
      <w:r>
        <w:rPr>
          <w:i/>
          <w:sz w:val="24"/>
        </w:rPr>
        <w:t>“La forma de vestir ha cambiado mucho, antes las mujeres usaban falda y </w:t>
      </w:r>
      <w:r>
        <w:rPr>
          <w:i/>
          <w:sz w:val="24"/>
        </w:rPr>
        <w:t>blusas de manta pues lo tradicional y los hombres pues pantalón y camisa y su sombrero como es pueblo aquí los hombres desde chiquitos les enseñan a usar sombrero, pero ahora ya no es lo mismo, los que llegan de allá pues traen otras ropas y pues los de aquí los quieren imitar, los que llegan porque ellos traen pans, tennis, playeras, gorras y lentes oscuros muy cholos, yo  por ejemplo sigo usando falda porque a mí me enseñó así mi mamá” </w:t>
      </w:r>
      <w:r>
        <w:rPr>
          <w:sz w:val="24"/>
        </w:rPr>
        <w:t>(Juanita, 58</w:t>
      </w:r>
      <w:r>
        <w:rPr>
          <w:spacing w:val="-6"/>
          <w:sz w:val="24"/>
        </w:rPr>
        <w:t> </w:t>
      </w:r>
      <w:r>
        <w:rPr>
          <w:sz w:val="24"/>
        </w:rPr>
        <w:t>años).</w:t>
      </w:r>
    </w:p>
    <w:p>
      <w:pPr>
        <w:pStyle w:val="BodyText"/>
      </w:pPr>
    </w:p>
    <w:p>
      <w:pPr>
        <w:pStyle w:val="BodyText"/>
      </w:pPr>
    </w:p>
    <w:p>
      <w:pPr>
        <w:pStyle w:val="BodyText"/>
        <w:spacing w:before="2"/>
      </w:pPr>
    </w:p>
    <w:p>
      <w:pPr>
        <w:pStyle w:val="BodyText"/>
        <w:spacing w:before="1"/>
        <w:ind w:left="102"/>
      </w:pPr>
      <w:r>
        <w:rPr/>
        <w:t>Otros habitantes opinaron:</w:t>
      </w:r>
    </w:p>
    <w:p>
      <w:pPr>
        <w:pStyle w:val="BodyText"/>
      </w:pPr>
    </w:p>
    <w:p>
      <w:pPr>
        <w:pStyle w:val="BodyText"/>
        <w:spacing w:before="9"/>
        <w:rPr>
          <w:sz w:val="23"/>
        </w:rPr>
      </w:pPr>
    </w:p>
    <w:p>
      <w:pPr>
        <w:spacing w:line="360" w:lineRule="auto" w:before="0"/>
        <w:ind w:left="810" w:right="118" w:firstLine="0"/>
        <w:jc w:val="both"/>
        <w:rPr>
          <w:i/>
          <w:sz w:val="24"/>
        </w:rPr>
      </w:pPr>
      <w:r>
        <w:rPr>
          <w:i/>
          <w:sz w:val="24"/>
        </w:rPr>
        <w:t>“Pues en unos sí en otros no, pero a mi pues, yo ya soy casado y como que </w:t>
      </w:r>
      <w:r>
        <w:rPr>
          <w:i/>
          <w:sz w:val="24"/>
        </w:rPr>
        <w:t>andar así como los llaman cholos pues no, pero los que son solteros sí andan con sus pantalonsotes, playeras muy grandes, paliacate y sus lentes pero no todos los que llegan se visten así, eso se ve más en El Alberto.</w:t>
      </w:r>
    </w:p>
    <w:p>
      <w:pPr>
        <w:spacing w:after="0" w:line="360" w:lineRule="auto"/>
        <w:jc w:val="both"/>
        <w:rPr>
          <w:sz w:val="24"/>
        </w:rPr>
        <w:sectPr>
          <w:footerReference w:type="default" r:id="rId23"/>
          <w:pgSz w:w="12240" w:h="15840"/>
          <w:pgMar w:footer="1003" w:header="0" w:top="1360" w:bottom="1200" w:left="1600" w:right="1580"/>
          <w:pgNumType w:start="51"/>
        </w:sectPr>
      </w:pPr>
    </w:p>
    <w:p>
      <w:pPr>
        <w:spacing w:line="360" w:lineRule="auto" w:before="51"/>
        <w:ind w:left="810" w:right="118" w:firstLine="0"/>
        <w:jc w:val="both"/>
        <w:rPr>
          <w:sz w:val="24"/>
        </w:rPr>
      </w:pPr>
      <w:r>
        <w:rPr>
          <w:i/>
          <w:sz w:val="24"/>
        </w:rPr>
        <w:t>Pero el cambio se ve más en los niños y los que están un poquito más </w:t>
      </w:r>
      <w:r>
        <w:rPr>
          <w:i/>
          <w:sz w:val="24"/>
        </w:rPr>
        <w:t>grandes, ellos ya no andan con pantalón vaquero, ahora de marca, los tennis lo mismo, yo por ejemplo pues todavía usé pantalón de  manta porque así es la vestimenta tradicional, lo mismo las mujeres yo recuerdo que andaban de falda, mi abuela se vestía así, pero ahora las mujeres andan de pantalón o de pants, ya no es lo mismo. Por ejemplo en los chavos solteros que todavía no tienen familia son los que cambian su forma de vestir, se visten igual que allá en el otro lado digamos que los pantalones anchos, las playeras muy grandes, peinados, a veces se rapan y así llegan” </w:t>
      </w:r>
      <w:r>
        <w:rPr>
          <w:sz w:val="24"/>
        </w:rPr>
        <w:t>(Genaro, 35</w:t>
      </w:r>
      <w:r>
        <w:rPr>
          <w:spacing w:val="-5"/>
          <w:sz w:val="24"/>
        </w:rPr>
        <w:t> </w:t>
      </w:r>
      <w:r>
        <w:rPr>
          <w:sz w:val="24"/>
        </w:rPr>
        <w:t>años).</w:t>
      </w:r>
    </w:p>
    <w:p>
      <w:pPr>
        <w:pStyle w:val="BodyText"/>
      </w:pPr>
    </w:p>
    <w:p>
      <w:pPr>
        <w:pStyle w:val="BodyText"/>
      </w:pPr>
    </w:p>
    <w:p>
      <w:pPr>
        <w:pStyle w:val="BodyText"/>
      </w:pPr>
    </w:p>
    <w:p>
      <w:pPr>
        <w:spacing w:line="360" w:lineRule="auto" w:before="0"/>
        <w:ind w:left="745" w:right="117" w:firstLine="0"/>
        <w:jc w:val="both"/>
        <w:rPr>
          <w:sz w:val="24"/>
        </w:rPr>
      </w:pPr>
      <w:r>
        <w:rPr>
          <w:i/>
          <w:sz w:val="24"/>
        </w:rPr>
        <w:t>“Aquí las mujeres ya no usan las naguas o cintilla, ya usan pants o pantalón </w:t>
      </w:r>
      <w:r>
        <w:rPr>
          <w:i/>
          <w:sz w:val="24"/>
        </w:rPr>
        <w:t>y pues los hombres ya traen playeras, en mi caso yo sigo igual, pantalón vaquero, camisa de cuadros y mi sombrero, pero el cambio sobre todo es en los niños chiquitos como de 4 o 5 años ellos, ya quieren vestir de pantalón normal, playera y sudadera y las niñas igual, ya no es lo mismo en ellos, pero por ejemplo la gente mayor pues ellos </w:t>
      </w:r>
      <w:r>
        <w:rPr>
          <w:i/>
          <w:spacing w:val="3"/>
          <w:sz w:val="24"/>
        </w:rPr>
        <w:t>sí </w:t>
      </w:r>
      <w:r>
        <w:rPr>
          <w:i/>
          <w:sz w:val="24"/>
        </w:rPr>
        <w:t>arraigan su forma de vestir” </w:t>
      </w:r>
      <w:r>
        <w:rPr>
          <w:sz w:val="24"/>
        </w:rPr>
        <w:t>(Víctor, 65</w:t>
      </w:r>
      <w:r>
        <w:rPr>
          <w:spacing w:val="-4"/>
          <w:sz w:val="24"/>
        </w:rPr>
        <w:t> </w:t>
      </w:r>
      <w:r>
        <w:rPr>
          <w:sz w:val="24"/>
        </w:rPr>
        <w:t>años).</w:t>
      </w:r>
    </w:p>
    <w:p>
      <w:pPr>
        <w:pStyle w:val="BodyText"/>
      </w:pPr>
    </w:p>
    <w:p>
      <w:pPr>
        <w:pStyle w:val="BodyText"/>
        <w:spacing w:line="360" w:lineRule="auto" w:before="142"/>
        <w:ind w:left="102" w:right="117"/>
        <w:jc w:val="both"/>
      </w:pPr>
      <w:r>
        <w:rPr/>
        <w:t>De igual manera, la forma de vestir de los habitantes ha cambiado a través de los años. De acuerdo con los informantes particularmente los niños son los que están expuestos a este tipo de cambio; el efecto demostración se hace presente y de acuerdo con Cooper </w:t>
      </w:r>
      <w:r>
        <w:rPr>
          <w:i/>
        </w:rPr>
        <w:t>et al. </w:t>
      </w:r>
      <w:r>
        <w:rPr/>
        <w:t>(2007), es consecuencia de la interacción de dos grupos, y se manifiesta por medio de la transformación de los valores en uno de ellos, principalmente entre la población joven. Esto permitió visualizar a la investigadora el efecto demostración tendrá mayor efecto en los  grupos vulnerables como lo son los niños, que buscan adoptar ciertos comportamientos como la transformación en la forma de vestir.</w:t>
      </w:r>
    </w:p>
    <w:p>
      <w:pPr>
        <w:spacing w:after="0" w:line="360" w:lineRule="auto"/>
        <w:jc w:val="both"/>
        <w:sectPr>
          <w:pgSz w:w="12240" w:h="15840"/>
          <w:pgMar w:header="0" w:footer="1003" w:top="1360" w:bottom="1200" w:left="1600" w:right="1580"/>
        </w:sectPr>
      </w:pPr>
    </w:p>
    <w:p>
      <w:pPr>
        <w:pStyle w:val="Heading2"/>
        <w:numPr>
          <w:ilvl w:val="1"/>
          <w:numId w:val="16"/>
        </w:numPr>
        <w:tabs>
          <w:tab w:pos="822" w:val="left" w:leader="none"/>
        </w:tabs>
        <w:spacing w:line="240" w:lineRule="auto" w:before="52" w:after="0"/>
        <w:ind w:left="822" w:right="0" w:hanging="720"/>
        <w:jc w:val="both"/>
      </w:pPr>
      <w:r>
        <w:rPr/>
        <w:t>Cambios en la</w:t>
      </w:r>
      <w:r>
        <w:rPr>
          <w:spacing w:val="-4"/>
        </w:rPr>
        <w:t> </w:t>
      </w:r>
      <w:r>
        <w:rPr/>
        <w:t>gastronomía</w:t>
      </w:r>
    </w:p>
    <w:p>
      <w:pPr>
        <w:pStyle w:val="BodyText"/>
        <w:rPr>
          <w:b/>
          <w:sz w:val="26"/>
        </w:rPr>
      </w:pPr>
    </w:p>
    <w:p>
      <w:pPr>
        <w:pStyle w:val="BodyText"/>
        <w:spacing w:line="360" w:lineRule="auto" w:before="163"/>
        <w:ind w:left="102" w:right="116"/>
        <w:jc w:val="both"/>
      </w:pPr>
      <w:r>
        <w:rPr/>
        <w:t>Por otra parte, con respecto a la comida existe un factor de cambio relacionado al turismo de nostalgia. Aunque todavía se hacen tortillas a mano y los habitantes siguen sembrando maíz, es también en los niños en quienes se nota principalmente un cambio.</w:t>
      </w:r>
    </w:p>
    <w:p>
      <w:pPr>
        <w:pStyle w:val="BodyText"/>
      </w:pPr>
    </w:p>
    <w:p>
      <w:pPr>
        <w:pStyle w:val="BodyText"/>
      </w:pPr>
    </w:p>
    <w:p>
      <w:pPr>
        <w:pStyle w:val="BodyText"/>
      </w:pPr>
    </w:p>
    <w:p>
      <w:pPr>
        <w:spacing w:line="360" w:lineRule="auto" w:before="0"/>
        <w:ind w:left="810" w:right="117" w:firstLine="0"/>
        <w:jc w:val="both"/>
        <w:rPr>
          <w:sz w:val="24"/>
        </w:rPr>
      </w:pPr>
      <w:r>
        <w:rPr>
          <w:i/>
          <w:sz w:val="24"/>
        </w:rPr>
        <w:t>“Sí y más en los niños que sus papás han vivido allá o los niños que van y </w:t>
      </w:r>
      <w:r>
        <w:rPr>
          <w:i/>
          <w:sz w:val="24"/>
        </w:rPr>
        <w:t>vienen, quieren comer lo mismo que allá sobre todo preguntan si por aquí hay McDonald’s pero pues aquí no hay eso, pero sí, en ellos se nota mucho o hay niños que viven allá y llegan acá y no conocen los frijoles, y cuando los ven piensan que son dulces y casi no quieren comer verdura,  las mamás batallan mucho pero pues tienen que comer algo” </w:t>
      </w:r>
      <w:r>
        <w:rPr>
          <w:sz w:val="24"/>
        </w:rPr>
        <w:t>(Juanita,  58 años).</w:t>
      </w:r>
    </w:p>
    <w:p>
      <w:pPr>
        <w:pStyle w:val="BodyText"/>
        <w:spacing w:before="204"/>
        <w:ind w:left="102"/>
        <w:jc w:val="both"/>
      </w:pPr>
      <w:r>
        <w:rPr/>
        <w:t>Otros informantes comentaron:</w:t>
      </w:r>
    </w:p>
    <w:p>
      <w:pPr>
        <w:pStyle w:val="BodyText"/>
      </w:pPr>
    </w:p>
    <w:p>
      <w:pPr>
        <w:pStyle w:val="BodyText"/>
        <w:spacing w:before="9"/>
        <w:rPr>
          <w:sz w:val="23"/>
        </w:rPr>
      </w:pPr>
    </w:p>
    <w:p>
      <w:pPr>
        <w:spacing w:line="360" w:lineRule="auto" w:before="0"/>
        <w:ind w:left="745" w:right="117" w:firstLine="0"/>
        <w:jc w:val="both"/>
        <w:rPr>
          <w:sz w:val="24"/>
        </w:rPr>
      </w:pPr>
      <w:r>
        <w:rPr>
          <w:i/>
          <w:sz w:val="24"/>
        </w:rPr>
        <w:t>“Sí, pero se ve más en los niños, porque ellos quieren comer hamburguesas, </w:t>
      </w:r>
      <w:r>
        <w:rPr>
          <w:i/>
          <w:sz w:val="24"/>
        </w:rPr>
        <w:t>las verduras se las comen porque ya no les queda de otra, pero en ellos se ve más el cambio, pero sí seguimos haciendo los platillos típicos de por acá, por ejemplo nosotras hacemos barbacoa y quesadillas de sesos” </w:t>
      </w:r>
      <w:r>
        <w:rPr>
          <w:sz w:val="24"/>
        </w:rPr>
        <w:t>(Esther, 35 años).</w:t>
      </w:r>
    </w:p>
    <w:p>
      <w:pPr>
        <w:pStyle w:val="BodyText"/>
      </w:pPr>
    </w:p>
    <w:p>
      <w:pPr>
        <w:spacing w:line="360" w:lineRule="auto" w:before="139"/>
        <w:ind w:left="745" w:right="127" w:firstLine="0"/>
        <w:jc w:val="both"/>
        <w:rPr>
          <w:sz w:val="24"/>
        </w:rPr>
      </w:pPr>
      <w:r>
        <w:rPr>
          <w:i/>
          <w:sz w:val="24"/>
        </w:rPr>
        <w:t>“Los niños ya no comen frijoles, comen mucha harina, por ejemplo </w:t>
      </w:r>
      <w:r>
        <w:rPr>
          <w:i/>
          <w:sz w:val="24"/>
        </w:rPr>
        <w:t>hamburguesas” </w:t>
      </w:r>
      <w:r>
        <w:rPr>
          <w:sz w:val="24"/>
        </w:rPr>
        <w:t>(Luz, 35 años).</w:t>
      </w:r>
    </w:p>
    <w:p>
      <w:pPr>
        <w:pStyle w:val="BodyText"/>
      </w:pPr>
    </w:p>
    <w:p>
      <w:pPr>
        <w:pStyle w:val="BodyText"/>
      </w:pPr>
    </w:p>
    <w:p>
      <w:pPr>
        <w:pStyle w:val="BodyText"/>
        <w:spacing w:before="2"/>
        <w:rPr>
          <w:sz w:val="23"/>
        </w:rPr>
      </w:pPr>
    </w:p>
    <w:p>
      <w:pPr>
        <w:spacing w:line="360" w:lineRule="auto" w:before="1"/>
        <w:ind w:left="745" w:right="117" w:firstLine="0"/>
        <w:jc w:val="both"/>
        <w:rPr>
          <w:i/>
          <w:sz w:val="24"/>
        </w:rPr>
      </w:pPr>
      <w:r>
        <w:rPr>
          <w:i/>
          <w:sz w:val="24"/>
        </w:rPr>
        <w:t>“Pues aquí todavía se comen frijoles, carne, verduras, pero yo cuando estoy </w:t>
      </w:r>
      <w:r>
        <w:rPr>
          <w:i/>
          <w:sz w:val="24"/>
        </w:rPr>
        <w:t>allá pues sí me preocupo por comer lo que como aquí, pero pues no es lo mismo el sazón es el que hace falta, pero aquí en el pueblo pues sí hay quienes comen pizza, hot dogs, hamburguesas o sopas Maruchan, pero  los</w:t>
      </w:r>
    </w:p>
    <w:p>
      <w:pPr>
        <w:spacing w:after="0" w:line="360" w:lineRule="auto"/>
        <w:jc w:val="both"/>
        <w:rPr>
          <w:sz w:val="24"/>
        </w:rPr>
        <w:sectPr>
          <w:pgSz w:w="12240" w:h="15840"/>
          <w:pgMar w:header="0" w:footer="1003" w:top="1360" w:bottom="1200" w:left="1600" w:right="1580"/>
        </w:sectPr>
      </w:pPr>
    </w:p>
    <w:p>
      <w:pPr>
        <w:spacing w:line="360" w:lineRule="auto" w:before="51"/>
        <w:ind w:left="765" w:right="117" w:firstLine="0"/>
        <w:jc w:val="both"/>
        <w:rPr>
          <w:sz w:val="24"/>
        </w:rPr>
      </w:pPr>
      <w:r>
        <w:rPr>
          <w:i/>
          <w:sz w:val="24"/>
        </w:rPr>
        <w:t>niños ya no quieren comer frijoles, quieren harina, dicen que eso sabe más </w:t>
      </w:r>
      <w:r>
        <w:rPr>
          <w:i/>
          <w:sz w:val="24"/>
        </w:rPr>
        <w:t>rico, les gustan mucho por ejemplo las hamburguesas y los hot dogs, pero eso sí todos los niños deben de comer alguna vez la barbacoa” </w:t>
      </w:r>
      <w:r>
        <w:rPr>
          <w:sz w:val="24"/>
        </w:rPr>
        <w:t>(Víctor, 65 años).</w:t>
      </w:r>
    </w:p>
    <w:p>
      <w:pPr>
        <w:pStyle w:val="BodyText"/>
      </w:pPr>
    </w:p>
    <w:p>
      <w:pPr>
        <w:pStyle w:val="BodyText"/>
      </w:pPr>
    </w:p>
    <w:p>
      <w:pPr>
        <w:pStyle w:val="BodyText"/>
        <w:spacing w:before="11"/>
        <w:rPr>
          <w:sz w:val="22"/>
        </w:rPr>
      </w:pPr>
    </w:p>
    <w:p>
      <w:pPr>
        <w:spacing w:line="352" w:lineRule="auto" w:before="0"/>
        <w:ind w:left="830" w:right="122" w:firstLine="0"/>
        <w:jc w:val="both"/>
        <w:rPr>
          <w:sz w:val="24"/>
        </w:rPr>
      </w:pPr>
      <w:r>
        <w:rPr>
          <w:i/>
          <w:sz w:val="24"/>
        </w:rPr>
        <w:t>“Pues sí porque ya que uno se acostumbra a comer las hamburguesas, hot </w:t>
      </w:r>
      <w:r>
        <w:rPr>
          <w:i/>
          <w:sz w:val="24"/>
        </w:rPr>
        <w:t>dogs y no se diga en los niños ellos les gusta mucho eso, casi ya  no quieren comer verduras; el cambio se ve más en ellos, en los adultos, pues nosotros sí comemos de todo y lo tradicional de por acá, la barbacoa y los ximbo</w:t>
      </w:r>
      <w:r>
        <w:rPr>
          <w:i/>
          <w:position w:val="11"/>
          <w:sz w:val="16"/>
        </w:rPr>
        <w:t>4 </w:t>
      </w:r>
      <w:r>
        <w:rPr>
          <w:sz w:val="24"/>
        </w:rPr>
        <w:t>(ver Imagen 2)” (Genaro, 35 años).</w:t>
      </w:r>
    </w:p>
    <w:p>
      <w:pPr>
        <w:pStyle w:val="BodyText"/>
        <w:spacing w:before="10"/>
        <w:rPr>
          <w:sz w:val="13"/>
        </w:rPr>
      </w:pPr>
      <w:r>
        <w:rPr/>
        <w:drawing>
          <wp:anchor distT="0" distB="0" distL="0" distR="0" allowOverlap="1" layoutInCell="1" locked="0" behindDoc="0" simplePos="0" relativeHeight="1216">
            <wp:simplePos x="0" y="0"/>
            <wp:positionH relativeFrom="page">
              <wp:posOffset>2915920</wp:posOffset>
            </wp:positionH>
            <wp:positionV relativeFrom="paragraph">
              <wp:posOffset>126149</wp:posOffset>
            </wp:positionV>
            <wp:extent cx="2356473" cy="1748885"/>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6" cstate="print"/>
                    <a:stretch>
                      <a:fillRect/>
                    </a:stretch>
                  </pic:blipFill>
                  <pic:spPr>
                    <a:xfrm>
                      <a:off x="0" y="0"/>
                      <a:ext cx="2356473" cy="1748885"/>
                    </a:xfrm>
                    <a:prstGeom prst="rect">
                      <a:avLst/>
                    </a:prstGeom>
                  </pic:spPr>
                </pic:pic>
              </a:graphicData>
            </a:graphic>
          </wp:anchor>
        </w:drawing>
      </w:r>
    </w:p>
    <w:p>
      <w:pPr>
        <w:pStyle w:val="BodyText"/>
        <w:spacing w:before="2"/>
        <w:rPr>
          <w:sz w:val="27"/>
        </w:rPr>
      </w:pPr>
    </w:p>
    <w:p>
      <w:pPr>
        <w:spacing w:before="0"/>
        <w:ind w:left="972" w:right="440" w:firstLine="0"/>
        <w:jc w:val="center"/>
        <w:rPr>
          <w:rFonts w:ascii="Calibri" w:hAnsi="Calibri"/>
          <w:b/>
          <w:sz w:val="18"/>
        </w:rPr>
      </w:pPr>
      <w:bookmarkStart w:name="_bookmark22" w:id="43"/>
      <w:bookmarkEnd w:id="43"/>
      <w:r>
        <w:rPr/>
      </w:r>
      <w:r>
        <w:rPr>
          <w:rFonts w:ascii="Calibri" w:hAnsi="Calibri"/>
          <w:b/>
          <w:sz w:val="18"/>
        </w:rPr>
        <w:t>Imagen 2. Comida típica Ximbo</w:t>
      </w:r>
    </w:p>
    <w:p>
      <w:pPr>
        <w:pStyle w:val="BodyText"/>
        <w:spacing w:before="2"/>
        <w:rPr>
          <w:rFonts w:ascii="Calibri"/>
          <w:b/>
          <w:sz w:val="16"/>
        </w:rPr>
      </w:pPr>
    </w:p>
    <w:p>
      <w:pPr>
        <w:spacing w:before="0"/>
        <w:ind w:left="1081" w:right="440" w:firstLine="0"/>
        <w:jc w:val="center"/>
        <w:rPr>
          <w:rFonts w:ascii="Calibri"/>
          <w:sz w:val="18"/>
        </w:rPr>
      </w:pPr>
      <w:r>
        <w:rPr>
          <w:rFonts w:ascii="Calibri"/>
          <w:sz w:val="18"/>
        </w:rPr>
        <w:t>Fuente</w:t>
      </w:r>
      <w:hyperlink r:id="rId27">
        <w:r>
          <w:rPr>
            <w:rFonts w:ascii="Calibri"/>
            <w:sz w:val="18"/>
          </w:rPr>
          <w:t>:  http://365diasdeplatillosmexicanos.blogspot.mx/2012/06/ximbo.html#!/2012/06/ximbo.html</w:t>
        </w:r>
      </w:hyperlink>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2"/>
        <w:rPr>
          <w:rFonts w:ascii="Calibri"/>
          <w:sz w:val="17"/>
        </w:rPr>
      </w:pPr>
    </w:p>
    <w:p>
      <w:pPr>
        <w:pStyle w:val="BodyText"/>
        <w:spacing w:line="360" w:lineRule="auto"/>
        <w:ind w:left="122" w:right="117"/>
        <w:jc w:val="both"/>
      </w:pPr>
      <w:r>
        <w:rPr/>
        <w:t>De igual forma la comida típica de la comunidad ha sufrido cambios, las  entrevistas demostraron que los niños son más susceptibles a cambiar su forma  de alimentación, sustituyendo la comida típica por la comida rápida. Con respecto a la demás población, apoyan la idea de guardar y preservar la cocina tradicional para generaciones</w:t>
      </w:r>
      <w:r>
        <w:rPr>
          <w:spacing w:val="-9"/>
        </w:rPr>
        <w:t> </w:t>
      </w:r>
      <w:r>
        <w:rPr/>
        <w:t>futuras.</w:t>
      </w:r>
    </w:p>
    <w:p>
      <w:pPr>
        <w:pStyle w:val="BodyText"/>
        <w:rPr>
          <w:sz w:val="20"/>
        </w:rPr>
      </w:pPr>
    </w:p>
    <w:p>
      <w:pPr>
        <w:pStyle w:val="BodyText"/>
        <w:rPr>
          <w:sz w:val="20"/>
        </w:rPr>
      </w:pPr>
    </w:p>
    <w:p>
      <w:pPr>
        <w:pStyle w:val="BodyText"/>
        <w:rPr>
          <w:sz w:val="20"/>
        </w:rPr>
      </w:pPr>
    </w:p>
    <w:p>
      <w:pPr>
        <w:pStyle w:val="BodyText"/>
        <w:spacing w:before="11"/>
        <w:rPr>
          <w:sz w:val="22"/>
        </w:rPr>
      </w:pPr>
      <w:r>
        <w:rPr/>
        <w:pict>
          <v:line style="position:absolute;mso-position-horizontal-relative:page;mso-position-vertical-relative:paragraph;z-index:1240;mso-wrap-distance-left:0;mso-wrap-distance-right:0" from="85.103996pt,15.536847pt" to="229.123996pt,15.536847pt" stroked="true" strokeweight=".71997pt" strokecolor="#000000">
            <w10:wrap type="topAndBottom"/>
          </v:line>
        </w:pict>
      </w:r>
    </w:p>
    <w:p>
      <w:pPr>
        <w:spacing w:before="39"/>
        <w:ind w:left="122" w:right="265" w:firstLine="0"/>
        <w:jc w:val="left"/>
        <w:rPr>
          <w:rFonts w:ascii="Calibri" w:hAnsi="Calibri"/>
          <w:sz w:val="20"/>
        </w:rPr>
      </w:pPr>
      <w:r>
        <w:rPr>
          <w:rFonts w:ascii="Calibri" w:hAnsi="Calibri"/>
          <w:position w:val="10"/>
          <w:sz w:val="13"/>
        </w:rPr>
        <w:t>4 </w:t>
      </w:r>
      <w:r>
        <w:rPr>
          <w:rFonts w:ascii="Calibri" w:hAnsi="Calibri"/>
          <w:sz w:val="20"/>
        </w:rPr>
        <w:t>Ximbo platillo típico de la zona del Valle del Mezquital, en específico del poblado del El Arenal y consta de pollo relleno de cueritos de puerco o chamorro y se envuelve en penca de maguey.</w:t>
      </w:r>
    </w:p>
    <w:p>
      <w:pPr>
        <w:spacing w:after="0"/>
        <w:jc w:val="left"/>
        <w:rPr>
          <w:rFonts w:ascii="Calibri" w:hAnsi="Calibri"/>
          <w:sz w:val="20"/>
        </w:rPr>
        <w:sectPr>
          <w:pgSz w:w="12240" w:h="15840"/>
          <w:pgMar w:header="0" w:footer="1003" w:top="1360" w:bottom="1200" w:left="1580" w:right="1580"/>
        </w:sectPr>
      </w:pPr>
    </w:p>
    <w:p>
      <w:pPr>
        <w:pStyle w:val="BodyText"/>
        <w:spacing w:before="5"/>
        <w:rPr>
          <w:rFonts w:ascii="Calibri"/>
          <w:sz w:val="21"/>
        </w:rPr>
      </w:pPr>
    </w:p>
    <w:p>
      <w:pPr>
        <w:pStyle w:val="Heading2"/>
        <w:numPr>
          <w:ilvl w:val="1"/>
          <w:numId w:val="16"/>
        </w:numPr>
        <w:tabs>
          <w:tab w:pos="750" w:val="left" w:leader="none"/>
        </w:tabs>
        <w:spacing w:line="240" w:lineRule="auto" w:before="66" w:after="0"/>
        <w:ind w:left="750" w:right="0" w:hanging="648"/>
        <w:jc w:val="both"/>
      </w:pPr>
      <w:bookmarkStart w:name="_TOC_250002" w:id="44"/>
      <w:r>
        <w:rPr/>
        <w:t>Otros</w:t>
      </w:r>
      <w:r>
        <w:rPr>
          <w:spacing w:val="-2"/>
        </w:rPr>
        <w:t> </w:t>
      </w:r>
      <w:bookmarkEnd w:id="44"/>
      <w:r>
        <w:rPr/>
        <w:t>cambios</w:t>
      </w:r>
    </w:p>
    <w:p>
      <w:pPr>
        <w:pStyle w:val="BodyText"/>
        <w:spacing w:before="1"/>
        <w:rPr>
          <w:b/>
          <w:sz w:val="36"/>
        </w:rPr>
      </w:pPr>
    </w:p>
    <w:p>
      <w:pPr>
        <w:pStyle w:val="BodyText"/>
        <w:spacing w:line="360" w:lineRule="auto" w:before="1"/>
        <w:ind w:left="102" w:right="117"/>
        <w:jc w:val="both"/>
      </w:pPr>
      <w:r>
        <w:rPr/>
        <w:t>De forma similar, aunque no todos los informantes perciben un cambio, la música puede cambiar como consecuencia del turismo de nostalgia. El sector de la población que es más susceptible a estos cambios son los jóvenes y que pueden adoptar cierto tipo de moda de acuerdo a la música que escuchan.</w:t>
      </w:r>
    </w:p>
    <w:p>
      <w:pPr>
        <w:pStyle w:val="BodyText"/>
      </w:pPr>
    </w:p>
    <w:p>
      <w:pPr>
        <w:spacing w:line="360" w:lineRule="auto" w:before="139"/>
        <w:ind w:left="745" w:right="121" w:firstLine="0"/>
        <w:jc w:val="both"/>
        <w:rPr>
          <w:sz w:val="24"/>
        </w:rPr>
      </w:pPr>
      <w:r>
        <w:rPr>
          <w:i/>
          <w:sz w:val="24"/>
        </w:rPr>
        <w:t>“Pues si llegan jóvenes se quieren traer el ritmo de allá porque hay más </w:t>
      </w:r>
      <w:r>
        <w:rPr>
          <w:i/>
          <w:sz w:val="24"/>
        </w:rPr>
        <w:t>dinero y ellos pueden comprar bebida, pero eso lo hacen también porque están lejos y pues si tienen la forma lo hacen, también hacen amigos entonces la diversión es la música” </w:t>
      </w:r>
      <w:r>
        <w:rPr>
          <w:sz w:val="24"/>
        </w:rPr>
        <w:t>(Carmen, 54 años).</w:t>
      </w:r>
    </w:p>
    <w:p>
      <w:pPr>
        <w:pStyle w:val="BodyText"/>
      </w:pPr>
    </w:p>
    <w:p>
      <w:pPr>
        <w:spacing w:line="360" w:lineRule="auto" w:before="142"/>
        <w:ind w:left="745" w:right="120" w:firstLine="0"/>
        <w:jc w:val="both"/>
        <w:rPr>
          <w:sz w:val="24"/>
        </w:rPr>
      </w:pPr>
      <w:r>
        <w:rPr>
          <w:i/>
          <w:sz w:val="24"/>
        </w:rPr>
        <w:t>“La juventud ahorita bailan el ese reggaetón todo eso que no se conocía, es </w:t>
      </w:r>
      <w:r>
        <w:rPr>
          <w:i/>
          <w:sz w:val="24"/>
        </w:rPr>
        <w:t>lo que yo veo porque uno ya de grande es música de banda” </w:t>
      </w:r>
      <w:r>
        <w:rPr>
          <w:sz w:val="24"/>
        </w:rPr>
        <w:t>(Víctor, 65 años).</w:t>
      </w:r>
    </w:p>
    <w:p>
      <w:pPr>
        <w:pStyle w:val="BodyText"/>
      </w:pPr>
    </w:p>
    <w:p>
      <w:pPr>
        <w:spacing w:line="360" w:lineRule="auto" w:before="140"/>
        <w:ind w:left="745" w:right="117" w:firstLine="0"/>
        <w:jc w:val="both"/>
        <w:rPr>
          <w:sz w:val="24"/>
        </w:rPr>
      </w:pPr>
      <w:r>
        <w:rPr>
          <w:i/>
          <w:sz w:val="24"/>
        </w:rPr>
        <w:t>“Los jóvenes escuchan la música moderna, por ejemplo en inglés, pasan en </w:t>
      </w:r>
      <w:r>
        <w:rPr>
          <w:i/>
          <w:sz w:val="24"/>
        </w:rPr>
        <w:t>sus coches, con su grabadora, con el ruidaso, no han de saber lo que dice pero sí la escuchan, también escuchan la banda, norteña y todo eso” </w:t>
      </w:r>
      <w:r>
        <w:rPr>
          <w:sz w:val="24"/>
        </w:rPr>
        <w:t>(Juanita, 58 años).</w:t>
      </w:r>
    </w:p>
    <w:p>
      <w:pPr>
        <w:pStyle w:val="BodyText"/>
      </w:pPr>
    </w:p>
    <w:p>
      <w:pPr>
        <w:pStyle w:val="BodyText"/>
      </w:pPr>
    </w:p>
    <w:p>
      <w:pPr>
        <w:pStyle w:val="BodyText"/>
        <w:spacing w:before="5"/>
      </w:pPr>
    </w:p>
    <w:p>
      <w:pPr>
        <w:pStyle w:val="BodyText"/>
        <w:spacing w:line="360" w:lineRule="auto"/>
        <w:ind w:left="102" w:right="116"/>
        <w:jc w:val="both"/>
      </w:pPr>
      <w:r>
        <w:rPr/>
        <w:t>Por otro lado otro cambio que se observó está asociado con la fiesta patronal, ya que existe una gran dependencia económica del turismo de nostalgia. Al mismo tiempo se reportó que el beneficio económico es reciente. Al preguntar sobre el beneficio de esta práctica turística, una entrevistada respondió:</w:t>
      </w:r>
    </w:p>
    <w:p>
      <w:pPr>
        <w:pStyle w:val="BodyText"/>
      </w:pPr>
    </w:p>
    <w:p>
      <w:pPr>
        <w:spacing w:line="360" w:lineRule="auto" w:before="139"/>
        <w:ind w:left="745" w:right="117" w:firstLine="67"/>
        <w:jc w:val="both"/>
        <w:rPr>
          <w:i/>
          <w:sz w:val="24"/>
        </w:rPr>
      </w:pPr>
      <w:r>
        <w:rPr>
          <w:i/>
          <w:sz w:val="24"/>
        </w:rPr>
        <w:t>“Se festeja el 15 de agosto y se festeja al señor de Chalma, a cada familia  </w:t>
      </w:r>
      <w:r>
        <w:rPr>
          <w:i/>
          <w:sz w:val="24"/>
        </w:rPr>
        <w:t>le toca la mayordomía por un año, y en ese año tienen que juntar dinero  para hacer la fiesta, o sea tienen que comprar flores para adornar la iglesia, hacer tamales, atole y algunas veces aguinaldos, muchas veces los  </w:t>
      </w:r>
      <w:r>
        <w:rPr>
          <w:i/>
          <w:spacing w:val="26"/>
          <w:sz w:val="24"/>
        </w:rPr>
        <w:t> </w:t>
      </w:r>
      <w:r>
        <w:rPr>
          <w:i/>
          <w:sz w:val="24"/>
        </w:rPr>
        <w:t>demás</w:t>
      </w:r>
    </w:p>
    <w:p>
      <w:pPr>
        <w:spacing w:after="0" w:line="360" w:lineRule="auto"/>
        <w:jc w:val="both"/>
        <w:rPr>
          <w:sz w:val="24"/>
        </w:rPr>
        <w:sectPr>
          <w:pgSz w:w="12240" w:h="15840"/>
          <w:pgMar w:header="0" w:footer="1003" w:top="1500" w:bottom="1200" w:left="1600" w:right="1580"/>
        </w:sectPr>
      </w:pPr>
    </w:p>
    <w:p>
      <w:pPr>
        <w:spacing w:line="360" w:lineRule="auto" w:before="51"/>
        <w:ind w:left="625" w:right="116" w:firstLine="0"/>
        <w:jc w:val="both"/>
        <w:rPr>
          <w:sz w:val="24"/>
        </w:rPr>
      </w:pPr>
      <w:r>
        <w:rPr>
          <w:i/>
          <w:sz w:val="24"/>
        </w:rPr>
        <w:t>pueblos vienen a ver que hay; pero como unos ocho años las personas que </w:t>
      </w:r>
      <w:r>
        <w:rPr>
          <w:i/>
          <w:sz w:val="24"/>
        </w:rPr>
        <w:t>están en Estados Unidos pues como mandan dinero, la fiesta se hace más bonita por que compran mucha flor y cohete, pues se ve bien y también ofrecen más comida. Por ejemplo hace dos años los que estuvieron de mayordomos dieron de comer los ximbo, que ese platillo es muy rico, lleva pollo relleno de cueritos de puerco o puede ser de chamorro y va envuelto en penca de maguey, es muy tradicional de por acá de El Arenal” </w:t>
      </w:r>
      <w:r>
        <w:rPr>
          <w:sz w:val="24"/>
        </w:rPr>
        <w:t>(Juanita, 58</w:t>
      </w:r>
      <w:r>
        <w:rPr>
          <w:spacing w:val="-3"/>
          <w:sz w:val="24"/>
        </w:rPr>
        <w:t> </w:t>
      </w:r>
      <w:r>
        <w:rPr>
          <w:sz w:val="24"/>
        </w:rPr>
        <w:t>años).</w:t>
      </w:r>
    </w:p>
    <w:p>
      <w:pPr>
        <w:spacing w:after="0" w:line="360" w:lineRule="auto"/>
        <w:jc w:val="both"/>
        <w:rPr>
          <w:sz w:val="24"/>
        </w:rPr>
        <w:sectPr>
          <w:pgSz w:w="12240" w:h="15840"/>
          <w:pgMar w:header="0" w:footer="1003" w:top="1360" w:bottom="1200" w:left="1720" w:right="1580"/>
        </w:sectPr>
      </w:pPr>
    </w:p>
    <w:p>
      <w:pPr>
        <w:pStyle w:val="Heading1"/>
        <w:ind w:right="15"/>
      </w:pPr>
      <w:bookmarkStart w:name="_TOC_250001" w:id="45"/>
      <w:bookmarkEnd w:id="45"/>
      <w:r>
        <w:rPr/>
        <w:t>CONCLUSIONES</w:t>
      </w:r>
    </w:p>
    <w:p>
      <w:pPr>
        <w:pStyle w:val="BodyText"/>
        <w:rPr>
          <w:b/>
          <w:sz w:val="28"/>
        </w:rPr>
      </w:pPr>
    </w:p>
    <w:p>
      <w:pPr>
        <w:pStyle w:val="BodyText"/>
        <w:spacing w:line="360" w:lineRule="auto" w:before="246"/>
        <w:ind w:left="102" w:right="123"/>
        <w:jc w:val="both"/>
      </w:pPr>
      <w:r>
        <w:rPr/>
        <w:t>La presente investigación tuvo como objetivo identificar las percepciones de los residentes hacia el turismo de nostalgia y los cambios inducidos por éste en un destino donde la gran mayoría de sus habitantes han emigrado. Como se pudo notar a través de los hallazgos aquí descritos, los jóvenes y principalmente los niños son las más susceptibles a los cambios que el turismo de nostalgia genera en la comunidad.</w:t>
      </w:r>
    </w:p>
    <w:p>
      <w:pPr>
        <w:pStyle w:val="BodyText"/>
        <w:spacing w:line="360" w:lineRule="auto" w:before="205"/>
        <w:ind w:left="102" w:right="115"/>
        <w:jc w:val="both"/>
      </w:pPr>
      <w:r>
        <w:rPr/>
        <w:t>Como primera parte, el estudio analizó aquellos impactos culturales que los habitantes perciben en su comunidad y las consecuencias que ha traído el fenómeno de la migración. Como consecuencia de dicha apreciación se puede considerar que los residentes están conscientes de los cambios que ha traído el turismo de nostalgia y como en un momento dado estos puede ser clasificarlos en impactos positivos y negativos. Se concluye que los niños son los principales receptores de los cambios asociados al turismo de nostalgia, provocado por las actitudes y comportamientos a partir de lo que observan de sus mayores.</w:t>
      </w:r>
    </w:p>
    <w:p>
      <w:pPr>
        <w:pStyle w:val="BodyText"/>
        <w:spacing w:line="360" w:lineRule="auto" w:before="204"/>
        <w:ind w:left="102" w:right="118"/>
        <w:jc w:val="both"/>
      </w:pPr>
      <w:r>
        <w:rPr/>
        <w:t>De acuerdo con la escasa literatura sobre nostalgia y por lo consiguiente sobre turismo de nostalgia, puede ser una desventaja cuando se tenga que identificar los cambios que ha producido esta práctica turística a través de la migración. Es así que algunos cambios producidos por estos turistas de nostalgia se convierten en agentes de cambio y de difusión de nuevas ideas en sus comunidades de origen, favoreciendo modificaciones en aspectos como las formas de organización productiva, social o política (Goldscheider, 1987). A nivel familiar, las remesas podrían tener un impacto positivo en las condiciones de vida de los miembros del hogar en la medida en que se traduzcan en inversiones productivas, por ejemplo,  a través del establecimiento de negocios familiares o pequeñas empresas que eleven el nivel de ingresos del hogar o en la medida en que se inviertan en capital humano, es decir, en salud y educación (Lindstrom, 1996; Durand </w:t>
      </w:r>
      <w:r>
        <w:rPr>
          <w:i/>
        </w:rPr>
        <w:t>et al.</w:t>
      </w:r>
      <w:r>
        <w:rPr>
          <w:i/>
          <w:spacing w:val="-21"/>
        </w:rPr>
        <w:t> </w:t>
      </w:r>
      <w:r>
        <w:rPr/>
        <w:t>1998).</w:t>
      </w:r>
    </w:p>
    <w:p>
      <w:pPr>
        <w:pStyle w:val="BodyText"/>
        <w:spacing w:line="360" w:lineRule="auto" w:before="206"/>
        <w:ind w:left="102" w:right="125"/>
        <w:jc w:val="both"/>
      </w:pPr>
      <w:r>
        <w:rPr/>
        <w:t>Es así que los hallazgos demostraron aquellos cambios que han experimentado la comunidad y sus residentes por el constante ir y venir de migrantes. Cabe  señalar</w:t>
      </w:r>
    </w:p>
    <w:p>
      <w:pPr>
        <w:spacing w:after="0" w:line="360" w:lineRule="auto"/>
        <w:jc w:val="both"/>
        <w:sectPr>
          <w:pgSz w:w="12240" w:h="15840"/>
          <w:pgMar w:header="0" w:footer="1003" w:top="1360" w:bottom="1200" w:left="1600" w:right="1580"/>
        </w:sectPr>
      </w:pPr>
    </w:p>
    <w:p>
      <w:pPr>
        <w:pStyle w:val="BodyText"/>
        <w:spacing w:line="362" w:lineRule="auto" w:before="54"/>
        <w:ind w:left="102" w:right="125"/>
        <w:jc w:val="both"/>
      </w:pPr>
      <w:r>
        <w:rPr/>
        <w:t>que el profundizar en los impactos culturales del turismo de nostalgia sería de gran relevancia para aquellas comunidades en donde se produce el fenómeno.</w:t>
      </w:r>
    </w:p>
    <w:p>
      <w:pPr>
        <w:pStyle w:val="BodyText"/>
      </w:pPr>
    </w:p>
    <w:p>
      <w:pPr>
        <w:pStyle w:val="BodyText"/>
        <w:spacing w:line="360" w:lineRule="auto" w:before="139"/>
        <w:ind w:left="102" w:right="117"/>
        <w:jc w:val="both"/>
      </w:pPr>
      <w:r>
        <w:rPr/>
        <w:t>Asimismo interpretar los cambios en las estructuras familiares principalmente los roles y conocer las percepciones tanto del género femenino y masculino. Si bien los hallazgos arrojaron resultados limitados en términos de cantidad, no por eso son menos importantes. Sin embargo, se requiere de una mayor investigación empírica.</w:t>
      </w:r>
    </w:p>
    <w:p>
      <w:pPr>
        <w:pStyle w:val="BodyText"/>
      </w:pPr>
    </w:p>
    <w:p>
      <w:pPr>
        <w:pStyle w:val="BodyText"/>
        <w:spacing w:line="360" w:lineRule="auto" w:before="142"/>
        <w:ind w:left="102" w:right="117"/>
        <w:jc w:val="both"/>
      </w:pPr>
      <w:r>
        <w:rPr/>
        <w:t>Finalmente el presente estudio intentó responder algunos cuestionamientos  A partir de los resultados, es posible visualizar nuevas líneas de investigación que podría ser abordabas de manera más específica. Un aspecto sobre el que se  debe profundizar es la percepción de jóvenes y niños sobre el turismo de  nostalgia. Otro aspecto que merece atención es si existe migración por parte de los niños. Sólo abordando aspectos como éstos, la percepción del turismo de nostalgia y sus impactos seguirá enriqueciéndose como área de</w:t>
      </w:r>
      <w:r>
        <w:rPr>
          <w:spacing w:val="-26"/>
        </w:rPr>
        <w:t> </w:t>
      </w:r>
      <w:r>
        <w:rPr/>
        <w:t>estudio.</w:t>
      </w:r>
    </w:p>
    <w:p>
      <w:pPr>
        <w:spacing w:after="0" w:line="360" w:lineRule="auto"/>
        <w:jc w:val="both"/>
        <w:sectPr>
          <w:pgSz w:w="12240" w:h="15840"/>
          <w:pgMar w:header="0" w:footer="1003" w:top="1360" w:bottom="1200" w:left="1600" w:right="1580"/>
        </w:sectPr>
      </w:pPr>
    </w:p>
    <w:p>
      <w:pPr>
        <w:pStyle w:val="Heading1"/>
        <w:ind w:right="18"/>
      </w:pPr>
      <w:bookmarkStart w:name="_TOC_250000" w:id="46"/>
      <w:bookmarkEnd w:id="46"/>
      <w:r>
        <w:rPr/>
        <w:t>FUENTES CITADAS</w:t>
      </w:r>
    </w:p>
    <w:p>
      <w:pPr>
        <w:pStyle w:val="BodyText"/>
        <w:rPr>
          <w:b/>
          <w:sz w:val="28"/>
        </w:rPr>
      </w:pPr>
    </w:p>
    <w:p>
      <w:pPr>
        <w:pStyle w:val="BodyText"/>
        <w:spacing w:before="10"/>
        <w:rPr>
          <w:b/>
          <w:sz w:val="29"/>
        </w:rPr>
      </w:pPr>
    </w:p>
    <w:p>
      <w:pPr>
        <w:pStyle w:val="BodyText"/>
        <w:spacing w:line="360" w:lineRule="auto" w:before="1"/>
        <w:ind w:left="810" w:right="124" w:hanging="708"/>
        <w:jc w:val="both"/>
      </w:pPr>
      <w:r>
        <w:rPr/>
        <w:t>Alba, Francisco (1980). Éxodo silencioso: la emigración de trabajadores  mexicanos a Estados Unidos. En Migración y Desarrollo 5. México: Consejo Latinoamericano de Ciencias Sociales, El Colegio de</w:t>
      </w:r>
      <w:r>
        <w:rPr>
          <w:spacing w:val="-20"/>
        </w:rPr>
        <w:t> </w:t>
      </w:r>
      <w:r>
        <w:rPr/>
        <w:t>México.</w:t>
      </w:r>
    </w:p>
    <w:p>
      <w:pPr>
        <w:pStyle w:val="BodyText"/>
        <w:spacing w:before="204"/>
        <w:ind w:left="102"/>
      </w:pPr>
      <w:r>
        <w:rPr/>
        <w:t>Alley, K.D. (1998). Images of waste and purification on the banks of the Ganga.</w:t>
      </w:r>
    </w:p>
    <w:p>
      <w:pPr>
        <w:pStyle w:val="BodyText"/>
        <w:spacing w:before="139"/>
        <w:ind w:left="810"/>
      </w:pPr>
      <w:r>
        <w:rPr/>
        <w:t>City and Society, 10(1), pp. 167–82.</w:t>
      </w:r>
    </w:p>
    <w:p>
      <w:pPr>
        <w:pStyle w:val="BodyText"/>
        <w:spacing w:before="4"/>
        <w:rPr>
          <w:sz w:val="29"/>
        </w:rPr>
      </w:pPr>
    </w:p>
    <w:p>
      <w:pPr>
        <w:spacing w:before="0"/>
        <w:ind w:left="810" w:right="145" w:hanging="708"/>
        <w:jc w:val="both"/>
        <w:rPr>
          <w:sz w:val="23"/>
        </w:rPr>
      </w:pPr>
      <w:r>
        <w:rPr>
          <w:sz w:val="23"/>
        </w:rPr>
        <w:t>Anguera, M.T. (1991). Metodología observacional en la investigación psicológica. Vol I y II. Barcelona: PPU.</w:t>
      </w:r>
    </w:p>
    <w:p>
      <w:pPr>
        <w:pStyle w:val="BodyText"/>
        <w:spacing w:before="10"/>
        <w:rPr>
          <w:sz w:val="22"/>
        </w:rPr>
      </w:pPr>
    </w:p>
    <w:p>
      <w:pPr>
        <w:pStyle w:val="BodyText"/>
        <w:ind w:left="102"/>
      </w:pPr>
      <w:r>
        <w:rPr/>
        <w:t>Berger, T. (2010). Modificaciones al maguey. México.</w:t>
      </w:r>
    </w:p>
    <w:p>
      <w:pPr>
        <w:pStyle w:val="BodyText"/>
        <w:spacing w:before="4"/>
        <w:rPr>
          <w:sz w:val="29"/>
        </w:rPr>
      </w:pPr>
    </w:p>
    <w:p>
      <w:pPr>
        <w:pStyle w:val="BodyText"/>
        <w:spacing w:before="1"/>
        <w:ind w:left="102"/>
      </w:pPr>
      <w:r>
        <w:rPr/>
        <w:t>Benítez, Fernando (1972). El libro de la infamia. (I). 2º.ed. Era. México.</w:t>
      </w:r>
    </w:p>
    <w:p>
      <w:pPr>
        <w:pStyle w:val="BodyText"/>
        <w:spacing w:before="4"/>
        <w:rPr>
          <w:sz w:val="29"/>
        </w:rPr>
      </w:pPr>
    </w:p>
    <w:p>
      <w:pPr>
        <w:pStyle w:val="BodyText"/>
        <w:spacing w:line="360" w:lineRule="auto" w:before="1"/>
        <w:ind w:left="810" w:right="120" w:hanging="708"/>
        <w:jc w:val="both"/>
      </w:pPr>
      <w:r>
        <w:rPr/>
        <w:t>Bodgan, Robert y Biklen, Sari Knopp (1982). Qualitative research for education: An introduccion to theory and methods. Ed. Allyn and Bacon. Boston.</w:t>
      </w:r>
    </w:p>
    <w:p>
      <w:pPr>
        <w:pStyle w:val="BodyText"/>
        <w:spacing w:line="360" w:lineRule="auto" w:before="204"/>
        <w:ind w:left="810" w:right="119" w:hanging="708"/>
        <w:jc w:val="both"/>
      </w:pPr>
      <w:r>
        <w:rPr/>
        <w:t>Brida, Juan Gabriel; Pereyra, Juan Sebastián; Such Devesa, María Jesús; Zapata Aguirre, Sandra (2008). La contribución del turismo al crecimiento económico. Cuadernos de Turismo, Núm. 22. Universidad de Murcia. España. Pp. 35-46.</w:t>
      </w:r>
    </w:p>
    <w:p>
      <w:pPr>
        <w:pStyle w:val="BodyText"/>
        <w:spacing w:line="360" w:lineRule="auto" w:before="202"/>
        <w:ind w:left="810" w:right="125" w:hanging="708"/>
        <w:jc w:val="both"/>
      </w:pPr>
      <w:r>
        <w:rPr/>
        <w:t>Castillo Yui, Cecilia (s/a). El turismo propulsor de cambios y transformación de las sociedades. Facultad de Ciencias Administrativas UNMSM.</w:t>
      </w:r>
    </w:p>
    <w:p>
      <w:pPr>
        <w:pStyle w:val="BodyText"/>
        <w:spacing w:line="360" w:lineRule="auto" w:before="204"/>
        <w:ind w:left="810" w:right="128" w:hanging="708"/>
        <w:jc w:val="both"/>
      </w:pPr>
      <w:r>
        <w:rPr/>
        <w:t>Castillo, E. y Vásquez, M. (2003). El rigor metodológico en la investigación cualitativa. Revista Colombia Médica. Vol. 34. No. 3. Pp. 164-167.</w:t>
      </w:r>
    </w:p>
    <w:p>
      <w:pPr>
        <w:pStyle w:val="BodyText"/>
        <w:spacing w:line="360" w:lineRule="auto" w:before="205"/>
        <w:ind w:left="810" w:right="118" w:hanging="708"/>
        <w:jc w:val="both"/>
      </w:pPr>
      <w:r>
        <w:rPr/>
        <w:t>Castillo Nechar, Marcelino (2005). Inter, multidisciplinar y/o hibridación en los estudios socioculturales del turismo. Pasos, Revista de Turismo y  Patrimonio Cultural. España. Diciembre, Vol.3, núm.2. Pp.</w:t>
      </w:r>
      <w:r>
        <w:rPr>
          <w:spacing w:val="-16"/>
        </w:rPr>
        <w:t> </w:t>
      </w:r>
      <w:r>
        <w:rPr/>
        <w:t>229-243.</w:t>
      </w:r>
    </w:p>
    <w:p>
      <w:pPr>
        <w:pStyle w:val="BodyText"/>
        <w:spacing w:line="360" w:lineRule="auto" w:before="204"/>
        <w:ind w:left="810" w:right="123" w:hanging="708"/>
        <w:jc w:val="both"/>
      </w:pPr>
      <w:r>
        <w:rPr/>
        <w:t>Cooper, Chris; Fyall, Alan; Gilbert, David; Wanhill, Stephen (2007). El turismo teoría y práctica. Editorial Sintesis 3ª ed. España.</w:t>
      </w:r>
    </w:p>
    <w:p>
      <w:pPr>
        <w:spacing w:after="0" w:line="360" w:lineRule="auto"/>
        <w:jc w:val="both"/>
        <w:sectPr>
          <w:pgSz w:w="12240" w:h="15840"/>
          <w:pgMar w:header="0" w:footer="1003" w:top="1360" w:bottom="1200" w:left="1600" w:right="1580"/>
        </w:sectPr>
      </w:pPr>
    </w:p>
    <w:p>
      <w:pPr>
        <w:pStyle w:val="BodyText"/>
        <w:spacing w:line="362" w:lineRule="auto" w:before="54"/>
        <w:ind w:left="810" w:right="122" w:hanging="708"/>
        <w:jc w:val="both"/>
      </w:pPr>
      <w:r>
        <w:rPr/>
        <w:t>Contreras Montiel, Enrique (2004). Impacto de las remesas de divisas de la población de Ixmiquilpan. Estado de Hidalgo.</w:t>
      </w:r>
    </w:p>
    <w:p>
      <w:pPr>
        <w:pStyle w:val="BodyText"/>
        <w:spacing w:line="360" w:lineRule="auto" w:before="201"/>
        <w:ind w:left="810" w:right="124" w:hanging="708"/>
        <w:jc w:val="both"/>
      </w:pPr>
      <w:r>
        <w:rPr/>
        <w:t>Crespo Blanco, Cristina Martín y Salamanca Castro, Ana Belén (2007). El muestreo en la investigación cualitativa. Departamento de investigación de FUDEN. Núm. 27.</w:t>
      </w:r>
    </w:p>
    <w:p>
      <w:pPr>
        <w:pStyle w:val="BodyText"/>
        <w:spacing w:line="360" w:lineRule="auto" w:before="204"/>
        <w:ind w:left="810" w:right="127" w:hanging="708"/>
        <w:jc w:val="both"/>
      </w:pPr>
      <w:r>
        <w:rPr/>
        <w:t>Díaz, Gisela y Ortiz, Rafaela (2005). La entrevista cualitativa. Universidad Mesoaméricana.</w:t>
      </w:r>
    </w:p>
    <w:p>
      <w:pPr>
        <w:pStyle w:val="BodyText"/>
        <w:spacing w:line="360" w:lineRule="auto" w:before="205"/>
        <w:ind w:left="810" w:right="118" w:hanging="708"/>
        <w:jc w:val="both"/>
      </w:pPr>
      <w:r>
        <w:rPr/>
        <w:t>Diccionario de inglés de Oxford 2 ª ed (1998). “homesickness”, significa “nostalgia en concreto, sentimiento de extrañar una persona o lugar”.</w:t>
      </w:r>
    </w:p>
    <w:p>
      <w:pPr>
        <w:pStyle w:val="BodyText"/>
      </w:pPr>
    </w:p>
    <w:p>
      <w:pPr>
        <w:pStyle w:val="BodyText"/>
        <w:spacing w:line="360" w:lineRule="auto" w:before="142"/>
        <w:ind w:left="810" w:right="118" w:hanging="708"/>
        <w:jc w:val="both"/>
      </w:pPr>
      <w:r>
        <w:rPr/>
        <w:t>Durand, Jorge, William Kandel, Emilio A. Parrado y Douglas S. Massey (1996). International Migration and Development in Mexican Communities. En </w:t>
      </w:r>
      <w:r>
        <w:rPr>
          <w:i/>
        </w:rPr>
        <w:t>Demography</w:t>
      </w:r>
      <w:r>
        <w:rPr/>
        <w:t>, vol. 33, núm. 2. Pp. 249-264.</w:t>
      </w:r>
    </w:p>
    <w:p>
      <w:pPr>
        <w:pStyle w:val="BodyText"/>
      </w:pPr>
    </w:p>
    <w:p>
      <w:pPr>
        <w:spacing w:line="360" w:lineRule="auto" w:before="144"/>
        <w:ind w:left="810" w:right="119" w:hanging="708"/>
        <w:jc w:val="both"/>
        <w:rPr>
          <w:sz w:val="24"/>
        </w:rPr>
      </w:pPr>
      <w:r>
        <w:rPr>
          <w:sz w:val="24"/>
        </w:rPr>
        <w:t>Duval, David Timothy (2002). The Return Visit-Return Migration Connection, en C. Michael Hall y Allan M. Williams (eds.), </w:t>
      </w:r>
      <w:r>
        <w:rPr>
          <w:i/>
          <w:sz w:val="24"/>
        </w:rPr>
        <w:t>Tourism and Migration: New </w:t>
      </w:r>
      <w:r>
        <w:rPr>
          <w:i/>
          <w:sz w:val="24"/>
        </w:rPr>
        <w:t>Relationships between Production and Consumption</w:t>
      </w:r>
      <w:r>
        <w:rPr>
          <w:sz w:val="24"/>
        </w:rPr>
        <w:t>, Dordrecht: Kluwer Academic Publishers, pp. 257-276.</w:t>
      </w:r>
    </w:p>
    <w:p>
      <w:pPr>
        <w:pStyle w:val="BodyText"/>
      </w:pPr>
    </w:p>
    <w:p>
      <w:pPr>
        <w:pStyle w:val="BodyText"/>
        <w:spacing w:line="360" w:lineRule="auto" w:before="142"/>
        <w:ind w:left="810" w:right="119" w:hanging="708"/>
        <w:jc w:val="both"/>
      </w:pPr>
      <w:r>
        <w:rPr/>
        <w:t>Franklin, C. y Ballau, M. (2005). Reliability and validity in qualitative research. En: Grinnell, R. &amp; Unrau, Y. (Eds.). Social work: Research and evaluation. Quantitative and qualitative approaches. (pp.438-449). Nueva York: Oxford University Press.</w:t>
      </w:r>
    </w:p>
    <w:p>
      <w:pPr>
        <w:pStyle w:val="BodyText"/>
      </w:pPr>
    </w:p>
    <w:p>
      <w:pPr>
        <w:pStyle w:val="BodyText"/>
        <w:spacing w:before="142"/>
        <w:ind w:left="102"/>
      </w:pPr>
      <w:r>
        <w:rPr/>
        <w:t>Franco Aliaga, Tomas y García Guillén, Óscar (1999). Los impactos del turismo.</w:t>
      </w:r>
    </w:p>
    <w:p>
      <w:pPr>
        <w:pStyle w:val="BodyText"/>
        <w:spacing w:before="139"/>
        <w:ind w:left="810"/>
      </w:pPr>
      <w:r>
        <w:rPr/>
        <w:t>Espacio, Tiempo y Forma, serie VI, Geografía. Pp. 43-56.</w:t>
      </w:r>
    </w:p>
    <w:p>
      <w:pPr>
        <w:pStyle w:val="BodyText"/>
        <w:spacing w:before="2"/>
        <w:rPr>
          <w:sz w:val="29"/>
        </w:rPr>
      </w:pPr>
    </w:p>
    <w:p>
      <w:pPr>
        <w:pStyle w:val="BodyText"/>
        <w:ind w:left="102"/>
      </w:pPr>
      <w:r>
        <w:rPr/>
        <w:t>Gold, Raymond L. (1958). Roles in sociological field observations. Social    Forces,</w:t>
      </w:r>
    </w:p>
    <w:p>
      <w:pPr>
        <w:pStyle w:val="BodyText"/>
        <w:spacing w:before="137"/>
        <w:ind w:left="810"/>
      </w:pPr>
      <w:r>
        <w:rPr>
          <w:i/>
        </w:rPr>
        <w:t>36</w:t>
      </w:r>
      <w:r>
        <w:rPr/>
        <w:t>, 217-223.</w:t>
      </w:r>
    </w:p>
    <w:p>
      <w:pPr>
        <w:spacing w:after="0"/>
        <w:sectPr>
          <w:footerReference w:type="default" r:id="rId28"/>
          <w:pgSz w:w="12240" w:h="15840"/>
          <w:pgMar w:footer="1003" w:header="0" w:top="1360" w:bottom="1200" w:left="1600" w:right="1580"/>
        </w:sectPr>
      </w:pPr>
    </w:p>
    <w:p>
      <w:pPr>
        <w:pStyle w:val="BodyText"/>
        <w:spacing w:line="360" w:lineRule="auto" w:before="54"/>
        <w:ind w:left="810" w:right="120" w:hanging="708"/>
        <w:jc w:val="both"/>
      </w:pPr>
      <w:r>
        <w:rPr/>
        <w:t>Goldscheider, Calvin (1987). Migration and Social Structure: Analytical Issues and Comparative Perspectives in Developing Nations. En </w:t>
      </w:r>
      <w:r>
        <w:rPr>
          <w:i/>
        </w:rPr>
        <w:t>Sociological Forum, </w:t>
      </w:r>
      <w:r>
        <w:rPr/>
        <w:t>vol. 2, núm. 4. Pp. 674-696.</w:t>
      </w:r>
    </w:p>
    <w:p>
      <w:pPr>
        <w:pStyle w:val="BodyText"/>
        <w:spacing w:line="360" w:lineRule="auto" w:before="204"/>
        <w:ind w:left="810" w:right="118" w:hanging="708"/>
        <w:jc w:val="both"/>
      </w:pPr>
      <w:r>
        <w:rPr/>
        <w:t>Guba, E. y Lincoln, Y. (1989). Paradigmas en competencia en la investigación cualitativa. En Denman, C y J.A. Haro. Por los rincones. Antología de métodos cualitativos en la investigación social. El colegio de Sonora. Hermosillo, Sonora. Pp. 113-145.</w:t>
      </w:r>
    </w:p>
    <w:p>
      <w:pPr>
        <w:pStyle w:val="BodyText"/>
        <w:spacing w:line="362" w:lineRule="auto" w:before="202"/>
        <w:ind w:left="810" w:right="125" w:hanging="708"/>
        <w:jc w:val="both"/>
      </w:pPr>
      <w:r>
        <w:rPr/>
        <w:t>Hall, C. M. y Lew, A. (2009). Understanding and managing Tourism impacts: An integrated approach. Oxon: Routledge.</w:t>
      </w:r>
    </w:p>
    <w:p>
      <w:pPr>
        <w:pStyle w:val="BodyText"/>
        <w:spacing w:line="360" w:lineRule="auto" w:before="201"/>
        <w:ind w:left="810" w:right="125" w:hanging="708"/>
        <w:jc w:val="both"/>
      </w:pPr>
      <w:r>
        <w:rPr/>
        <w:t>Hernández Martín, Raúl (2004). Impacto económico del turismo. El papel de las importaciones como fugas del modelo. Sector Exterior Español. No.817.</w:t>
      </w:r>
    </w:p>
    <w:p>
      <w:pPr>
        <w:pStyle w:val="BodyText"/>
        <w:spacing w:before="204"/>
        <w:ind w:left="102"/>
      </w:pPr>
      <w:r>
        <w:rPr/>
        <w:t>Hernández  Sampieri,   R.,   Fernández  Collado,   C.,  Baptista   Lucio,   P. (1991).</w:t>
      </w:r>
    </w:p>
    <w:p>
      <w:pPr>
        <w:pStyle w:val="BodyText"/>
        <w:spacing w:before="139"/>
        <w:ind w:left="810"/>
      </w:pPr>
      <w:r>
        <w:rPr/>
        <w:t>Enfoques en la investigación cualitativa. México. Mc Graw Hill.</w:t>
      </w:r>
    </w:p>
    <w:p>
      <w:pPr>
        <w:pStyle w:val="BodyText"/>
        <w:spacing w:before="2"/>
        <w:rPr>
          <w:sz w:val="29"/>
        </w:rPr>
      </w:pPr>
    </w:p>
    <w:p>
      <w:pPr>
        <w:pStyle w:val="BodyText"/>
        <w:spacing w:line="360" w:lineRule="auto"/>
        <w:ind w:left="810" w:right="119" w:hanging="708"/>
        <w:jc w:val="both"/>
      </w:pPr>
      <w:r>
        <w:rPr/>
        <w:t>Hirai, Shinji (2008). Turismo nostálgico de los migrantes: El caso del retorno temporal masivo de los migrantes mexicanos a Jalostotitlán, Jalisco, proyecto de investigación posdoctoral en el Instituto de Investigaciones Antropológicas de la Universidad Autónoma de México. México.</w:t>
      </w:r>
    </w:p>
    <w:p>
      <w:pPr>
        <w:pStyle w:val="BodyText"/>
        <w:spacing w:line="360" w:lineRule="auto" w:before="204"/>
        <w:ind w:left="810" w:right="124" w:hanging="708"/>
        <w:jc w:val="both"/>
      </w:pPr>
      <w:r>
        <w:rPr/>
        <w:t>Hirai, Shinji (2009). Economía política de la nostalgia. Un estudio sobre la transformación del paisaje urbano en la migración transnacional entre México y Estados Unidos. UAM y Juan Pablos Editor, México.</w:t>
      </w:r>
    </w:p>
    <w:p>
      <w:pPr>
        <w:pStyle w:val="BodyText"/>
        <w:spacing w:line="360" w:lineRule="auto" w:before="202"/>
        <w:ind w:left="810" w:right="118" w:hanging="708"/>
        <w:jc w:val="both"/>
      </w:pPr>
      <w:r>
        <w:rPr/>
        <w:t>Huberman, A. y Miles, M. (2000). Métodos para el manejo y el análisis de datos. En: Denman, C., Haro, J. (Comp.). Por los rincones. Antología de métodos cualitativos en la investigación social. Hermosillo: El Colegio de Sonora. pp. 253-300.</w:t>
      </w:r>
    </w:p>
    <w:p>
      <w:pPr>
        <w:pStyle w:val="BodyText"/>
      </w:pPr>
    </w:p>
    <w:p>
      <w:pPr>
        <w:pStyle w:val="BodyText"/>
        <w:spacing w:line="360" w:lineRule="auto" w:before="142"/>
        <w:ind w:left="810" w:right="120" w:hanging="708"/>
        <w:jc w:val="both"/>
      </w:pPr>
      <w:r>
        <w:rPr/>
        <w:t>INEGI (2000). Página del Instituto Nacional de Estadística y Geografía “Sistema Nacional de Cuentas Nacionales 2000-2003”. Recuperado el 5 de septiembre,</w:t>
      </w:r>
      <w:hyperlink r:id="rId30">
        <w:r>
          <w:rPr/>
          <w:t>http://www.inegi.org.mx/prod_serv/contenidos/espanolbvinegi/pr</w:t>
        </w:r>
      </w:hyperlink>
    </w:p>
    <w:p>
      <w:pPr>
        <w:spacing w:after="0" w:line="360" w:lineRule="auto"/>
        <w:jc w:val="both"/>
        <w:sectPr>
          <w:footerReference w:type="default" r:id="rId29"/>
          <w:pgSz w:w="12240" w:h="15840"/>
          <w:pgMar w:footer="1003" w:header="0" w:top="1360" w:bottom="1200" w:left="1600" w:right="1580"/>
          <w:pgNumType w:start="61"/>
        </w:sectPr>
      </w:pPr>
    </w:p>
    <w:p>
      <w:pPr>
        <w:pStyle w:val="BodyText"/>
        <w:spacing w:line="362" w:lineRule="auto" w:before="54"/>
        <w:ind w:left="810" w:right="812"/>
      </w:pPr>
      <w:r>
        <w:rPr/>
        <w:t>oductos/derivada/cuentas/bienes%20y%20servicios/2004/CByS1995- 1999.Pdf.</w:t>
      </w:r>
    </w:p>
    <w:p>
      <w:pPr>
        <w:pStyle w:val="BodyText"/>
        <w:tabs>
          <w:tab w:pos="1951" w:val="left" w:leader="none"/>
          <w:tab w:pos="2425" w:val="left" w:leader="none"/>
          <w:tab w:pos="3524" w:val="left" w:leader="none"/>
          <w:tab w:pos="4920" w:val="left" w:leader="none"/>
          <w:tab w:pos="6423" w:val="left" w:leader="none"/>
          <w:tab w:pos="7936" w:val="left" w:leader="none"/>
          <w:tab w:pos="8329" w:val="left" w:leader="none"/>
          <w:tab w:pos="8669" w:val="left" w:leader="none"/>
        </w:tabs>
        <w:spacing w:line="360" w:lineRule="auto" w:before="201"/>
        <w:ind w:left="810" w:right="120" w:hanging="708"/>
      </w:pPr>
      <w:r>
        <w:rPr/>
        <w:t>INEGI (2004). Página del Instituto Nacional de Estadística y Geografía “Sistema Nacional</w:t>
        <w:tab/>
        <w:t>de</w:t>
        <w:tab/>
        <w:t>Cuentas</w:t>
        <w:tab/>
        <w:t>Nacionales</w:t>
        <w:tab/>
        <w:t>2000-2003”.</w:t>
        <w:tab/>
        <w:t>Recuperado</w:t>
        <w:tab/>
        <w:t>el</w:t>
        <w:tab/>
        <w:t>5</w:t>
        <w:tab/>
        <w:t>de septiembre,</w:t>
      </w:r>
      <w:hyperlink r:id="rId30">
        <w:r>
          <w:rPr/>
          <w:t>http://www.inegi.org.mx/prod_serv/contenidos/espanolbvinegi/pr</w:t>
        </w:r>
      </w:hyperlink>
      <w:r>
        <w:rPr/>
        <w:t> oductos/derivada/cuentas/bienes%20y%20servicios/2004/CByS1999- 2003.Pdf.</w:t>
      </w:r>
    </w:p>
    <w:p>
      <w:pPr>
        <w:pStyle w:val="BodyText"/>
        <w:tabs>
          <w:tab w:pos="1951" w:val="left" w:leader="none"/>
          <w:tab w:pos="2425" w:val="left" w:leader="none"/>
          <w:tab w:pos="3524" w:val="left" w:leader="none"/>
          <w:tab w:pos="4920" w:val="left" w:leader="none"/>
          <w:tab w:pos="6423" w:val="left" w:leader="none"/>
          <w:tab w:pos="7936" w:val="left" w:leader="none"/>
          <w:tab w:pos="8329" w:val="left" w:leader="none"/>
          <w:tab w:pos="8669" w:val="left" w:leader="none"/>
        </w:tabs>
        <w:spacing w:line="360" w:lineRule="auto" w:before="202"/>
        <w:ind w:left="810" w:right="120" w:hanging="708"/>
      </w:pPr>
      <w:r>
        <w:rPr/>
        <w:t>INEGI (2005). Página del Instituto Nacional de Estadística y Geografía “Sistema Nacional</w:t>
        <w:tab/>
        <w:t>de</w:t>
        <w:tab/>
        <w:t>Cuentas</w:t>
        <w:tab/>
        <w:t>Nacionales</w:t>
        <w:tab/>
        <w:t>2000-2003”.</w:t>
        <w:tab/>
        <w:t>Recuperado</w:t>
        <w:tab/>
        <w:t>el</w:t>
        <w:tab/>
        <w:t>5</w:t>
        <w:tab/>
        <w:t>de septiembre,</w:t>
      </w:r>
      <w:hyperlink r:id="rId30">
        <w:r>
          <w:rPr/>
          <w:t>http://www.inegi.org.mx/prod_serv/contenidos/espanolbvinegi/pr</w:t>
        </w:r>
      </w:hyperlink>
      <w:r>
        <w:rPr/>
        <w:t> oductos/derivada/cuentas/bienes%20y%20servicios/2004/CByS2000- 2004.Pdf.</w:t>
      </w:r>
    </w:p>
    <w:p>
      <w:pPr>
        <w:pStyle w:val="BodyText"/>
        <w:spacing w:line="360" w:lineRule="auto" w:before="204"/>
        <w:ind w:left="810" w:right="118" w:hanging="708"/>
        <w:jc w:val="both"/>
      </w:pPr>
      <w:r>
        <w:rPr/>
        <w:t>Kincheloe, J.L y McLaren, P. L (1994). Rethinking critical theory and qualitative Research. En N. Denzin y Y. Lincoln. Handbook of qualitative research. Londres: Sage.</w:t>
      </w:r>
    </w:p>
    <w:p>
      <w:pPr>
        <w:pStyle w:val="BodyText"/>
        <w:spacing w:before="204"/>
        <w:ind w:left="102"/>
      </w:pPr>
      <w:r>
        <w:rPr/>
        <w:t>Ley  de  General  de  Equilibrio  Ecológico  y  la  Protección  al  Ambiente    (2004).</w:t>
      </w:r>
    </w:p>
    <w:p>
      <w:pPr>
        <w:pStyle w:val="BodyText"/>
        <w:spacing w:before="139"/>
        <w:ind w:left="810"/>
      </w:pPr>
      <w:r>
        <w:rPr/>
        <w:t>Disponible en </w:t>
      </w:r>
      <w:hyperlink r:id="rId31">
        <w:r>
          <w:rPr>
            <w:color w:val="0000FF"/>
            <w:u w:val="single" w:color="0000FF"/>
          </w:rPr>
          <w:t>www.diputados.gob.mx/LeyesBiblio/pdf/148.pdf</w:t>
        </w:r>
      </w:hyperlink>
      <w:r>
        <w:rPr/>
        <w:t>.</w:t>
      </w:r>
    </w:p>
    <w:p>
      <w:pPr>
        <w:pStyle w:val="BodyText"/>
        <w:spacing w:before="2"/>
        <w:rPr>
          <w:sz w:val="29"/>
        </w:rPr>
      </w:pPr>
    </w:p>
    <w:p>
      <w:pPr>
        <w:pStyle w:val="BodyText"/>
        <w:spacing w:line="360" w:lineRule="auto"/>
        <w:ind w:left="810" w:hanging="708"/>
      </w:pPr>
      <w:r>
        <w:rPr/>
        <w:t>Lindstrom, David P. (1996). Economic Opportunity in Mexico and Return Migration from the United States. En </w:t>
      </w:r>
      <w:r>
        <w:rPr>
          <w:i/>
        </w:rPr>
        <w:t>Demography, </w:t>
      </w:r>
      <w:r>
        <w:rPr/>
        <w:t>vol. 33, núm. 3. Pp.357-374.</w:t>
      </w:r>
    </w:p>
    <w:p>
      <w:pPr>
        <w:pStyle w:val="BodyText"/>
      </w:pPr>
    </w:p>
    <w:p>
      <w:pPr>
        <w:pStyle w:val="BodyText"/>
        <w:spacing w:line="360" w:lineRule="auto" w:before="144"/>
        <w:ind w:left="810" w:right="120" w:hanging="708"/>
        <w:jc w:val="both"/>
      </w:pPr>
      <w:r>
        <w:rPr/>
        <w:t>Loeb, L. D (1989). Creating antiques for fun and profut: Encounters  between Iranian Jewish Merchants and touring Coreligionists. V.L Smith (ed), Host and Guests the Anthropology of tourism 2a, Philadelphia University of Pennsylvania Press.</w:t>
      </w:r>
    </w:p>
    <w:p>
      <w:pPr>
        <w:pStyle w:val="BodyText"/>
        <w:spacing w:before="204"/>
        <w:ind w:left="102"/>
      </w:pPr>
      <w:r>
        <w:rPr/>
        <w:t>Martínez, Miguel (2006). La investigación cualitativa (Síntesis conceptual). Vol.   9.</w:t>
      </w:r>
    </w:p>
    <w:p>
      <w:pPr>
        <w:pStyle w:val="BodyText"/>
        <w:spacing w:before="139"/>
        <w:ind w:left="810"/>
      </w:pPr>
      <w:r>
        <w:rPr/>
        <w:t>Universidad Simón Bolívar Venezuela. Pp. 123-146.</w:t>
      </w:r>
    </w:p>
    <w:p>
      <w:pPr>
        <w:pStyle w:val="BodyText"/>
        <w:spacing w:before="2"/>
        <w:rPr>
          <w:sz w:val="29"/>
        </w:rPr>
      </w:pPr>
    </w:p>
    <w:p>
      <w:pPr>
        <w:pStyle w:val="BodyText"/>
        <w:spacing w:line="360" w:lineRule="auto"/>
        <w:ind w:left="810" w:hanging="708"/>
      </w:pPr>
      <w:r>
        <w:rPr/>
        <w:t>Mathieson, A, y Wall, G (1990). Turismo. Repercusiones económicas, físicas y sociales. Ed. Trillas. México.</w:t>
      </w:r>
    </w:p>
    <w:p>
      <w:pPr>
        <w:spacing w:after="0" w:line="360" w:lineRule="auto"/>
        <w:sectPr>
          <w:pgSz w:w="12240" w:h="15840"/>
          <w:pgMar w:header="0" w:footer="1003" w:top="1360" w:bottom="1200" w:left="1600" w:right="1580"/>
        </w:sectPr>
      </w:pPr>
    </w:p>
    <w:p>
      <w:pPr>
        <w:pStyle w:val="BodyText"/>
        <w:spacing w:line="362" w:lineRule="auto" w:before="54"/>
        <w:ind w:left="810" w:right="118" w:hanging="708"/>
        <w:jc w:val="both"/>
      </w:pPr>
      <w:r>
        <w:rPr/>
        <w:t>Mella, Orlando (1998). Naturaleza y orientaciones teórico-metodológicas de la investigación cualitativa. Disponible en: </w:t>
      </w:r>
      <w:hyperlink r:id="rId32">
        <w:r>
          <w:rPr/>
          <w:t>www.reduc.cl/reduc/mella.pdf.</w:t>
        </w:r>
      </w:hyperlink>
    </w:p>
    <w:p>
      <w:pPr>
        <w:pStyle w:val="BodyText"/>
        <w:spacing w:line="360" w:lineRule="auto" w:before="201"/>
        <w:ind w:left="810" w:right="125" w:hanging="708"/>
        <w:jc w:val="both"/>
      </w:pPr>
      <w:r>
        <w:rPr/>
        <w:t>Mendoza Mendoza, Silvia (1999). Estructura y redes familiares ante la migración de los pobres y jefes de familia a los Estados Unidos. México.</w:t>
      </w:r>
    </w:p>
    <w:p>
      <w:pPr>
        <w:pStyle w:val="BodyText"/>
        <w:spacing w:line="360" w:lineRule="auto" w:before="204"/>
        <w:ind w:left="810" w:right="120" w:hanging="708"/>
        <w:jc w:val="both"/>
      </w:pPr>
      <w:r>
        <w:rPr/>
        <w:t>Mendoza Ontiveros, Marivel; Leal Torres, Silvia Esther (2010). Turismo en Playa del Carmen. Impactos socioculturales en la Colonia Colosio. Estudios y Perspectivas en Turismo. Vol.9. Num.5. Pp. 850-865.</w:t>
      </w:r>
    </w:p>
    <w:p>
      <w:pPr>
        <w:pStyle w:val="BodyText"/>
        <w:spacing w:line="360" w:lineRule="auto" w:before="205"/>
        <w:ind w:left="810" w:right="115" w:hanging="708"/>
        <w:jc w:val="both"/>
      </w:pPr>
      <w:r>
        <w:rPr/>
        <w:t>Monterrubio J. C., Mendoza, M. y Luque, A. (2010), “Impactos sociales de la feria internacional del caballo en México. Una perspectiva local”, en Estudios Perspectivas Turísticas, vol.19, núm. 6, pp.1090-1140.</w:t>
      </w:r>
    </w:p>
    <w:p>
      <w:pPr>
        <w:pStyle w:val="BodyText"/>
        <w:spacing w:line="360" w:lineRule="auto" w:before="204"/>
        <w:ind w:left="810" w:right="124" w:hanging="708"/>
        <w:jc w:val="both"/>
      </w:pPr>
      <w:r>
        <w:rPr/>
        <w:t>Monterrubio Cordero, Juan Carlos (2011). Turismo y cambio sociocultural. Una perspectiva conceptual. Plaza y Valdez UAEM. México.</w:t>
      </w:r>
    </w:p>
    <w:p>
      <w:pPr>
        <w:pStyle w:val="BodyText"/>
        <w:spacing w:line="360" w:lineRule="auto" w:before="204"/>
        <w:ind w:left="810" w:right="117" w:hanging="708"/>
        <w:jc w:val="both"/>
      </w:pPr>
      <w:r>
        <w:rPr/>
        <w:t>Montiel, E. C. (2004). Impacto de las remesas de divisas de la población de Ixmiquilpan, Estado de Hidalgo.</w:t>
      </w:r>
    </w:p>
    <w:p>
      <w:pPr>
        <w:pStyle w:val="BodyText"/>
        <w:spacing w:before="204"/>
        <w:ind w:left="102"/>
      </w:pPr>
      <w:r>
        <w:rPr/>
        <w:t>Mosterín, Jesús (2006). La naturaleza humana Ed. Espasa Calpe. España.</w:t>
      </w:r>
    </w:p>
    <w:p>
      <w:pPr>
        <w:pStyle w:val="BodyText"/>
        <w:spacing w:before="4"/>
        <w:rPr>
          <w:sz w:val="29"/>
        </w:rPr>
      </w:pPr>
    </w:p>
    <w:p>
      <w:pPr>
        <w:pStyle w:val="BodyText"/>
        <w:spacing w:before="1"/>
        <w:ind w:left="102"/>
      </w:pPr>
      <w:r>
        <w:rPr/>
        <w:t>Navas Ara, M. J. (2001) Métodos, diseños y técnicas de investigación. Madrid.</w:t>
      </w:r>
      <w:r>
        <w:rPr>
          <w:spacing w:val="50"/>
        </w:rPr>
        <w:t> </w:t>
      </w:r>
      <w:r>
        <w:rPr/>
        <w:t>Ed.</w:t>
      </w:r>
    </w:p>
    <w:p>
      <w:pPr>
        <w:pStyle w:val="BodyText"/>
        <w:spacing w:before="139"/>
        <w:ind w:left="810"/>
      </w:pPr>
      <w:r>
        <w:rPr/>
        <w:t>UNED.</w:t>
      </w:r>
    </w:p>
    <w:p>
      <w:pPr>
        <w:pStyle w:val="BodyText"/>
        <w:spacing w:line="614" w:lineRule="exact" w:before="70"/>
        <w:ind w:left="102" w:right="120"/>
      </w:pPr>
      <w:r>
        <w:rPr/>
        <w:t>Nahoum, Ch. (1990). El proceso de la entrevista. Editorial Kapelusz. México. Pearce, D. (1989). Tourist development. 2d ed. Longman Scientific and  Technical.</w:t>
      </w:r>
    </w:p>
    <w:p>
      <w:pPr>
        <w:pStyle w:val="BodyText"/>
        <w:spacing w:before="67"/>
        <w:ind w:left="810"/>
      </w:pPr>
      <w:r>
        <w:rPr/>
        <w:t>Great Britain.</w:t>
      </w:r>
    </w:p>
    <w:p>
      <w:pPr>
        <w:pStyle w:val="BodyText"/>
        <w:spacing w:before="2"/>
        <w:rPr>
          <w:sz w:val="29"/>
        </w:rPr>
      </w:pPr>
    </w:p>
    <w:p>
      <w:pPr>
        <w:pStyle w:val="BodyText"/>
        <w:ind w:left="102"/>
      </w:pPr>
      <w:r>
        <w:rPr/>
        <w:t>Pearce, P., Moscardo, G., y Ross,  G.  (1996). Tourism  community  </w:t>
      </w:r>
      <w:r>
        <w:rPr>
          <w:spacing w:val="60"/>
        </w:rPr>
        <w:t> </w:t>
      </w:r>
      <w:r>
        <w:rPr/>
        <w:t>relationships.</w:t>
      </w:r>
    </w:p>
    <w:p>
      <w:pPr>
        <w:pStyle w:val="BodyText"/>
        <w:spacing w:before="140"/>
        <w:ind w:left="810"/>
      </w:pPr>
      <w:r>
        <w:rPr/>
        <w:t>Oxford: Elsevier Science Ltd.</w:t>
      </w:r>
    </w:p>
    <w:p>
      <w:pPr>
        <w:pStyle w:val="BodyText"/>
        <w:spacing w:before="4"/>
        <w:rPr>
          <w:sz w:val="29"/>
        </w:rPr>
      </w:pPr>
    </w:p>
    <w:p>
      <w:pPr>
        <w:pStyle w:val="BodyText"/>
        <w:spacing w:line="360" w:lineRule="auto" w:before="1"/>
        <w:ind w:left="810" w:right="122" w:hanging="708"/>
        <w:jc w:val="both"/>
      </w:pPr>
      <w:r>
        <w:rPr/>
        <w:t>Phillimore, J. y Goodson, L. (2004). Progress in qualitative research in tourism: Epistemology, ontology and methodology. En PHILLIMORE, J. &amp; GOODSON, L. (Eds.) Qualitative research in tourism: Ontologies, epistemologies and methodologies. Londres, Routledge.</w:t>
      </w:r>
    </w:p>
    <w:p>
      <w:pPr>
        <w:spacing w:after="0" w:line="360" w:lineRule="auto"/>
        <w:jc w:val="both"/>
        <w:sectPr>
          <w:pgSz w:w="12240" w:h="15840"/>
          <w:pgMar w:header="0" w:footer="1003" w:top="1360" w:bottom="1200" w:left="1600" w:right="1580"/>
        </w:sectPr>
      </w:pPr>
    </w:p>
    <w:p>
      <w:pPr>
        <w:pStyle w:val="BodyText"/>
        <w:spacing w:line="360" w:lineRule="auto" w:before="54"/>
        <w:ind w:left="810" w:right="123" w:hanging="708"/>
        <w:jc w:val="both"/>
      </w:pPr>
      <w:r>
        <w:rPr/>
        <w:t>Reyes Morales, Rafael G., et al (2009). Impacto del turismo nostálgico y las remesas familiares en el desarrollo de comunidad rural oaxaqueña. Migración y desarrollo, Núm 12.</w:t>
      </w:r>
    </w:p>
    <w:p>
      <w:pPr>
        <w:pStyle w:val="BodyText"/>
        <w:spacing w:before="7"/>
      </w:pPr>
    </w:p>
    <w:p>
      <w:pPr>
        <w:pStyle w:val="BodyText"/>
        <w:spacing w:line="360" w:lineRule="auto"/>
        <w:ind w:left="810" w:right="114" w:hanging="708"/>
        <w:jc w:val="both"/>
      </w:pPr>
      <w:r>
        <w:rPr/>
        <w:t>Rodríguez Álvarez, Olga Lucia (2003a). Del maguey al concreto: migración y transición de la vivienda otomí. Revista electrónica de Geografía y Ciencias Sociales. Universidad de Barcelona. Barcelona.</w:t>
      </w:r>
    </w:p>
    <w:p>
      <w:pPr>
        <w:pStyle w:val="BodyText"/>
        <w:spacing w:before="7"/>
      </w:pPr>
    </w:p>
    <w:p>
      <w:pPr>
        <w:pStyle w:val="BodyText"/>
        <w:spacing w:line="360" w:lineRule="auto"/>
        <w:ind w:left="810" w:right="119" w:hanging="708"/>
        <w:jc w:val="both"/>
      </w:pPr>
      <w:r>
        <w:rPr/>
        <w:t>Rodríguez Álvarez, Olga Lucia (2003b). Migración y remesas en una comunidad indígena otomí del estado de Hidalgo. México. Universidad Autónoma Metropolitana, Unidad Azcapotzalco, México.</w:t>
      </w:r>
    </w:p>
    <w:p>
      <w:pPr>
        <w:pStyle w:val="BodyText"/>
        <w:spacing w:before="7"/>
      </w:pPr>
    </w:p>
    <w:p>
      <w:pPr>
        <w:pStyle w:val="BodyText"/>
        <w:spacing w:line="360" w:lineRule="auto"/>
        <w:ind w:left="810" w:right="125" w:hanging="708"/>
        <w:jc w:val="both"/>
      </w:pPr>
      <w:r>
        <w:rPr/>
        <w:t>Ruiz, Olabuénaga (1996). Metodología de la investigación cualitativa. Universidad de Deusto. Bilbao. Pp. 171.</w:t>
      </w:r>
    </w:p>
    <w:p>
      <w:pPr>
        <w:pStyle w:val="BodyText"/>
        <w:spacing w:before="7"/>
      </w:pPr>
    </w:p>
    <w:p>
      <w:pPr>
        <w:pStyle w:val="BodyText"/>
        <w:spacing w:line="360" w:lineRule="auto"/>
        <w:ind w:left="810" w:right="116" w:hanging="708"/>
        <w:jc w:val="both"/>
      </w:pPr>
      <w:r>
        <w:rPr/>
        <w:t>Salgado Lévano, Ana Cecilia (2007). Investigacion cualitativa: Diseño, evaluación del rigor metodológico y retos. Universidad de San Martín de Porres. Vol. 3. Pp. 71-78.</w:t>
      </w:r>
    </w:p>
    <w:p>
      <w:pPr>
        <w:pStyle w:val="BodyText"/>
        <w:spacing w:before="10"/>
      </w:pPr>
    </w:p>
    <w:p>
      <w:pPr>
        <w:pStyle w:val="BodyText"/>
        <w:spacing w:line="360" w:lineRule="auto"/>
        <w:ind w:left="810" w:right="116" w:hanging="708"/>
        <w:jc w:val="both"/>
      </w:pPr>
      <w:r>
        <w:rPr/>
        <w:t>Sancho, Amparo (2008). Introducción al turismo. Consultado en http://www.e- unwto.org.</w:t>
      </w:r>
    </w:p>
    <w:p>
      <w:pPr>
        <w:pStyle w:val="BodyText"/>
        <w:spacing w:before="7"/>
      </w:pPr>
    </w:p>
    <w:p>
      <w:pPr>
        <w:spacing w:line="360" w:lineRule="auto" w:before="0"/>
        <w:ind w:left="810" w:right="117" w:hanging="708"/>
        <w:jc w:val="both"/>
        <w:rPr>
          <w:sz w:val="24"/>
        </w:rPr>
      </w:pPr>
      <w:r>
        <w:rPr>
          <w:sz w:val="24"/>
        </w:rPr>
        <w:t>Sedikides, Constantine, Tim Wildschut y Denise Baden (2004). Nostalgia: Conceptual Issues and Existential Functions. En Jeff Greenberg (ed.), </w:t>
      </w:r>
      <w:r>
        <w:rPr>
          <w:i/>
          <w:sz w:val="24"/>
        </w:rPr>
        <w:t>Handbook of Experimental Existential Psychology</w:t>
      </w:r>
      <w:r>
        <w:rPr>
          <w:sz w:val="24"/>
        </w:rPr>
        <w:t>, Nueva York, Guilford Press pp. 200-214.</w:t>
      </w:r>
    </w:p>
    <w:p>
      <w:pPr>
        <w:pStyle w:val="BodyText"/>
      </w:pPr>
    </w:p>
    <w:p>
      <w:pPr>
        <w:pStyle w:val="BodyText"/>
        <w:spacing w:line="360" w:lineRule="auto" w:before="142"/>
        <w:ind w:left="810" w:right="118" w:hanging="708"/>
        <w:jc w:val="both"/>
      </w:pPr>
      <w:r>
        <w:rPr/>
        <w:t>Selltiz, C., Wrightsman, L.S. y Cook, S.T. (1980). Métodos de investigación en las relaciones sociales. Edit. Rialp, Madrid. Pags. 151-153.</w:t>
      </w:r>
    </w:p>
    <w:p>
      <w:pPr>
        <w:pStyle w:val="BodyText"/>
      </w:pPr>
    </w:p>
    <w:p>
      <w:pPr>
        <w:pStyle w:val="BodyText"/>
        <w:spacing w:line="360" w:lineRule="auto" w:before="142"/>
        <w:ind w:left="810" w:right="125" w:hanging="708"/>
        <w:jc w:val="both"/>
      </w:pPr>
      <w:r>
        <w:rPr/>
        <w:t>Silva Arciniega, María del Rosario (2007). Apuntes para la elaboración de un proyecto de investigación social. Plaza y Valdez Editores. 2da. Edición. México.</w:t>
      </w:r>
    </w:p>
    <w:p>
      <w:pPr>
        <w:spacing w:after="0" w:line="360" w:lineRule="auto"/>
        <w:jc w:val="both"/>
        <w:sectPr>
          <w:pgSz w:w="12240" w:h="15840"/>
          <w:pgMar w:header="0" w:footer="1003" w:top="1360" w:bottom="1200" w:left="1600" w:right="1580"/>
        </w:sectPr>
      </w:pPr>
    </w:p>
    <w:p>
      <w:pPr>
        <w:pStyle w:val="BodyText"/>
        <w:spacing w:line="362" w:lineRule="auto" w:before="54"/>
        <w:ind w:left="810" w:right="125" w:hanging="708"/>
        <w:jc w:val="both"/>
      </w:pPr>
      <w:r>
        <w:rPr/>
        <w:t>Rosen, George (1975). Nostalgia: A ‘Forgotten’ Psychological Disorder., en Clio Medica, núm. 10.</w:t>
      </w:r>
    </w:p>
    <w:p>
      <w:pPr>
        <w:pStyle w:val="BodyText"/>
        <w:spacing w:line="360" w:lineRule="auto" w:before="201"/>
        <w:ind w:left="810" w:right="119" w:hanging="708"/>
        <w:jc w:val="both"/>
      </w:pPr>
      <w:r>
        <w:rPr/>
        <w:t>Stewart, Kathleen (1988). Nostalgia - A Polemic. Cultural Anthropology. Vol. 3. Pp. 227 – 241. Publicado por: Blackwell Publishing on behalf of the American Anthropological Association.</w:t>
      </w:r>
    </w:p>
    <w:p>
      <w:pPr>
        <w:pStyle w:val="BodyText"/>
        <w:spacing w:before="204"/>
        <w:ind w:left="102"/>
      </w:pPr>
      <w:r>
        <w:rPr/>
        <w:t>Swanson, J Y Chenitz W, C. (1982). Why qualitative research in nursing.   Nursing.</w:t>
      </w:r>
    </w:p>
    <w:p>
      <w:pPr>
        <w:pStyle w:val="BodyText"/>
        <w:spacing w:before="137"/>
        <w:ind w:left="810"/>
      </w:pPr>
      <w:r>
        <w:rPr/>
        <w:t>30 (4). Pp. 241-245.</w:t>
      </w:r>
    </w:p>
    <w:p>
      <w:pPr>
        <w:pStyle w:val="BodyText"/>
        <w:spacing w:before="5"/>
        <w:rPr>
          <w:sz w:val="29"/>
        </w:rPr>
      </w:pPr>
    </w:p>
    <w:p>
      <w:pPr>
        <w:pStyle w:val="BodyText"/>
        <w:spacing w:line="360" w:lineRule="auto"/>
        <w:ind w:left="810" w:right="116" w:hanging="708"/>
        <w:jc w:val="both"/>
      </w:pPr>
      <w:r>
        <w:rPr/>
        <w:t>Taylor S. y Bogdan R. (1987). Introducción a los métodos cualitativos de investigación. Barcelona. Ed. Paidós.</w:t>
      </w:r>
    </w:p>
    <w:p>
      <w:pPr>
        <w:pStyle w:val="BodyText"/>
      </w:pPr>
    </w:p>
    <w:p>
      <w:pPr>
        <w:pStyle w:val="BodyText"/>
        <w:spacing w:line="360" w:lineRule="auto" w:before="142"/>
        <w:ind w:left="810" w:right="125" w:hanging="708"/>
        <w:jc w:val="both"/>
      </w:pPr>
      <w:r>
        <w:rPr/>
        <w:t>Timothy, Dallen y Nyaupane, Gyan (2009). Cultural Heritage and Tourism in the Developing World. Ed. Routledge. New York.</w:t>
      </w:r>
    </w:p>
    <w:p>
      <w:pPr>
        <w:pStyle w:val="BodyText"/>
        <w:spacing w:line="360" w:lineRule="auto" w:before="204"/>
        <w:ind w:left="810" w:right="117" w:hanging="708"/>
        <w:jc w:val="both"/>
      </w:pPr>
      <w:r>
        <w:rPr/>
        <w:t>Vargas Jiménez, Ileana (2012). La entrevista en la investigación cualitativa: nuevas tendencias y retos. Revista Calidad en la Educación Superior. Volumen 3. Núm. 1 Universidad Nacional de Costa Rica. Pp. 119-</w:t>
      </w:r>
      <w:r>
        <w:rPr>
          <w:spacing w:val="-18"/>
        </w:rPr>
        <w:t> </w:t>
      </w:r>
      <w:r>
        <w:rPr/>
        <w:t>139.</w:t>
      </w:r>
    </w:p>
    <w:p>
      <w:pPr>
        <w:pStyle w:val="BodyText"/>
        <w:spacing w:before="202"/>
        <w:ind w:left="102"/>
      </w:pPr>
      <w:r>
        <w:rPr/>
        <w:t>Vasilachis  de  Gialgina,  Irene  (2006).  Métodos  y técnicas  de  investigación. Ed.</w:t>
      </w:r>
    </w:p>
    <w:p>
      <w:pPr>
        <w:pStyle w:val="BodyText"/>
        <w:spacing w:before="139"/>
        <w:ind w:left="810"/>
      </w:pPr>
      <w:r>
        <w:rPr/>
        <w:t>Gedisa. Barcelona.</w:t>
      </w:r>
    </w:p>
    <w:p>
      <w:pPr>
        <w:pStyle w:val="BodyText"/>
        <w:spacing w:before="4"/>
        <w:rPr>
          <w:sz w:val="29"/>
        </w:rPr>
      </w:pPr>
    </w:p>
    <w:p>
      <w:pPr>
        <w:pStyle w:val="BodyText"/>
        <w:spacing w:line="360" w:lineRule="auto" w:before="1"/>
        <w:ind w:left="810" w:right="123" w:hanging="708"/>
        <w:jc w:val="both"/>
      </w:pPr>
      <w:r>
        <w:rPr/>
        <w:t>Williams, Allan M. y C. Michael Hall (2002).Tourism migration, circulation and mobility: The contingencies of the time and place. Tourism and migration: New relationships between Production and Comsumption,  Dordrecht: Kluwer Academic Publishers.</w:t>
      </w:r>
    </w:p>
    <w:p>
      <w:pPr>
        <w:pStyle w:val="BodyText"/>
        <w:spacing w:line="360" w:lineRule="auto" w:before="204"/>
        <w:ind w:left="810" w:right="125" w:hanging="708"/>
        <w:jc w:val="both"/>
      </w:pPr>
      <w:r>
        <w:rPr/>
        <w:t>Wall, G. y Mathieson A. (2006). Tourism: Change, impacts and opportunities, Essex, Pearson Prentice Hall.</w:t>
      </w:r>
    </w:p>
    <w:p>
      <w:pPr>
        <w:pStyle w:val="BodyText"/>
        <w:spacing w:line="360" w:lineRule="auto" w:before="204"/>
        <w:ind w:left="810" w:right="125" w:hanging="708"/>
        <w:jc w:val="both"/>
      </w:pPr>
      <w:r>
        <w:rPr/>
        <w:t>White, Leslie (1982). La ciencia de la cultura. Un estudio sobre el hombre y la civilización, Ediciones Paidos. Barcelona.</w:t>
      </w:r>
    </w:p>
    <w:p>
      <w:pPr>
        <w:spacing w:after="0" w:line="360" w:lineRule="auto"/>
        <w:jc w:val="both"/>
        <w:sectPr>
          <w:pgSz w:w="12240" w:h="15840"/>
          <w:pgMar w:header="0" w:footer="1003" w:top="1360" w:bottom="1200" w:left="1600" w:right="1580"/>
        </w:sectPr>
      </w:pPr>
    </w:p>
    <w:p>
      <w:pPr>
        <w:pStyle w:val="Heading3"/>
        <w:spacing w:before="54"/>
        <w:ind w:left="4412" w:right="4412"/>
      </w:pPr>
      <w:r>
        <w:rPr/>
        <w:t>ANEXO 1</w:t>
      </w:r>
    </w:p>
    <w:p>
      <w:pPr>
        <w:pStyle w:val="BodyText"/>
        <w:spacing w:before="5"/>
        <w:rPr>
          <w:b/>
          <w:sz w:val="29"/>
        </w:rPr>
      </w:pPr>
    </w:p>
    <w:p>
      <w:pPr>
        <w:spacing w:before="0"/>
        <w:ind w:left="4413" w:right="4412" w:firstLine="0"/>
        <w:jc w:val="center"/>
        <w:rPr>
          <w:b/>
          <w:sz w:val="24"/>
        </w:rPr>
      </w:pPr>
      <w:r>
        <w:rPr/>
        <w:drawing>
          <wp:anchor distT="0" distB="0" distL="0" distR="0" allowOverlap="1" layoutInCell="1" locked="0" behindDoc="0" simplePos="0" relativeHeight="1264">
            <wp:simplePos x="0" y="0"/>
            <wp:positionH relativeFrom="page">
              <wp:posOffset>971550</wp:posOffset>
            </wp:positionH>
            <wp:positionV relativeFrom="paragraph">
              <wp:posOffset>439113</wp:posOffset>
            </wp:positionV>
            <wp:extent cx="1190625" cy="1104900"/>
            <wp:effectExtent l="0" t="0" r="0" b="0"/>
            <wp:wrapNone/>
            <wp:docPr id="19" name="image1.jpeg" descr=""/>
            <wp:cNvGraphicFramePr>
              <a:graphicFrameLocks noChangeAspect="1"/>
            </wp:cNvGraphicFramePr>
            <a:graphic>
              <a:graphicData uri="http://schemas.openxmlformats.org/drawingml/2006/picture">
                <pic:pic>
                  <pic:nvPicPr>
                    <pic:cNvPr id="20" name="image1.jpeg"/>
                    <pic:cNvPicPr/>
                  </pic:nvPicPr>
                  <pic:blipFill>
                    <a:blip r:embed="rId5" cstate="print"/>
                    <a:stretch>
                      <a:fillRect/>
                    </a:stretch>
                  </pic:blipFill>
                  <pic:spPr>
                    <a:xfrm>
                      <a:off x="0" y="0"/>
                      <a:ext cx="1190625" cy="1104900"/>
                    </a:xfrm>
                    <a:prstGeom prst="rect">
                      <a:avLst/>
                    </a:prstGeom>
                  </pic:spPr>
                </pic:pic>
              </a:graphicData>
            </a:graphic>
          </wp:anchor>
        </w:drawing>
      </w:r>
      <w:r>
        <w:rPr>
          <w:b/>
          <w:sz w:val="24"/>
        </w:rPr>
        <w:t>GUIÓN DE ENTREVISTA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6"/>
        </w:rPr>
      </w:pPr>
    </w:p>
    <w:tbl>
      <w:tblPr>
        <w:tblW w:w="0" w:type="auto"/>
        <w:jc w:val="left"/>
        <w:tblInd w:w="33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18"/>
      </w:tblGrid>
      <w:tr>
        <w:trPr>
          <w:trHeight w:val="255" w:hRule="exact"/>
        </w:trPr>
        <w:tc>
          <w:tcPr>
            <w:tcW w:w="5718" w:type="dxa"/>
          </w:tcPr>
          <w:p>
            <w:pPr>
              <w:pStyle w:val="TableParagraph"/>
              <w:spacing w:line="226" w:lineRule="exact" w:before="0"/>
              <w:jc w:val="center"/>
              <w:rPr>
                <w:rFonts w:ascii="Arial" w:hAnsi="Arial"/>
                <w:b/>
                <w:sz w:val="22"/>
              </w:rPr>
            </w:pPr>
            <w:r>
              <w:rPr>
                <w:rFonts w:ascii="Arial" w:hAnsi="Arial"/>
                <w:b/>
                <w:sz w:val="22"/>
                <w:u w:val="thick"/>
              </w:rPr>
              <w:t>Universidad   Autónoma   del   Estado   de </w:t>
            </w:r>
            <w:r>
              <w:rPr>
                <w:rFonts w:ascii="Arial" w:hAnsi="Arial"/>
                <w:b/>
                <w:spacing w:val="52"/>
                <w:sz w:val="22"/>
                <w:u w:val="thick"/>
              </w:rPr>
              <w:t> </w:t>
            </w:r>
            <w:r>
              <w:rPr>
                <w:rFonts w:ascii="Arial" w:hAnsi="Arial"/>
                <w:b/>
                <w:sz w:val="22"/>
                <w:u w:val="thick"/>
              </w:rPr>
              <w:t>México</w:t>
            </w:r>
          </w:p>
        </w:tc>
      </w:tr>
      <w:tr>
        <w:trPr>
          <w:trHeight w:val="195" w:hRule="exact"/>
        </w:trPr>
        <w:tc>
          <w:tcPr>
            <w:tcW w:w="5718" w:type="dxa"/>
          </w:tcPr>
          <w:p>
            <w:pPr>
              <w:pStyle w:val="TableParagraph"/>
              <w:tabs>
                <w:tab w:pos="3146" w:val="left" w:leader="none"/>
              </w:tabs>
              <w:spacing w:before="14"/>
              <w:ind w:right="2"/>
              <w:jc w:val="center"/>
              <w:rPr>
                <w:rFonts w:ascii="Arial"/>
                <w:b/>
                <w:sz w:val="16"/>
              </w:rPr>
            </w:pPr>
            <w:r>
              <w:rPr>
                <w:rFonts w:ascii="Arial"/>
                <w:b/>
                <w:sz w:val="16"/>
              </w:rPr>
              <w:t>Centro Universitario</w:t>
            </w:r>
            <w:r>
              <w:rPr>
                <w:rFonts w:ascii="Arial"/>
                <w:b/>
                <w:spacing w:val="-6"/>
                <w:sz w:val="16"/>
              </w:rPr>
              <w:t> </w:t>
            </w:r>
            <w:r>
              <w:rPr>
                <w:rFonts w:ascii="Arial"/>
                <w:b/>
                <w:sz w:val="16"/>
              </w:rPr>
              <w:t>UAEM Texcoco</w:t>
              <w:tab/>
              <w:t>Licenciatura en</w:t>
            </w:r>
            <w:r>
              <w:rPr>
                <w:rFonts w:ascii="Arial"/>
                <w:b/>
                <w:spacing w:val="-7"/>
                <w:sz w:val="16"/>
              </w:rPr>
              <w:t> </w:t>
            </w:r>
            <w:r>
              <w:rPr>
                <w:rFonts w:ascii="Arial"/>
                <w:b/>
                <w:sz w:val="16"/>
              </w:rPr>
              <w:t>Turismo</w:t>
            </w:r>
          </w:p>
        </w:tc>
      </w:tr>
    </w:tbl>
    <w:p>
      <w:pPr>
        <w:pStyle w:val="BodyText"/>
        <w:spacing w:before="10"/>
        <w:rPr>
          <w:b/>
          <w:sz w:val="35"/>
        </w:rPr>
      </w:pPr>
    </w:p>
    <w:p>
      <w:pPr>
        <w:spacing w:before="0"/>
        <w:ind w:left="4413" w:right="4411" w:firstLine="0"/>
        <w:jc w:val="center"/>
        <w:rPr>
          <w:rFonts w:ascii="Calibri" w:hAnsi="Calibri"/>
          <w:i/>
          <w:sz w:val="22"/>
        </w:rPr>
      </w:pPr>
      <w:r>
        <w:rPr>
          <w:rFonts w:ascii="Calibri" w:hAnsi="Calibri"/>
          <w:i/>
          <w:sz w:val="22"/>
        </w:rPr>
        <w:t>Guión de entrevista</w:t>
      </w:r>
    </w:p>
    <w:p>
      <w:pPr>
        <w:pStyle w:val="BodyText"/>
        <w:spacing w:before="4"/>
        <w:rPr>
          <w:rFonts w:ascii="Calibri"/>
          <w:i/>
          <w:sz w:val="19"/>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57"/>
        <w:gridCol w:w="362"/>
        <w:gridCol w:w="2614"/>
        <w:gridCol w:w="1418"/>
        <w:gridCol w:w="1275"/>
        <w:gridCol w:w="1985"/>
      </w:tblGrid>
      <w:tr>
        <w:trPr>
          <w:trHeight w:val="313" w:hRule="exact"/>
        </w:trPr>
        <w:tc>
          <w:tcPr>
            <w:tcW w:w="4119" w:type="dxa"/>
            <w:gridSpan w:val="2"/>
          </w:tcPr>
          <w:p>
            <w:pPr>
              <w:pStyle w:val="TableParagraph"/>
              <w:spacing w:before="46"/>
              <w:ind w:left="64"/>
              <w:rPr>
                <w:rFonts w:ascii="Arial"/>
                <w:sz w:val="22"/>
              </w:rPr>
            </w:pPr>
            <w:r>
              <w:rPr>
                <w:rFonts w:ascii="Arial"/>
                <w:w w:val="85"/>
                <w:sz w:val="22"/>
              </w:rPr>
              <w:t>Lugar de entrevista:</w:t>
            </w:r>
          </w:p>
        </w:tc>
        <w:tc>
          <w:tcPr>
            <w:tcW w:w="2614" w:type="dxa"/>
          </w:tcPr>
          <w:p>
            <w:pPr>
              <w:pStyle w:val="TableParagraph"/>
              <w:spacing w:before="46"/>
              <w:ind w:left="64"/>
              <w:rPr>
                <w:rFonts w:ascii="Arial"/>
                <w:sz w:val="22"/>
              </w:rPr>
            </w:pPr>
            <w:r>
              <w:rPr>
                <w:rFonts w:ascii="Arial"/>
                <w:w w:val="85"/>
                <w:sz w:val="22"/>
              </w:rPr>
              <w:t>Hora de inicio:</w:t>
            </w:r>
          </w:p>
        </w:tc>
        <w:tc>
          <w:tcPr>
            <w:tcW w:w="2693" w:type="dxa"/>
            <w:gridSpan w:val="2"/>
          </w:tcPr>
          <w:p>
            <w:pPr>
              <w:pStyle w:val="TableParagraph"/>
              <w:spacing w:before="46"/>
              <w:ind w:left="64"/>
              <w:rPr>
                <w:rFonts w:ascii="Arial" w:hAnsi="Arial"/>
                <w:sz w:val="22"/>
              </w:rPr>
            </w:pPr>
            <w:r>
              <w:rPr>
                <w:rFonts w:ascii="Arial" w:hAnsi="Arial"/>
                <w:w w:val="85"/>
                <w:sz w:val="22"/>
              </w:rPr>
              <w:t>Hora de término:</w:t>
            </w:r>
          </w:p>
        </w:tc>
        <w:tc>
          <w:tcPr>
            <w:tcW w:w="1985" w:type="dxa"/>
          </w:tcPr>
          <w:p>
            <w:pPr>
              <w:pStyle w:val="TableParagraph"/>
              <w:spacing w:before="46"/>
              <w:ind w:left="67"/>
              <w:rPr>
                <w:rFonts w:ascii="Arial"/>
                <w:sz w:val="22"/>
              </w:rPr>
            </w:pPr>
            <w:r>
              <w:rPr>
                <w:rFonts w:ascii="Arial"/>
                <w:w w:val="90"/>
                <w:sz w:val="22"/>
              </w:rPr>
              <w:t>Fecha:</w:t>
            </w:r>
          </w:p>
        </w:tc>
      </w:tr>
      <w:tr>
        <w:trPr>
          <w:trHeight w:val="310" w:hRule="exact"/>
        </w:trPr>
        <w:tc>
          <w:tcPr>
            <w:tcW w:w="4119" w:type="dxa"/>
            <w:gridSpan w:val="2"/>
          </w:tcPr>
          <w:p>
            <w:pPr>
              <w:pStyle w:val="TableParagraph"/>
              <w:spacing w:before="45"/>
              <w:ind w:left="64"/>
              <w:rPr>
                <w:rFonts w:ascii="Arial"/>
                <w:sz w:val="22"/>
              </w:rPr>
            </w:pPr>
            <w:r>
              <w:rPr>
                <w:rFonts w:ascii="Arial"/>
                <w:w w:val="90"/>
                <w:sz w:val="22"/>
              </w:rPr>
              <w:t>Nombre:</w:t>
            </w:r>
          </w:p>
        </w:tc>
        <w:tc>
          <w:tcPr>
            <w:tcW w:w="2614" w:type="dxa"/>
          </w:tcPr>
          <w:p>
            <w:pPr>
              <w:pStyle w:val="TableParagraph"/>
              <w:spacing w:before="45"/>
              <w:ind w:left="64"/>
              <w:rPr>
                <w:rFonts w:ascii="Arial"/>
                <w:sz w:val="22"/>
              </w:rPr>
            </w:pPr>
            <w:r>
              <w:rPr>
                <w:rFonts w:ascii="Arial"/>
                <w:w w:val="90"/>
                <w:sz w:val="22"/>
              </w:rPr>
              <w:t>Edad:</w:t>
            </w:r>
          </w:p>
        </w:tc>
        <w:tc>
          <w:tcPr>
            <w:tcW w:w="4678" w:type="dxa"/>
            <w:gridSpan w:val="3"/>
          </w:tcPr>
          <w:p>
            <w:pPr>
              <w:pStyle w:val="TableParagraph"/>
              <w:spacing w:before="45"/>
              <w:ind w:left="64"/>
              <w:rPr>
                <w:rFonts w:ascii="Arial"/>
                <w:sz w:val="22"/>
              </w:rPr>
            </w:pPr>
            <w:r>
              <w:rPr>
                <w:rFonts w:ascii="Arial"/>
                <w:w w:val="85"/>
                <w:sz w:val="22"/>
              </w:rPr>
              <w:t>Lugar de nacimiento:</w:t>
            </w:r>
          </w:p>
        </w:tc>
      </w:tr>
      <w:tr>
        <w:trPr>
          <w:trHeight w:val="310" w:hRule="exact"/>
        </w:trPr>
        <w:tc>
          <w:tcPr>
            <w:tcW w:w="3757" w:type="dxa"/>
          </w:tcPr>
          <w:p>
            <w:pPr>
              <w:pStyle w:val="TableParagraph"/>
              <w:spacing w:before="45"/>
              <w:ind w:left="64"/>
              <w:rPr>
                <w:rFonts w:ascii="Arial"/>
                <w:sz w:val="22"/>
              </w:rPr>
            </w:pPr>
            <w:r>
              <w:rPr>
                <w:rFonts w:ascii="Arial"/>
                <w:w w:val="80"/>
                <w:sz w:val="22"/>
              </w:rPr>
              <w:t>Estado civil:</w:t>
            </w:r>
          </w:p>
        </w:tc>
        <w:tc>
          <w:tcPr>
            <w:tcW w:w="4395" w:type="dxa"/>
            <w:gridSpan w:val="3"/>
          </w:tcPr>
          <w:p>
            <w:pPr>
              <w:pStyle w:val="TableParagraph"/>
              <w:spacing w:before="45"/>
              <w:ind w:left="64"/>
              <w:rPr>
                <w:rFonts w:ascii="Arial"/>
                <w:sz w:val="22"/>
              </w:rPr>
            </w:pPr>
            <w:r>
              <w:rPr>
                <w:rFonts w:ascii="Arial"/>
                <w:w w:val="85"/>
                <w:sz w:val="22"/>
              </w:rPr>
              <w:t>Lugar de residencia:</w:t>
            </w:r>
          </w:p>
        </w:tc>
        <w:tc>
          <w:tcPr>
            <w:tcW w:w="3260" w:type="dxa"/>
            <w:gridSpan w:val="2"/>
          </w:tcPr>
          <w:p>
            <w:pPr>
              <w:pStyle w:val="TableParagraph"/>
              <w:spacing w:before="45"/>
              <w:ind w:left="64"/>
              <w:rPr>
                <w:rFonts w:ascii="Arial" w:hAnsi="Arial"/>
                <w:sz w:val="22"/>
              </w:rPr>
            </w:pPr>
            <w:r>
              <w:rPr>
                <w:rFonts w:ascii="Arial" w:hAnsi="Arial"/>
                <w:w w:val="90"/>
                <w:sz w:val="22"/>
              </w:rPr>
              <w:t>Ocupación:</w:t>
            </w:r>
          </w:p>
        </w:tc>
      </w:tr>
    </w:tbl>
    <w:p>
      <w:pPr>
        <w:pStyle w:val="BodyText"/>
        <w:rPr>
          <w:rFonts w:ascii="Calibri"/>
          <w:i/>
          <w:sz w:val="22"/>
        </w:rPr>
      </w:pPr>
    </w:p>
    <w:p>
      <w:pPr>
        <w:pStyle w:val="BodyText"/>
        <w:spacing w:before="11"/>
        <w:rPr>
          <w:rFonts w:ascii="Calibri"/>
          <w:i/>
          <w:sz w:val="28"/>
        </w:rPr>
      </w:pPr>
    </w:p>
    <w:p>
      <w:pPr>
        <w:spacing w:line="360" w:lineRule="auto" w:before="0"/>
        <w:ind w:left="1402" w:right="1399" w:firstLine="0"/>
        <w:jc w:val="both"/>
        <w:rPr>
          <w:sz w:val="24"/>
        </w:rPr>
      </w:pPr>
      <w:r>
        <w:rPr>
          <w:b/>
          <w:sz w:val="24"/>
        </w:rPr>
        <w:t>Objetivo principal: </w:t>
      </w:r>
      <w:r>
        <w:rPr>
          <w:sz w:val="24"/>
        </w:rPr>
        <w:t>Conocer los </w:t>
      </w:r>
      <w:r>
        <w:rPr>
          <w:i/>
          <w:sz w:val="24"/>
        </w:rPr>
        <w:t>impactos culturales </w:t>
      </w:r>
      <w:r>
        <w:rPr>
          <w:sz w:val="24"/>
        </w:rPr>
        <w:t>que provoca el turismo de nostalgia en la comunidad de El Tephé, Hidalgo, México, a partir de la perspectiva de la comunidad local.</w:t>
      </w:r>
    </w:p>
    <w:p>
      <w:pPr>
        <w:pStyle w:val="BodyText"/>
        <w:spacing w:before="11"/>
        <w:rPr>
          <w:sz w:val="27"/>
        </w:rPr>
      </w:pPr>
    </w:p>
    <w:p>
      <w:pPr>
        <w:pStyle w:val="ListParagraph"/>
        <w:numPr>
          <w:ilvl w:val="2"/>
          <w:numId w:val="16"/>
        </w:numPr>
        <w:tabs>
          <w:tab w:pos="2122" w:val="left" w:leader="none"/>
        </w:tabs>
        <w:spacing w:line="276" w:lineRule="auto" w:before="0" w:after="0"/>
        <w:ind w:left="2122" w:right="1404" w:hanging="360"/>
        <w:jc w:val="left"/>
        <w:rPr>
          <w:sz w:val="24"/>
        </w:rPr>
      </w:pPr>
      <w:r>
        <w:rPr>
          <w:sz w:val="24"/>
        </w:rPr>
        <w:t>¿Ha notado usted que el regreso de los migrantes genera cambios en la comunidad?</w:t>
      </w:r>
    </w:p>
    <w:p>
      <w:pPr>
        <w:pStyle w:val="BodyText"/>
        <w:spacing w:before="6"/>
        <w:rPr>
          <w:sz w:val="27"/>
        </w:rPr>
      </w:pPr>
    </w:p>
    <w:p>
      <w:pPr>
        <w:pStyle w:val="ListParagraph"/>
        <w:numPr>
          <w:ilvl w:val="2"/>
          <w:numId w:val="16"/>
        </w:numPr>
        <w:tabs>
          <w:tab w:pos="2122" w:val="left" w:leader="none"/>
        </w:tabs>
        <w:spacing w:line="240" w:lineRule="auto" w:before="1" w:after="0"/>
        <w:ind w:left="2122" w:right="0" w:hanging="360"/>
        <w:jc w:val="left"/>
        <w:rPr>
          <w:sz w:val="24"/>
        </w:rPr>
      </w:pPr>
      <w:r>
        <w:rPr>
          <w:sz w:val="24"/>
        </w:rPr>
        <w:t>¿En qué</w:t>
      </w:r>
      <w:r>
        <w:rPr>
          <w:spacing w:val="-5"/>
          <w:sz w:val="24"/>
        </w:rPr>
        <w:t> </w:t>
      </w:r>
      <w:r>
        <w:rPr>
          <w:sz w:val="24"/>
        </w:rPr>
        <w:t>sentido?</w:t>
      </w:r>
    </w:p>
    <w:p>
      <w:pPr>
        <w:pStyle w:val="BodyText"/>
        <w:spacing w:before="3"/>
        <w:rPr>
          <w:sz w:val="31"/>
        </w:rPr>
      </w:pPr>
    </w:p>
    <w:p>
      <w:pPr>
        <w:pStyle w:val="ListParagraph"/>
        <w:numPr>
          <w:ilvl w:val="2"/>
          <w:numId w:val="16"/>
        </w:numPr>
        <w:tabs>
          <w:tab w:pos="2122" w:val="left" w:leader="none"/>
        </w:tabs>
        <w:spacing w:line="276" w:lineRule="auto" w:before="0" w:after="0"/>
        <w:ind w:left="2122" w:right="1406" w:hanging="360"/>
        <w:jc w:val="left"/>
        <w:rPr>
          <w:sz w:val="24"/>
        </w:rPr>
      </w:pPr>
      <w:r>
        <w:rPr>
          <w:sz w:val="24"/>
        </w:rPr>
        <w:t>¿El regreso de los migrantes al El Tephé ha cambiado la forma de vivir de  la</w:t>
      </w:r>
      <w:r>
        <w:rPr>
          <w:spacing w:val="-6"/>
          <w:sz w:val="24"/>
        </w:rPr>
        <w:t> </w:t>
      </w:r>
      <w:r>
        <w:rPr>
          <w:sz w:val="24"/>
        </w:rPr>
        <w:t>comunidad?</w:t>
      </w:r>
    </w:p>
    <w:p>
      <w:pPr>
        <w:pStyle w:val="BodyText"/>
        <w:spacing w:before="9"/>
        <w:rPr>
          <w:sz w:val="27"/>
        </w:rPr>
      </w:pPr>
    </w:p>
    <w:p>
      <w:pPr>
        <w:pStyle w:val="ListParagraph"/>
        <w:numPr>
          <w:ilvl w:val="2"/>
          <w:numId w:val="16"/>
        </w:numPr>
        <w:tabs>
          <w:tab w:pos="2122" w:val="left" w:leader="none"/>
        </w:tabs>
        <w:spacing w:line="240" w:lineRule="auto" w:before="0" w:after="0"/>
        <w:ind w:left="2122" w:right="0" w:hanging="360"/>
        <w:jc w:val="left"/>
        <w:rPr>
          <w:sz w:val="24"/>
        </w:rPr>
      </w:pPr>
      <w:r>
        <w:rPr>
          <w:sz w:val="24"/>
        </w:rPr>
        <w:t>¿Ha generado algún cambio en la forma de</w:t>
      </w:r>
      <w:r>
        <w:rPr>
          <w:spacing w:val="-17"/>
          <w:sz w:val="24"/>
        </w:rPr>
        <w:t> </w:t>
      </w:r>
      <w:r>
        <w:rPr>
          <w:sz w:val="24"/>
        </w:rPr>
        <w:t>hablar?</w:t>
      </w:r>
    </w:p>
    <w:p>
      <w:pPr>
        <w:pStyle w:val="BodyText"/>
        <w:spacing w:before="1"/>
        <w:rPr>
          <w:sz w:val="31"/>
        </w:rPr>
      </w:pPr>
    </w:p>
    <w:p>
      <w:pPr>
        <w:pStyle w:val="BodyText"/>
        <w:ind w:left="1402"/>
        <w:jc w:val="both"/>
      </w:pPr>
      <w:r>
        <w:rPr/>
        <w:t>¿De qué manera?</w:t>
      </w:r>
    </w:p>
    <w:p>
      <w:pPr>
        <w:pStyle w:val="BodyText"/>
        <w:spacing w:before="41"/>
        <w:ind w:left="1402"/>
        <w:jc w:val="both"/>
      </w:pPr>
      <w:r>
        <w:rPr/>
        <w:t>¿En quienes principalmente?</w:t>
      </w:r>
    </w:p>
    <w:p>
      <w:pPr>
        <w:pStyle w:val="BodyText"/>
        <w:spacing w:before="44"/>
        <w:ind w:left="1402"/>
        <w:jc w:val="both"/>
      </w:pPr>
      <w:r>
        <w:rPr/>
        <w:t>¿Desde cuándo?</w:t>
      </w:r>
    </w:p>
    <w:p>
      <w:pPr>
        <w:pStyle w:val="BodyText"/>
        <w:spacing w:before="1"/>
        <w:rPr>
          <w:sz w:val="31"/>
        </w:rPr>
      </w:pPr>
    </w:p>
    <w:p>
      <w:pPr>
        <w:pStyle w:val="ListParagraph"/>
        <w:numPr>
          <w:ilvl w:val="2"/>
          <w:numId w:val="16"/>
        </w:numPr>
        <w:tabs>
          <w:tab w:pos="2122" w:val="left" w:leader="none"/>
        </w:tabs>
        <w:spacing w:line="240" w:lineRule="auto" w:before="0" w:after="0"/>
        <w:ind w:left="2122" w:right="0" w:hanging="360"/>
        <w:jc w:val="left"/>
        <w:rPr>
          <w:sz w:val="24"/>
        </w:rPr>
      </w:pPr>
      <w:r>
        <w:rPr>
          <w:sz w:val="24"/>
        </w:rPr>
        <w:t>¿Ha generado algún cambio en la forma de</w:t>
      </w:r>
      <w:r>
        <w:rPr>
          <w:spacing w:val="-17"/>
          <w:sz w:val="24"/>
        </w:rPr>
        <w:t> </w:t>
      </w:r>
      <w:r>
        <w:rPr>
          <w:sz w:val="24"/>
        </w:rPr>
        <w:t>vestir?</w:t>
      </w:r>
    </w:p>
    <w:p>
      <w:pPr>
        <w:pStyle w:val="BodyText"/>
        <w:spacing w:before="1"/>
        <w:rPr>
          <w:sz w:val="31"/>
        </w:rPr>
      </w:pPr>
    </w:p>
    <w:p>
      <w:pPr>
        <w:pStyle w:val="BodyText"/>
        <w:ind w:left="1402"/>
        <w:jc w:val="both"/>
      </w:pPr>
      <w:r>
        <w:rPr/>
        <w:t>¿De qué manera?</w:t>
      </w:r>
    </w:p>
    <w:p>
      <w:pPr>
        <w:pStyle w:val="BodyText"/>
        <w:spacing w:before="43"/>
        <w:ind w:left="1402"/>
        <w:jc w:val="both"/>
      </w:pPr>
      <w:r>
        <w:rPr/>
        <w:t>¿En quienes principalmente?</w:t>
      </w:r>
    </w:p>
    <w:p>
      <w:pPr>
        <w:pStyle w:val="BodyText"/>
        <w:spacing w:before="40"/>
        <w:ind w:left="1402"/>
        <w:jc w:val="both"/>
      </w:pPr>
      <w:r>
        <w:rPr/>
        <w:t>¿Desde cuándo?</w:t>
      </w:r>
    </w:p>
    <w:p>
      <w:pPr>
        <w:spacing w:after="0"/>
        <w:jc w:val="both"/>
        <w:sectPr>
          <w:pgSz w:w="12240" w:h="15840"/>
          <w:pgMar w:header="0" w:footer="1003" w:top="1360" w:bottom="1200" w:left="300" w:right="300"/>
        </w:sectPr>
      </w:pPr>
    </w:p>
    <w:p>
      <w:pPr>
        <w:pStyle w:val="ListParagraph"/>
        <w:numPr>
          <w:ilvl w:val="2"/>
          <w:numId w:val="16"/>
        </w:numPr>
        <w:tabs>
          <w:tab w:pos="822" w:val="left" w:leader="none"/>
        </w:tabs>
        <w:spacing w:line="240" w:lineRule="auto" w:before="54" w:after="0"/>
        <w:ind w:left="822" w:right="0" w:hanging="360"/>
        <w:jc w:val="left"/>
        <w:rPr>
          <w:sz w:val="24"/>
        </w:rPr>
      </w:pPr>
      <w:r>
        <w:rPr>
          <w:sz w:val="24"/>
        </w:rPr>
        <w:t>¿Ha generado algún cambio en el tipo de</w:t>
      </w:r>
      <w:r>
        <w:rPr>
          <w:spacing w:val="-22"/>
          <w:sz w:val="24"/>
        </w:rPr>
        <w:t> </w:t>
      </w:r>
      <w:r>
        <w:rPr>
          <w:sz w:val="24"/>
        </w:rPr>
        <w:t>vivienda?</w:t>
      </w:r>
    </w:p>
    <w:p>
      <w:pPr>
        <w:pStyle w:val="BodyText"/>
        <w:spacing w:before="3"/>
        <w:rPr>
          <w:sz w:val="31"/>
        </w:rPr>
      </w:pPr>
    </w:p>
    <w:p>
      <w:pPr>
        <w:pStyle w:val="BodyText"/>
        <w:spacing w:before="1"/>
        <w:ind w:left="102"/>
        <w:jc w:val="both"/>
      </w:pPr>
      <w:r>
        <w:rPr/>
        <w:t>¿De qué manera?</w:t>
      </w:r>
    </w:p>
    <w:p>
      <w:pPr>
        <w:pStyle w:val="BodyText"/>
        <w:spacing w:before="1"/>
        <w:rPr>
          <w:sz w:val="31"/>
        </w:rPr>
      </w:pPr>
    </w:p>
    <w:p>
      <w:pPr>
        <w:pStyle w:val="ListParagraph"/>
        <w:numPr>
          <w:ilvl w:val="2"/>
          <w:numId w:val="16"/>
        </w:numPr>
        <w:tabs>
          <w:tab w:pos="822" w:val="left" w:leader="none"/>
        </w:tabs>
        <w:spacing w:line="240" w:lineRule="auto" w:before="0" w:after="0"/>
        <w:ind w:left="822" w:right="0" w:hanging="360"/>
        <w:jc w:val="left"/>
        <w:rPr>
          <w:sz w:val="24"/>
        </w:rPr>
      </w:pPr>
      <w:r>
        <w:rPr>
          <w:sz w:val="24"/>
        </w:rPr>
        <w:t>¿Ha generado algún cambio en el tipo de música que</w:t>
      </w:r>
      <w:r>
        <w:rPr>
          <w:spacing w:val="-19"/>
          <w:sz w:val="24"/>
        </w:rPr>
        <w:t> </w:t>
      </w:r>
      <w:r>
        <w:rPr>
          <w:sz w:val="24"/>
        </w:rPr>
        <w:t>escuchan?</w:t>
      </w:r>
    </w:p>
    <w:p>
      <w:pPr>
        <w:pStyle w:val="BodyText"/>
        <w:spacing w:before="3"/>
        <w:rPr>
          <w:sz w:val="31"/>
        </w:rPr>
      </w:pPr>
    </w:p>
    <w:p>
      <w:pPr>
        <w:pStyle w:val="BodyText"/>
        <w:ind w:left="102"/>
        <w:jc w:val="both"/>
      </w:pPr>
      <w:r>
        <w:rPr/>
        <w:t>¿En quienes principalmente?</w:t>
      </w:r>
    </w:p>
    <w:p>
      <w:pPr>
        <w:pStyle w:val="BodyText"/>
        <w:spacing w:before="41"/>
        <w:ind w:left="102"/>
        <w:jc w:val="both"/>
      </w:pPr>
      <w:r>
        <w:rPr/>
        <w:t>¿Desde cuándo?</w:t>
      </w:r>
    </w:p>
    <w:p>
      <w:pPr>
        <w:pStyle w:val="BodyText"/>
        <w:spacing w:before="3"/>
        <w:rPr>
          <w:sz w:val="31"/>
        </w:rPr>
      </w:pPr>
    </w:p>
    <w:p>
      <w:pPr>
        <w:pStyle w:val="BodyText"/>
        <w:ind w:left="102"/>
        <w:jc w:val="both"/>
      </w:pPr>
      <w:r>
        <w:rPr/>
        <w:t>¿Cómo se ha generado este cambio?</w:t>
      </w:r>
    </w:p>
    <w:p>
      <w:pPr>
        <w:pStyle w:val="BodyText"/>
        <w:spacing w:before="1"/>
        <w:rPr>
          <w:sz w:val="31"/>
        </w:rPr>
      </w:pPr>
    </w:p>
    <w:p>
      <w:pPr>
        <w:pStyle w:val="ListParagraph"/>
        <w:numPr>
          <w:ilvl w:val="2"/>
          <w:numId w:val="16"/>
        </w:numPr>
        <w:tabs>
          <w:tab w:pos="822" w:val="left" w:leader="none"/>
        </w:tabs>
        <w:spacing w:line="240" w:lineRule="auto" w:before="0" w:after="0"/>
        <w:ind w:left="822" w:right="0" w:hanging="360"/>
        <w:jc w:val="left"/>
        <w:rPr>
          <w:sz w:val="24"/>
        </w:rPr>
      </w:pPr>
      <w:r>
        <w:rPr>
          <w:sz w:val="24"/>
        </w:rPr>
        <w:t>¿Qué otros cambios similares ha notado usted en la</w:t>
      </w:r>
      <w:r>
        <w:rPr>
          <w:spacing w:val="-20"/>
          <w:sz w:val="24"/>
        </w:rPr>
        <w:t> </w:t>
      </w:r>
      <w:r>
        <w:rPr>
          <w:sz w:val="24"/>
        </w:rPr>
        <w:t>comunidad?</w:t>
      </w:r>
    </w:p>
    <w:p>
      <w:pPr>
        <w:pStyle w:val="BodyText"/>
        <w:spacing w:before="3"/>
        <w:rPr>
          <w:sz w:val="31"/>
        </w:rPr>
      </w:pPr>
    </w:p>
    <w:p>
      <w:pPr>
        <w:pStyle w:val="ListParagraph"/>
        <w:numPr>
          <w:ilvl w:val="2"/>
          <w:numId w:val="16"/>
        </w:numPr>
        <w:tabs>
          <w:tab w:pos="822" w:val="left" w:leader="none"/>
        </w:tabs>
        <w:spacing w:line="276" w:lineRule="auto" w:before="0" w:after="0"/>
        <w:ind w:left="822" w:right="124" w:hanging="360"/>
        <w:jc w:val="left"/>
        <w:rPr>
          <w:sz w:val="24"/>
        </w:rPr>
      </w:pPr>
      <w:r>
        <w:rPr>
          <w:sz w:val="24"/>
        </w:rPr>
        <w:t>¿Por qué cree que se originan todos estos cambios? (en caso de haber cambios)</w:t>
      </w:r>
    </w:p>
    <w:p>
      <w:pPr>
        <w:pStyle w:val="BodyText"/>
      </w:pPr>
    </w:p>
    <w:p>
      <w:pPr>
        <w:pStyle w:val="BodyText"/>
        <w:spacing w:before="1"/>
        <w:rPr>
          <w:sz w:val="31"/>
        </w:rPr>
      </w:pPr>
    </w:p>
    <w:p>
      <w:pPr>
        <w:pStyle w:val="BodyText"/>
        <w:spacing w:line="276" w:lineRule="auto"/>
        <w:ind w:left="102" w:right="124"/>
        <w:jc w:val="both"/>
      </w:pPr>
      <w:r>
        <w:rPr/>
        <w:t>Para los objetivos específicos, de acuerdo con observaciones iniciales en comunidad, se cuenta con pocos migrantes como informantes potenciales. Por ello, se procederá a cubrir este objetivo principalmente a partir de entrevistas con residentes de la</w:t>
      </w:r>
      <w:r>
        <w:rPr>
          <w:spacing w:val="-10"/>
        </w:rPr>
        <w:t> </w:t>
      </w:r>
      <w:r>
        <w:rPr/>
        <w:t>comunidad.</w:t>
      </w:r>
    </w:p>
    <w:p>
      <w:pPr>
        <w:pStyle w:val="BodyText"/>
      </w:pPr>
    </w:p>
    <w:p>
      <w:pPr>
        <w:pStyle w:val="BodyText"/>
      </w:pPr>
    </w:p>
    <w:p>
      <w:pPr>
        <w:pStyle w:val="BodyText"/>
      </w:pPr>
    </w:p>
    <w:p>
      <w:pPr>
        <w:pStyle w:val="BodyText"/>
      </w:pPr>
    </w:p>
    <w:p>
      <w:pPr>
        <w:pStyle w:val="Heading3"/>
        <w:spacing w:before="166"/>
        <w:ind w:left="102"/>
        <w:jc w:val="both"/>
      </w:pPr>
      <w:r>
        <w:rPr/>
        <w:t>Objetivo específico No.1</w:t>
      </w:r>
    </w:p>
    <w:p>
      <w:pPr>
        <w:pStyle w:val="BodyText"/>
        <w:spacing w:before="1"/>
        <w:rPr>
          <w:b/>
          <w:sz w:val="31"/>
        </w:rPr>
      </w:pPr>
    </w:p>
    <w:p>
      <w:pPr>
        <w:pStyle w:val="ListParagraph"/>
        <w:numPr>
          <w:ilvl w:val="2"/>
          <w:numId w:val="15"/>
        </w:numPr>
        <w:tabs>
          <w:tab w:pos="821" w:val="left" w:leader="none"/>
          <w:tab w:pos="822" w:val="left" w:leader="none"/>
        </w:tabs>
        <w:spacing w:line="273" w:lineRule="auto" w:before="0" w:after="0"/>
        <w:ind w:left="822" w:right="125" w:hanging="360"/>
        <w:jc w:val="left"/>
        <w:rPr>
          <w:sz w:val="24"/>
        </w:rPr>
      </w:pPr>
      <w:r>
        <w:rPr>
          <w:sz w:val="24"/>
        </w:rPr>
        <w:t>Describir la actividad migratoria de residentes de la comunidad El Tephé hacia los Estados</w:t>
      </w:r>
      <w:r>
        <w:rPr>
          <w:spacing w:val="-9"/>
          <w:sz w:val="24"/>
        </w:rPr>
        <w:t> </w:t>
      </w:r>
      <w:r>
        <w:rPr>
          <w:sz w:val="24"/>
        </w:rPr>
        <w:t>Unidos</w:t>
      </w:r>
    </w:p>
    <w:p>
      <w:pPr>
        <w:pStyle w:val="BodyText"/>
      </w:pPr>
    </w:p>
    <w:p>
      <w:pPr>
        <w:pStyle w:val="BodyText"/>
        <w:spacing w:before="6"/>
        <w:rPr>
          <w:sz w:val="31"/>
        </w:rPr>
      </w:pPr>
    </w:p>
    <w:p>
      <w:pPr>
        <w:pStyle w:val="ListParagraph"/>
        <w:numPr>
          <w:ilvl w:val="0"/>
          <w:numId w:val="17"/>
        </w:numPr>
        <w:tabs>
          <w:tab w:pos="822" w:val="left" w:leader="none"/>
        </w:tabs>
        <w:spacing w:line="276" w:lineRule="auto" w:before="1" w:after="0"/>
        <w:ind w:left="822" w:right="117" w:hanging="360"/>
        <w:jc w:val="both"/>
        <w:rPr>
          <w:sz w:val="24"/>
        </w:rPr>
      </w:pPr>
      <w:r>
        <w:rPr>
          <w:sz w:val="24"/>
        </w:rPr>
        <w:t>¿Cuál es el perfil de quienes emigran a los Estados Unidos? (edad, sexo, estado civil, ocupación, condiciones familiares, condiciones económicas, solos o</w:t>
      </w:r>
      <w:r>
        <w:rPr>
          <w:spacing w:val="-8"/>
          <w:sz w:val="24"/>
        </w:rPr>
        <w:t> </w:t>
      </w:r>
      <w:r>
        <w:rPr>
          <w:sz w:val="24"/>
        </w:rPr>
        <w:t>acompañados)</w:t>
      </w:r>
    </w:p>
    <w:p>
      <w:pPr>
        <w:pStyle w:val="BodyText"/>
        <w:spacing w:before="9"/>
        <w:rPr>
          <w:sz w:val="27"/>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¿Desde cuándo empezaron a migrar personas de la</w:t>
      </w:r>
      <w:r>
        <w:rPr>
          <w:spacing w:val="-21"/>
          <w:sz w:val="24"/>
        </w:rPr>
        <w:t> </w:t>
      </w:r>
      <w:r>
        <w:rPr>
          <w:sz w:val="24"/>
        </w:rPr>
        <w:t>comunidad?</w:t>
      </w:r>
    </w:p>
    <w:p>
      <w:pPr>
        <w:pStyle w:val="BodyText"/>
        <w:spacing w:before="1"/>
        <w:rPr>
          <w:sz w:val="31"/>
        </w:rPr>
      </w:pPr>
    </w:p>
    <w:p>
      <w:pPr>
        <w:pStyle w:val="ListParagraph"/>
        <w:numPr>
          <w:ilvl w:val="0"/>
          <w:numId w:val="17"/>
        </w:numPr>
        <w:tabs>
          <w:tab w:pos="822" w:val="left" w:leader="none"/>
        </w:tabs>
        <w:spacing w:line="276" w:lineRule="auto" w:before="0" w:after="0"/>
        <w:ind w:left="822" w:right="125" w:hanging="360"/>
        <w:jc w:val="left"/>
        <w:rPr>
          <w:sz w:val="24"/>
        </w:rPr>
      </w:pPr>
      <w:r>
        <w:rPr>
          <w:sz w:val="24"/>
        </w:rPr>
        <w:t>¿Me puede decir aproximadamente cuántas personas del El Tephé emigran a Estados</w:t>
      </w:r>
      <w:r>
        <w:rPr>
          <w:spacing w:val="-7"/>
          <w:sz w:val="24"/>
        </w:rPr>
        <w:t> </w:t>
      </w:r>
      <w:r>
        <w:rPr>
          <w:sz w:val="24"/>
        </w:rPr>
        <w:t>Unidos?</w:t>
      </w:r>
    </w:p>
    <w:p>
      <w:pPr>
        <w:pStyle w:val="BodyText"/>
        <w:spacing w:before="9"/>
        <w:rPr>
          <w:sz w:val="27"/>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¿Por qué emigran a los Estados</w:t>
      </w:r>
      <w:r>
        <w:rPr>
          <w:spacing w:val="-10"/>
          <w:sz w:val="24"/>
        </w:rPr>
        <w:t> </w:t>
      </w:r>
      <w:r>
        <w:rPr>
          <w:sz w:val="24"/>
        </w:rPr>
        <w:t>Unidos?</w:t>
      </w:r>
    </w:p>
    <w:p>
      <w:pPr>
        <w:spacing w:after="0" w:line="240" w:lineRule="auto"/>
        <w:jc w:val="left"/>
        <w:rPr>
          <w:sz w:val="24"/>
        </w:rPr>
        <w:sectPr>
          <w:pgSz w:w="12240" w:h="15840"/>
          <w:pgMar w:header="0" w:footer="1003" w:top="1360" w:bottom="1200" w:left="1600" w:right="1580"/>
        </w:sectPr>
      </w:pPr>
    </w:p>
    <w:p>
      <w:pPr>
        <w:pStyle w:val="BodyText"/>
        <w:spacing w:before="3"/>
        <w:rPr>
          <w:sz w:val="14"/>
        </w:rPr>
      </w:pPr>
    </w:p>
    <w:p>
      <w:pPr>
        <w:pStyle w:val="ListParagraph"/>
        <w:numPr>
          <w:ilvl w:val="0"/>
          <w:numId w:val="17"/>
        </w:numPr>
        <w:tabs>
          <w:tab w:pos="822" w:val="left" w:leader="none"/>
        </w:tabs>
        <w:spacing w:line="240" w:lineRule="auto" w:before="69" w:after="0"/>
        <w:ind w:left="822" w:right="0" w:hanging="360"/>
        <w:jc w:val="left"/>
        <w:rPr>
          <w:sz w:val="24"/>
        </w:rPr>
      </w:pPr>
      <w:r>
        <w:rPr>
          <w:sz w:val="24"/>
        </w:rPr>
        <w:t>¿A qué ciudades de los Estados Unidos llegan</w:t>
      </w:r>
      <w:r>
        <w:rPr>
          <w:spacing w:val="-20"/>
          <w:sz w:val="24"/>
        </w:rPr>
        <w:t> </w:t>
      </w:r>
      <w:r>
        <w:rPr>
          <w:sz w:val="24"/>
        </w:rPr>
        <w:t>principalmente?</w:t>
      </w:r>
    </w:p>
    <w:p>
      <w:pPr>
        <w:pStyle w:val="BodyText"/>
        <w:spacing w:before="1"/>
        <w:rPr>
          <w:sz w:val="31"/>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¿Cómo llegan a su destino en los Estados</w:t>
      </w:r>
      <w:r>
        <w:rPr>
          <w:spacing w:val="-13"/>
          <w:sz w:val="24"/>
        </w:rPr>
        <w:t> </w:t>
      </w:r>
      <w:r>
        <w:rPr>
          <w:sz w:val="24"/>
        </w:rPr>
        <w:t>Unidos?</w:t>
      </w:r>
    </w:p>
    <w:p>
      <w:pPr>
        <w:pStyle w:val="BodyText"/>
        <w:spacing w:before="3"/>
        <w:rPr>
          <w:sz w:val="31"/>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¿Por cuánto tiempo se</w:t>
      </w:r>
      <w:r>
        <w:rPr>
          <w:spacing w:val="-9"/>
          <w:sz w:val="24"/>
        </w:rPr>
        <w:t> </w:t>
      </w:r>
      <w:r>
        <w:rPr>
          <w:sz w:val="24"/>
        </w:rPr>
        <w:t>van?</w:t>
      </w:r>
    </w:p>
    <w:p>
      <w:pPr>
        <w:pStyle w:val="BodyText"/>
        <w:spacing w:before="1"/>
        <w:rPr>
          <w:sz w:val="31"/>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¿Qué actividades económicas desempeñan en Estados</w:t>
      </w:r>
      <w:r>
        <w:rPr>
          <w:spacing w:val="-27"/>
          <w:sz w:val="24"/>
        </w:rPr>
        <w:t> </w:t>
      </w:r>
      <w:r>
        <w:rPr>
          <w:sz w:val="24"/>
        </w:rPr>
        <w:t>Unidos?</w:t>
      </w:r>
    </w:p>
    <w:p>
      <w:pPr>
        <w:pStyle w:val="BodyText"/>
        <w:spacing w:before="3"/>
        <w:rPr>
          <w:sz w:val="31"/>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¿Cómo contactan al</w:t>
      </w:r>
      <w:r>
        <w:rPr>
          <w:spacing w:val="59"/>
          <w:sz w:val="24"/>
        </w:rPr>
        <w:t> </w:t>
      </w:r>
      <w:r>
        <w:rPr>
          <w:sz w:val="24"/>
        </w:rPr>
        <w:t>“coyote”?</w:t>
      </w:r>
    </w:p>
    <w:p>
      <w:pPr>
        <w:pStyle w:val="BodyText"/>
      </w:pPr>
    </w:p>
    <w:p>
      <w:pPr>
        <w:pStyle w:val="BodyText"/>
        <w:spacing w:before="5"/>
      </w:pPr>
    </w:p>
    <w:p>
      <w:pPr>
        <w:pStyle w:val="BodyText"/>
        <w:ind w:left="461"/>
      </w:pPr>
      <w:r>
        <w:rPr/>
        <w:t>10.</w:t>
      </w:r>
      <w:r>
        <w:rPr>
          <w:spacing w:val="-57"/>
        </w:rPr>
        <w:t> </w:t>
      </w:r>
      <w:r>
        <w:rPr/>
        <w:t>¿Realizan envíos de dinero a la comunidad?</w:t>
      </w:r>
    </w:p>
    <w:p>
      <w:pPr>
        <w:pStyle w:val="BodyText"/>
      </w:pPr>
    </w:p>
    <w:p>
      <w:pPr>
        <w:pStyle w:val="BodyText"/>
      </w:pPr>
    </w:p>
    <w:p>
      <w:pPr>
        <w:pStyle w:val="BodyText"/>
      </w:pPr>
    </w:p>
    <w:p>
      <w:pPr>
        <w:pStyle w:val="Heading3"/>
        <w:spacing w:before="165"/>
        <w:ind w:left="102"/>
        <w:jc w:val="left"/>
      </w:pPr>
      <w:r>
        <w:rPr/>
        <w:t>Objetivo especifico No.2</w:t>
      </w:r>
    </w:p>
    <w:p>
      <w:pPr>
        <w:pStyle w:val="BodyText"/>
        <w:spacing w:before="1"/>
        <w:rPr>
          <w:b/>
          <w:sz w:val="31"/>
        </w:rPr>
      </w:pPr>
    </w:p>
    <w:p>
      <w:pPr>
        <w:pStyle w:val="ListParagraph"/>
        <w:numPr>
          <w:ilvl w:val="2"/>
          <w:numId w:val="15"/>
        </w:numPr>
        <w:tabs>
          <w:tab w:pos="821" w:val="left" w:leader="none"/>
          <w:tab w:pos="822" w:val="left" w:leader="none"/>
        </w:tabs>
        <w:spacing w:line="240" w:lineRule="auto" w:before="0" w:after="0"/>
        <w:ind w:left="822" w:right="0" w:hanging="360"/>
        <w:jc w:val="left"/>
        <w:rPr>
          <w:sz w:val="24"/>
        </w:rPr>
      </w:pPr>
      <w:r>
        <w:rPr>
          <w:sz w:val="24"/>
        </w:rPr>
        <w:t>Describir el turismo de nostalgia de la comunidad de El</w:t>
      </w:r>
      <w:r>
        <w:rPr>
          <w:spacing w:val="-23"/>
          <w:sz w:val="24"/>
        </w:rPr>
        <w:t> </w:t>
      </w:r>
      <w:r>
        <w:rPr>
          <w:sz w:val="24"/>
        </w:rPr>
        <w:t>Tephé</w:t>
      </w:r>
    </w:p>
    <w:p>
      <w:pPr>
        <w:pStyle w:val="BodyText"/>
      </w:pPr>
    </w:p>
    <w:p>
      <w:pPr>
        <w:pStyle w:val="BodyText"/>
        <w:spacing w:before="8"/>
        <w:rPr>
          <w:sz w:val="34"/>
        </w:rPr>
      </w:pPr>
    </w:p>
    <w:p>
      <w:pPr>
        <w:pStyle w:val="ListParagraph"/>
        <w:numPr>
          <w:ilvl w:val="0"/>
          <w:numId w:val="18"/>
        </w:numPr>
        <w:tabs>
          <w:tab w:pos="746" w:val="left" w:leader="none"/>
        </w:tabs>
        <w:spacing w:line="240" w:lineRule="auto" w:before="0" w:after="0"/>
        <w:ind w:left="745" w:right="0" w:hanging="360"/>
        <w:jc w:val="left"/>
        <w:rPr>
          <w:sz w:val="24"/>
        </w:rPr>
      </w:pPr>
      <w:r>
        <w:rPr>
          <w:sz w:val="24"/>
        </w:rPr>
        <w:t>¿Todos los migrantes que se van</w:t>
      </w:r>
      <w:r>
        <w:rPr>
          <w:spacing w:val="-16"/>
          <w:sz w:val="24"/>
        </w:rPr>
        <w:t> </w:t>
      </w:r>
      <w:r>
        <w:rPr>
          <w:sz w:val="24"/>
        </w:rPr>
        <w:t>regresan?</w:t>
      </w:r>
    </w:p>
    <w:p>
      <w:pPr>
        <w:pStyle w:val="BodyText"/>
        <w:spacing w:before="3"/>
        <w:rPr>
          <w:sz w:val="31"/>
        </w:rPr>
      </w:pPr>
    </w:p>
    <w:p>
      <w:pPr>
        <w:pStyle w:val="ListParagraph"/>
        <w:numPr>
          <w:ilvl w:val="0"/>
          <w:numId w:val="18"/>
        </w:numPr>
        <w:tabs>
          <w:tab w:pos="746" w:val="left" w:leader="none"/>
        </w:tabs>
        <w:spacing w:line="240" w:lineRule="auto" w:before="1" w:after="0"/>
        <w:ind w:left="745" w:right="0" w:hanging="360"/>
        <w:jc w:val="left"/>
        <w:rPr>
          <w:sz w:val="24"/>
        </w:rPr>
      </w:pPr>
      <w:r>
        <w:rPr>
          <w:sz w:val="24"/>
        </w:rPr>
        <w:t>¿Los que regresan, por qué deciden</w:t>
      </w:r>
      <w:r>
        <w:rPr>
          <w:spacing w:val="-16"/>
          <w:sz w:val="24"/>
        </w:rPr>
        <w:t> </w:t>
      </w:r>
      <w:r>
        <w:rPr>
          <w:sz w:val="24"/>
        </w:rPr>
        <w:t>regresar?</w:t>
      </w:r>
    </w:p>
    <w:p>
      <w:pPr>
        <w:pStyle w:val="BodyText"/>
        <w:spacing w:before="1"/>
        <w:rPr>
          <w:sz w:val="31"/>
        </w:rPr>
      </w:pPr>
    </w:p>
    <w:p>
      <w:pPr>
        <w:pStyle w:val="ListParagraph"/>
        <w:numPr>
          <w:ilvl w:val="0"/>
          <w:numId w:val="18"/>
        </w:numPr>
        <w:tabs>
          <w:tab w:pos="746" w:val="left" w:leader="none"/>
        </w:tabs>
        <w:spacing w:line="240" w:lineRule="auto" w:before="0" w:after="0"/>
        <w:ind w:left="745" w:right="0" w:hanging="360"/>
        <w:jc w:val="left"/>
        <w:rPr>
          <w:sz w:val="24"/>
        </w:rPr>
      </w:pPr>
      <w:r>
        <w:rPr>
          <w:sz w:val="24"/>
        </w:rPr>
        <w:t>¿Con qué frecuencia regresan a la</w:t>
      </w:r>
      <w:r>
        <w:rPr>
          <w:spacing w:val="-14"/>
          <w:sz w:val="24"/>
        </w:rPr>
        <w:t> </w:t>
      </w:r>
      <w:r>
        <w:rPr>
          <w:sz w:val="24"/>
        </w:rPr>
        <w:t>comunidad?</w:t>
      </w:r>
    </w:p>
    <w:p>
      <w:pPr>
        <w:pStyle w:val="BodyText"/>
        <w:spacing w:before="3"/>
        <w:rPr>
          <w:sz w:val="31"/>
        </w:rPr>
      </w:pPr>
    </w:p>
    <w:p>
      <w:pPr>
        <w:pStyle w:val="ListParagraph"/>
        <w:numPr>
          <w:ilvl w:val="0"/>
          <w:numId w:val="18"/>
        </w:numPr>
        <w:tabs>
          <w:tab w:pos="746" w:val="left" w:leader="none"/>
        </w:tabs>
        <w:spacing w:line="240" w:lineRule="auto" w:before="0" w:after="0"/>
        <w:ind w:left="745" w:right="0" w:hanging="360"/>
        <w:jc w:val="left"/>
        <w:rPr>
          <w:sz w:val="24"/>
        </w:rPr>
      </w:pPr>
      <w:r>
        <w:rPr>
          <w:sz w:val="24"/>
        </w:rPr>
        <w:t>¿En qué temporada</w:t>
      </w:r>
      <w:r>
        <w:rPr>
          <w:spacing w:val="-11"/>
          <w:sz w:val="24"/>
        </w:rPr>
        <w:t> </w:t>
      </w:r>
      <w:r>
        <w:rPr>
          <w:sz w:val="24"/>
        </w:rPr>
        <w:t>regresan?</w:t>
      </w:r>
    </w:p>
    <w:p>
      <w:pPr>
        <w:pStyle w:val="BodyText"/>
        <w:spacing w:before="1"/>
        <w:rPr>
          <w:sz w:val="31"/>
        </w:rPr>
      </w:pPr>
    </w:p>
    <w:p>
      <w:pPr>
        <w:pStyle w:val="ListParagraph"/>
        <w:numPr>
          <w:ilvl w:val="0"/>
          <w:numId w:val="18"/>
        </w:numPr>
        <w:tabs>
          <w:tab w:pos="746" w:val="left" w:leader="none"/>
        </w:tabs>
        <w:spacing w:line="240" w:lineRule="auto" w:before="0" w:after="0"/>
        <w:ind w:left="745" w:right="0" w:hanging="360"/>
        <w:jc w:val="left"/>
        <w:rPr>
          <w:sz w:val="24"/>
        </w:rPr>
      </w:pPr>
      <w:r>
        <w:rPr>
          <w:sz w:val="24"/>
        </w:rPr>
        <w:t>¿Cuánto tiempo permanecen en la</w:t>
      </w:r>
      <w:r>
        <w:rPr>
          <w:spacing w:val="-15"/>
          <w:sz w:val="24"/>
        </w:rPr>
        <w:t> </w:t>
      </w:r>
      <w:r>
        <w:rPr>
          <w:sz w:val="24"/>
        </w:rPr>
        <w:t>comunidad?</w:t>
      </w:r>
    </w:p>
    <w:p>
      <w:pPr>
        <w:pStyle w:val="BodyText"/>
        <w:spacing w:before="3"/>
        <w:rPr>
          <w:sz w:val="31"/>
        </w:rPr>
      </w:pPr>
    </w:p>
    <w:p>
      <w:pPr>
        <w:pStyle w:val="ListParagraph"/>
        <w:numPr>
          <w:ilvl w:val="0"/>
          <w:numId w:val="18"/>
        </w:numPr>
        <w:tabs>
          <w:tab w:pos="746" w:val="left" w:leader="none"/>
        </w:tabs>
        <w:spacing w:line="240" w:lineRule="auto" w:before="0" w:after="0"/>
        <w:ind w:left="745" w:right="0" w:hanging="360"/>
        <w:jc w:val="left"/>
        <w:rPr>
          <w:sz w:val="24"/>
        </w:rPr>
      </w:pPr>
      <w:r>
        <w:rPr>
          <w:sz w:val="24"/>
        </w:rPr>
        <w:t>¿En qué actividades de la comunidad participan durante su</w:t>
      </w:r>
      <w:r>
        <w:rPr>
          <w:spacing w:val="-23"/>
          <w:sz w:val="24"/>
        </w:rPr>
        <w:t> </w:t>
      </w:r>
      <w:r>
        <w:rPr>
          <w:sz w:val="24"/>
        </w:rPr>
        <w:t>estancia?</w:t>
      </w:r>
    </w:p>
    <w:p>
      <w:pPr>
        <w:pStyle w:val="BodyText"/>
        <w:spacing w:before="1"/>
        <w:rPr>
          <w:sz w:val="31"/>
        </w:rPr>
      </w:pPr>
    </w:p>
    <w:p>
      <w:pPr>
        <w:pStyle w:val="ListParagraph"/>
        <w:numPr>
          <w:ilvl w:val="0"/>
          <w:numId w:val="18"/>
        </w:numPr>
        <w:tabs>
          <w:tab w:pos="746" w:val="left" w:leader="none"/>
        </w:tabs>
        <w:spacing w:line="240" w:lineRule="auto" w:before="0" w:after="0"/>
        <w:ind w:left="745" w:right="0" w:hanging="360"/>
        <w:jc w:val="left"/>
        <w:rPr>
          <w:sz w:val="24"/>
        </w:rPr>
      </w:pPr>
      <w:r>
        <w:rPr>
          <w:sz w:val="24"/>
        </w:rPr>
        <w:t>¿Con quiénes interactúan durante su</w:t>
      </w:r>
      <w:r>
        <w:rPr>
          <w:spacing w:val="-17"/>
          <w:sz w:val="24"/>
        </w:rPr>
        <w:t> </w:t>
      </w:r>
      <w:r>
        <w:rPr>
          <w:sz w:val="24"/>
        </w:rPr>
        <w:t>estancia?</w:t>
      </w:r>
    </w:p>
    <w:p>
      <w:pPr>
        <w:pStyle w:val="BodyText"/>
        <w:spacing w:before="3"/>
        <w:rPr>
          <w:sz w:val="31"/>
        </w:rPr>
      </w:pPr>
    </w:p>
    <w:p>
      <w:pPr>
        <w:pStyle w:val="ListParagraph"/>
        <w:numPr>
          <w:ilvl w:val="0"/>
          <w:numId w:val="18"/>
        </w:numPr>
        <w:tabs>
          <w:tab w:pos="746" w:val="left" w:leader="none"/>
        </w:tabs>
        <w:spacing w:line="240" w:lineRule="auto" w:before="0" w:after="0"/>
        <w:ind w:left="745" w:right="0" w:hanging="360"/>
        <w:jc w:val="left"/>
        <w:rPr>
          <w:sz w:val="24"/>
        </w:rPr>
      </w:pPr>
      <w:r>
        <w:rPr>
          <w:sz w:val="24"/>
        </w:rPr>
        <w:t>¿Realizan alguna actividad económica durante su</w:t>
      </w:r>
      <w:r>
        <w:rPr>
          <w:spacing w:val="-21"/>
          <w:sz w:val="24"/>
        </w:rPr>
        <w:t> </w:t>
      </w:r>
      <w:r>
        <w:rPr>
          <w:sz w:val="24"/>
        </w:rPr>
        <w:t>estancia?</w:t>
      </w:r>
    </w:p>
    <w:p>
      <w:pPr>
        <w:pStyle w:val="BodyText"/>
        <w:spacing w:before="1"/>
        <w:rPr>
          <w:sz w:val="31"/>
        </w:rPr>
      </w:pPr>
    </w:p>
    <w:p>
      <w:pPr>
        <w:pStyle w:val="ListParagraph"/>
        <w:numPr>
          <w:ilvl w:val="0"/>
          <w:numId w:val="18"/>
        </w:numPr>
        <w:tabs>
          <w:tab w:pos="746" w:val="left" w:leader="none"/>
        </w:tabs>
        <w:spacing w:line="240" w:lineRule="auto" w:before="0" w:after="0"/>
        <w:ind w:left="745" w:right="0" w:hanging="360"/>
        <w:jc w:val="left"/>
        <w:rPr>
          <w:sz w:val="24"/>
        </w:rPr>
      </w:pPr>
      <w:r>
        <w:rPr>
          <w:sz w:val="24"/>
        </w:rPr>
        <w:t>¿Qué más hacen durante su</w:t>
      </w:r>
      <w:r>
        <w:rPr>
          <w:spacing w:val="-15"/>
          <w:sz w:val="24"/>
        </w:rPr>
        <w:t> </w:t>
      </w:r>
      <w:r>
        <w:rPr>
          <w:sz w:val="24"/>
        </w:rPr>
        <w:t>estancia?</w:t>
      </w:r>
    </w:p>
    <w:sectPr>
      <w:pgSz w:w="12240" w:h="15840"/>
      <w:pgMar w:header="0" w:footer="1003" w:top="150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44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08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03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27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22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17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12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decimal"/>
      <w:lvlText w:val="%1."/>
      <w:lvlJc w:val="left"/>
      <w:pPr>
        <w:ind w:left="745" w:hanging="360"/>
        <w:jc w:val="left"/>
      </w:pPr>
      <w:rPr>
        <w:rFonts w:hint="default" w:ascii="Arial" w:hAnsi="Arial" w:eastAsia="Arial" w:cs="Arial"/>
        <w:spacing w:val="-5"/>
        <w:w w:val="99"/>
        <w:sz w:val="24"/>
        <w:szCs w:val="24"/>
      </w:rPr>
    </w:lvl>
    <w:lvl w:ilvl="1">
      <w:start w:val="1"/>
      <w:numFmt w:val="bullet"/>
      <w:lvlText w:val="•"/>
      <w:lvlJc w:val="left"/>
      <w:pPr>
        <w:ind w:left="1572" w:hanging="360"/>
      </w:pPr>
      <w:rPr>
        <w:rFonts w:hint="default"/>
      </w:rPr>
    </w:lvl>
    <w:lvl w:ilvl="2">
      <w:start w:val="1"/>
      <w:numFmt w:val="bullet"/>
      <w:lvlText w:val="•"/>
      <w:lvlJc w:val="left"/>
      <w:pPr>
        <w:ind w:left="2404" w:hanging="360"/>
      </w:pPr>
      <w:rPr>
        <w:rFonts w:hint="default"/>
      </w:rPr>
    </w:lvl>
    <w:lvl w:ilvl="3">
      <w:start w:val="1"/>
      <w:numFmt w:val="bullet"/>
      <w:lvlText w:val="•"/>
      <w:lvlJc w:val="left"/>
      <w:pPr>
        <w:ind w:left="3236" w:hanging="360"/>
      </w:pPr>
      <w:rPr>
        <w:rFonts w:hint="default"/>
      </w:rPr>
    </w:lvl>
    <w:lvl w:ilvl="4">
      <w:start w:val="1"/>
      <w:numFmt w:val="bullet"/>
      <w:lvlText w:val="•"/>
      <w:lvlJc w:val="left"/>
      <w:pPr>
        <w:ind w:left="4068" w:hanging="360"/>
      </w:pPr>
      <w:rPr>
        <w:rFonts w:hint="default"/>
      </w:rPr>
    </w:lvl>
    <w:lvl w:ilvl="5">
      <w:start w:val="1"/>
      <w:numFmt w:val="bullet"/>
      <w:lvlText w:val="•"/>
      <w:lvlJc w:val="left"/>
      <w:pPr>
        <w:ind w:left="4900" w:hanging="360"/>
      </w:pPr>
      <w:rPr>
        <w:rFonts w:hint="default"/>
      </w:rPr>
    </w:lvl>
    <w:lvl w:ilvl="6">
      <w:start w:val="1"/>
      <w:numFmt w:val="bullet"/>
      <w:lvlText w:val="•"/>
      <w:lvlJc w:val="left"/>
      <w:pPr>
        <w:ind w:left="5732" w:hanging="360"/>
      </w:pPr>
      <w:rPr>
        <w:rFonts w:hint="default"/>
      </w:rPr>
    </w:lvl>
    <w:lvl w:ilvl="7">
      <w:start w:val="1"/>
      <w:numFmt w:val="bullet"/>
      <w:lvlText w:val="•"/>
      <w:lvlJc w:val="left"/>
      <w:pPr>
        <w:ind w:left="6564" w:hanging="360"/>
      </w:pPr>
      <w:rPr>
        <w:rFonts w:hint="default"/>
      </w:rPr>
    </w:lvl>
    <w:lvl w:ilvl="8">
      <w:start w:val="1"/>
      <w:numFmt w:val="bullet"/>
      <w:lvlText w:val="•"/>
      <w:lvlJc w:val="left"/>
      <w:pPr>
        <w:ind w:left="7396" w:hanging="360"/>
      </w:pPr>
      <w:rPr>
        <w:rFonts w:hint="default"/>
      </w:rPr>
    </w:lvl>
  </w:abstractNum>
  <w:abstractNum w:abstractNumId="16">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5">
    <w:multiLevelType w:val="hybridMultilevel"/>
    <w:lvl w:ilvl="0">
      <w:start w:val="4"/>
      <w:numFmt w:val="decimal"/>
      <w:lvlText w:val="%1"/>
      <w:lvlJc w:val="left"/>
      <w:pPr>
        <w:ind w:left="822" w:hanging="720"/>
        <w:jc w:val="left"/>
      </w:pPr>
      <w:rPr>
        <w:rFonts w:hint="default"/>
      </w:rPr>
    </w:lvl>
    <w:lvl w:ilvl="1">
      <w:start w:val="3"/>
      <w:numFmt w:val="decimal"/>
      <w:lvlText w:val="%1.%2."/>
      <w:lvlJc w:val="left"/>
      <w:pPr>
        <w:ind w:left="822" w:hanging="720"/>
        <w:jc w:val="left"/>
      </w:pPr>
      <w:rPr>
        <w:rFonts w:hint="default" w:ascii="Arial" w:hAnsi="Arial" w:eastAsia="Arial" w:cs="Arial"/>
        <w:spacing w:val="-1"/>
        <w:w w:val="99"/>
        <w:sz w:val="26"/>
        <w:szCs w:val="26"/>
      </w:rPr>
    </w:lvl>
    <w:lvl w:ilvl="2">
      <w:start w:val="1"/>
      <w:numFmt w:val="decimal"/>
      <w:lvlText w:val="%3."/>
      <w:lvlJc w:val="left"/>
      <w:pPr>
        <w:ind w:left="2122" w:hanging="360"/>
        <w:jc w:val="right"/>
      </w:pPr>
      <w:rPr>
        <w:rFonts w:hint="default" w:ascii="Arial" w:hAnsi="Arial" w:eastAsia="Arial" w:cs="Arial"/>
        <w:spacing w:val="-34"/>
        <w:w w:val="99"/>
        <w:sz w:val="24"/>
        <w:szCs w:val="24"/>
      </w:rPr>
    </w:lvl>
    <w:lvl w:ilvl="3">
      <w:start w:val="1"/>
      <w:numFmt w:val="bullet"/>
      <w:lvlText w:val="•"/>
      <w:lvlJc w:val="left"/>
      <w:pPr>
        <w:ind w:left="3662" w:hanging="360"/>
      </w:pPr>
      <w:rPr>
        <w:rFonts w:hint="default"/>
      </w:rPr>
    </w:lvl>
    <w:lvl w:ilvl="4">
      <w:start w:val="1"/>
      <w:numFmt w:val="bullet"/>
      <w:lvlText w:val="•"/>
      <w:lvlJc w:val="left"/>
      <w:pPr>
        <w:ind w:left="4433" w:hanging="360"/>
      </w:pPr>
      <w:rPr>
        <w:rFonts w:hint="default"/>
      </w:rPr>
    </w:lvl>
    <w:lvl w:ilvl="5">
      <w:start w:val="1"/>
      <w:numFmt w:val="bullet"/>
      <w:lvlText w:val="•"/>
      <w:lvlJc w:val="left"/>
      <w:pPr>
        <w:ind w:left="5204" w:hanging="360"/>
      </w:pPr>
      <w:rPr>
        <w:rFonts w:hint="default"/>
      </w:rPr>
    </w:lvl>
    <w:lvl w:ilvl="6">
      <w:start w:val="1"/>
      <w:numFmt w:val="bullet"/>
      <w:lvlText w:val="•"/>
      <w:lvlJc w:val="left"/>
      <w:pPr>
        <w:ind w:left="5975"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17" w:hanging="360"/>
      </w:pPr>
      <w:rPr>
        <w:rFonts w:hint="default"/>
      </w:rPr>
    </w:lvl>
  </w:abstractNum>
  <w:abstractNum w:abstractNumId="14">
    <w:multiLevelType w:val="hybridMultilevel"/>
    <w:lvl w:ilvl="0">
      <w:start w:val="4"/>
      <w:numFmt w:val="decimal"/>
      <w:lvlText w:val="%1"/>
      <w:lvlJc w:val="left"/>
      <w:pPr>
        <w:ind w:left="770" w:hanging="648"/>
        <w:jc w:val="left"/>
      </w:pPr>
      <w:rPr>
        <w:rFonts w:hint="default"/>
      </w:rPr>
    </w:lvl>
    <w:lvl w:ilvl="1">
      <w:start w:val="1"/>
      <w:numFmt w:val="decimal"/>
      <w:lvlText w:val="%1.%2"/>
      <w:lvlJc w:val="left"/>
      <w:pPr>
        <w:ind w:left="770" w:hanging="648"/>
        <w:jc w:val="left"/>
      </w:pPr>
      <w:rPr>
        <w:rFonts w:hint="default" w:ascii="Arial" w:hAnsi="Arial" w:eastAsia="Arial" w:cs="Arial"/>
        <w:spacing w:val="-1"/>
        <w:w w:val="99"/>
        <w:sz w:val="26"/>
        <w:szCs w:val="26"/>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3">
    <w:multiLevelType w:val="hybridMultilevel"/>
    <w:lvl w:ilvl="0">
      <w:start w:val="3"/>
      <w:numFmt w:val="decimal"/>
      <w:lvlText w:val="%1"/>
      <w:lvlJc w:val="left"/>
      <w:pPr>
        <w:ind w:left="896" w:hanging="795"/>
        <w:jc w:val="left"/>
      </w:pPr>
      <w:rPr>
        <w:rFonts w:hint="default"/>
      </w:rPr>
    </w:lvl>
    <w:lvl w:ilvl="1">
      <w:start w:val="1"/>
      <w:numFmt w:val="decimal"/>
      <w:lvlText w:val="%1.%2"/>
      <w:lvlJc w:val="left"/>
      <w:pPr>
        <w:ind w:left="896" w:hanging="795"/>
        <w:jc w:val="left"/>
      </w:pPr>
      <w:rPr>
        <w:rFonts w:hint="default"/>
      </w:rPr>
    </w:lvl>
    <w:lvl w:ilvl="2">
      <w:start w:val="7"/>
      <w:numFmt w:val="decimal"/>
      <w:lvlText w:val="%1.%2.%3"/>
      <w:lvlJc w:val="left"/>
      <w:pPr>
        <w:ind w:left="896" w:hanging="795"/>
        <w:jc w:val="left"/>
      </w:pPr>
      <w:rPr>
        <w:rFonts w:hint="default" w:ascii="Arial" w:hAnsi="Arial" w:eastAsia="Arial" w:cs="Arial"/>
        <w:spacing w:val="-1"/>
        <w:w w:val="99"/>
        <w:sz w:val="26"/>
        <w:szCs w:val="26"/>
      </w:rPr>
    </w:lvl>
    <w:lvl w:ilvl="3">
      <w:start w:val="1"/>
      <w:numFmt w:val="decimal"/>
      <w:lvlText w:val="%1.%2.%3.%4"/>
      <w:lvlJc w:val="left"/>
      <w:pPr>
        <w:ind w:left="1112" w:hanging="1011"/>
        <w:jc w:val="left"/>
      </w:pPr>
      <w:rPr>
        <w:rFonts w:hint="default" w:ascii="Arial" w:hAnsi="Arial" w:eastAsia="Arial" w:cs="Arial"/>
        <w:spacing w:val="-1"/>
        <w:w w:val="99"/>
        <w:sz w:val="26"/>
        <w:szCs w:val="26"/>
      </w:rPr>
    </w:lvl>
    <w:lvl w:ilvl="4">
      <w:start w:val="1"/>
      <w:numFmt w:val="bullet"/>
      <w:lvlText w:val=""/>
      <w:lvlJc w:val="left"/>
      <w:pPr>
        <w:ind w:left="822" w:hanging="360"/>
      </w:pPr>
      <w:rPr>
        <w:rFonts w:hint="default" w:ascii="Symbol" w:hAnsi="Symbol" w:eastAsia="Symbol" w:cs="Symbol"/>
        <w:w w:val="100"/>
        <w:sz w:val="24"/>
        <w:szCs w:val="24"/>
      </w:rPr>
    </w:lvl>
    <w:lvl w:ilvl="5">
      <w:start w:val="1"/>
      <w:numFmt w:val="bullet"/>
      <w:lvlText w:val="•"/>
      <w:lvlJc w:val="left"/>
      <w:pPr>
        <w:ind w:left="4097" w:hanging="360"/>
      </w:pPr>
      <w:rPr>
        <w:rFonts w:hint="default"/>
      </w:rPr>
    </w:lvl>
    <w:lvl w:ilvl="6">
      <w:start w:val="1"/>
      <w:numFmt w:val="bullet"/>
      <w:lvlText w:val="•"/>
      <w:lvlJc w:val="left"/>
      <w:pPr>
        <w:ind w:left="5090" w:hanging="360"/>
      </w:pPr>
      <w:rPr>
        <w:rFonts w:hint="default"/>
      </w:rPr>
    </w:lvl>
    <w:lvl w:ilvl="7">
      <w:start w:val="1"/>
      <w:numFmt w:val="bullet"/>
      <w:lvlText w:val="•"/>
      <w:lvlJc w:val="left"/>
      <w:pPr>
        <w:ind w:left="6082" w:hanging="360"/>
      </w:pPr>
      <w:rPr>
        <w:rFonts w:hint="default"/>
      </w:rPr>
    </w:lvl>
    <w:lvl w:ilvl="8">
      <w:start w:val="1"/>
      <w:numFmt w:val="bullet"/>
      <w:lvlText w:val="•"/>
      <w:lvlJc w:val="left"/>
      <w:pPr>
        <w:ind w:left="7075" w:hanging="360"/>
      </w:pPr>
      <w:rPr>
        <w:rFonts w:hint="default"/>
      </w:rPr>
    </w:lvl>
  </w:abstractNum>
  <w:abstractNum w:abstractNumId="1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
    <w:multiLevelType w:val="hybridMultilevel"/>
    <w:lvl w:ilvl="0">
      <w:start w:val="1"/>
      <w:numFmt w:val="lowerLetter"/>
      <w:lvlText w:val="%1)."/>
      <w:lvlJc w:val="left"/>
      <w:pPr>
        <w:ind w:left="102" w:hanging="358"/>
        <w:jc w:val="left"/>
      </w:pPr>
      <w:rPr>
        <w:rFonts w:hint="default" w:ascii="Arial" w:hAnsi="Arial" w:eastAsia="Arial" w:cs="Arial"/>
        <w:b/>
        <w:bCs/>
        <w:w w:val="99"/>
        <w:sz w:val="24"/>
        <w:szCs w:val="24"/>
      </w:rPr>
    </w:lvl>
    <w:lvl w:ilvl="1">
      <w:start w:val="1"/>
      <w:numFmt w:val="bullet"/>
      <w:lvlText w:val="•"/>
      <w:lvlJc w:val="left"/>
      <w:pPr>
        <w:ind w:left="996" w:hanging="358"/>
      </w:pPr>
      <w:rPr>
        <w:rFonts w:hint="default"/>
      </w:rPr>
    </w:lvl>
    <w:lvl w:ilvl="2">
      <w:start w:val="1"/>
      <w:numFmt w:val="bullet"/>
      <w:lvlText w:val="•"/>
      <w:lvlJc w:val="left"/>
      <w:pPr>
        <w:ind w:left="1892" w:hanging="358"/>
      </w:pPr>
      <w:rPr>
        <w:rFonts w:hint="default"/>
      </w:rPr>
    </w:lvl>
    <w:lvl w:ilvl="3">
      <w:start w:val="1"/>
      <w:numFmt w:val="bullet"/>
      <w:lvlText w:val="•"/>
      <w:lvlJc w:val="left"/>
      <w:pPr>
        <w:ind w:left="2788" w:hanging="358"/>
      </w:pPr>
      <w:rPr>
        <w:rFonts w:hint="default"/>
      </w:rPr>
    </w:lvl>
    <w:lvl w:ilvl="4">
      <w:start w:val="1"/>
      <w:numFmt w:val="bullet"/>
      <w:lvlText w:val="•"/>
      <w:lvlJc w:val="left"/>
      <w:pPr>
        <w:ind w:left="3684" w:hanging="358"/>
      </w:pPr>
      <w:rPr>
        <w:rFonts w:hint="default"/>
      </w:rPr>
    </w:lvl>
    <w:lvl w:ilvl="5">
      <w:start w:val="1"/>
      <w:numFmt w:val="bullet"/>
      <w:lvlText w:val="•"/>
      <w:lvlJc w:val="left"/>
      <w:pPr>
        <w:ind w:left="4580" w:hanging="358"/>
      </w:pPr>
      <w:rPr>
        <w:rFonts w:hint="default"/>
      </w:rPr>
    </w:lvl>
    <w:lvl w:ilvl="6">
      <w:start w:val="1"/>
      <w:numFmt w:val="bullet"/>
      <w:lvlText w:val="•"/>
      <w:lvlJc w:val="left"/>
      <w:pPr>
        <w:ind w:left="5476" w:hanging="358"/>
      </w:pPr>
      <w:rPr>
        <w:rFonts w:hint="default"/>
      </w:rPr>
    </w:lvl>
    <w:lvl w:ilvl="7">
      <w:start w:val="1"/>
      <w:numFmt w:val="bullet"/>
      <w:lvlText w:val="•"/>
      <w:lvlJc w:val="left"/>
      <w:pPr>
        <w:ind w:left="6372" w:hanging="358"/>
      </w:pPr>
      <w:rPr>
        <w:rFonts w:hint="default"/>
      </w:rPr>
    </w:lvl>
    <w:lvl w:ilvl="8">
      <w:start w:val="1"/>
      <w:numFmt w:val="bullet"/>
      <w:lvlText w:val="•"/>
      <w:lvlJc w:val="left"/>
      <w:pPr>
        <w:ind w:left="7268" w:hanging="358"/>
      </w:pPr>
      <w:rPr>
        <w:rFonts w:hint="default"/>
      </w:rPr>
    </w:lvl>
  </w:abstractNum>
  <w:abstractNum w:abstractNumId="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3"/>
      <w:numFmt w:val="decimal"/>
      <w:lvlText w:val="%1"/>
      <w:lvlJc w:val="left"/>
      <w:pPr>
        <w:ind w:left="750" w:hanging="648"/>
        <w:jc w:val="left"/>
      </w:pPr>
      <w:rPr>
        <w:rFonts w:hint="default"/>
      </w:rPr>
    </w:lvl>
    <w:lvl w:ilvl="1">
      <w:start w:val="1"/>
      <w:numFmt w:val="decimal"/>
      <w:lvlText w:val="%1.%2."/>
      <w:lvlJc w:val="left"/>
      <w:pPr>
        <w:ind w:left="750" w:hanging="648"/>
        <w:jc w:val="left"/>
      </w:pPr>
      <w:rPr>
        <w:rFonts w:hint="default" w:ascii="Arial" w:hAnsi="Arial" w:eastAsia="Arial" w:cs="Arial"/>
        <w:spacing w:val="-1"/>
        <w:w w:val="99"/>
        <w:sz w:val="26"/>
        <w:szCs w:val="26"/>
      </w:rPr>
    </w:lvl>
    <w:lvl w:ilvl="2">
      <w:start w:val="1"/>
      <w:numFmt w:val="decimal"/>
      <w:lvlText w:val="%1.%2.%3."/>
      <w:lvlJc w:val="left"/>
      <w:pPr>
        <w:ind w:left="968" w:hanging="867"/>
        <w:jc w:val="left"/>
      </w:pPr>
      <w:rPr>
        <w:rFonts w:hint="default" w:ascii="Arial" w:hAnsi="Arial" w:eastAsia="Arial" w:cs="Arial"/>
        <w:spacing w:val="-1"/>
        <w:w w:val="99"/>
        <w:sz w:val="26"/>
        <w:szCs w:val="26"/>
      </w:rPr>
    </w:lvl>
    <w:lvl w:ilvl="3">
      <w:start w:val="1"/>
      <w:numFmt w:val="decimal"/>
      <w:lvlText w:val="%1.%2.%3.%4."/>
      <w:lvlJc w:val="left"/>
      <w:pPr>
        <w:ind w:left="1184" w:hanging="1083"/>
        <w:jc w:val="left"/>
      </w:pPr>
      <w:rPr>
        <w:rFonts w:hint="default" w:ascii="Arial" w:hAnsi="Arial" w:eastAsia="Arial" w:cs="Arial"/>
        <w:spacing w:val="-1"/>
        <w:w w:val="99"/>
        <w:sz w:val="26"/>
        <w:szCs w:val="26"/>
      </w:rPr>
    </w:lvl>
    <w:lvl w:ilvl="4">
      <w:start w:val="1"/>
      <w:numFmt w:val="bullet"/>
      <w:lvlText w:val="•"/>
      <w:lvlJc w:val="left"/>
      <w:pPr>
        <w:ind w:left="3150" w:hanging="1083"/>
      </w:pPr>
      <w:rPr>
        <w:rFonts w:hint="default"/>
      </w:rPr>
    </w:lvl>
    <w:lvl w:ilvl="5">
      <w:start w:val="1"/>
      <w:numFmt w:val="bullet"/>
      <w:lvlText w:val="•"/>
      <w:lvlJc w:val="left"/>
      <w:pPr>
        <w:ind w:left="4135" w:hanging="1083"/>
      </w:pPr>
      <w:rPr>
        <w:rFonts w:hint="default"/>
      </w:rPr>
    </w:lvl>
    <w:lvl w:ilvl="6">
      <w:start w:val="1"/>
      <w:numFmt w:val="bullet"/>
      <w:lvlText w:val="•"/>
      <w:lvlJc w:val="left"/>
      <w:pPr>
        <w:ind w:left="5120" w:hanging="1083"/>
      </w:pPr>
      <w:rPr>
        <w:rFonts w:hint="default"/>
      </w:rPr>
    </w:lvl>
    <w:lvl w:ilvl="7">
      <w:start w:val="1"/>
      <w:numFmt w:val="bullet"/>
      <w:lvlText w:val="•"/>
      <w:lvlJc w:val="left"/>
      <w:pPr>
        <w:ind w:left="6105" w:hanging="1083"/>
      </w:pPr>
      <w:rPr>
        <w:rFonts w:hint="default"/>
      </w:rPr>
    </w:lvl>
    <w:lvl w:ilvl="8">
      <w:start w:val="1"/>
      <w:numFmt w:val="bullet"/>
      <w:lvlText w:val="•"/>
      <w:lvlJc w:val="left"/>
      <w:pPr>
        <w:ind w:left="7090" w:hanging="1083"/>
      </w:pPr>
      <w:rPr>
        <w:rFonts w:hint="default"/>
      </w:rPr>
    </w:lvl>
  </w:abstractNum>
  <w:abstractNum w:abstractNumId="7">
    <w:multiLevelType w:val="hybridMultilevel"/>
    <w:lvl w:ilvl="0">
      <w:start w:val="2"/>
      <w:numFmt w:val="decimal"/>
      <w:lvlText w:val="%1"/>
      <w:lvlJc w:val="left"/>
      <w:pPr>
        <w:ind w:left="102" w:hanging="720"/>
        <w:jc w:val="left"/>
      </w:pPr>
      <w:rPr>
        <w:rFonts w:hint="default"/>
      </w:rPr>
    </w:lvl>
    <w:lvl w:ilvl="1">
      <w:start w:val="1"/>
      <w:numFmt w:val="decimal"/>
      <w:lvlText w:val="%1.%2."/>
      <w:lvlJc w:val="left"/>
      <w:pPr>
        <w:ind w:left="102" w:hanging="720"/>
        <w:jc w:val="left"/>
      </w:pPr>
      <w:rPr>
        <w:rFonts w:hint="default" w:ascii="Arial" w:hAnsi="Arial" w:eastAsia="Arial" w:cs="Arial"/>
        <w:spacing w:val="-1"/>
        <w:w w:val="99"/>
        <w:sz w:val="26"/>
        <w:szCs w:val="26"/>
      </w:rPr>
    </w:lvl>
    <w:lvl w:ilvl="2">
      <w:start w:val="1"/>
      <w:numFmt w:val="bullet"/>
      <w:lvlText w:val="•"/>
      <w:lvlJc w:val="left"/>
      <w:pPr>
        <w:ind w:left="2126" w:hanging="720"/>
      </w:pPr>
      <w:rPr>
        <w:rFonts w:hint="default"/>
      </w:rPr>
    </w:lvl>
    <w:lvl w:ilvl="3">
      <w:start w:val="1"/>
      <w:numFmt w:val="bullet"/>
      <w:lvlText w:val="•"/>
      <w:lvlJc w:val="left"/>
      <w:pPr>
        <w:ind w:left="2993" w:hanging="720"/>
      </w:pPr>
      <w:rPr>
        <w:rFonts w:hint="default"/>
      </w:rPr>
    </w:lvl>
    <w:lvl w:ilvl="4">
      <w:start w:val="1"/>
      <w:numFmt w:val="bullet"/>
      <w:lvlText w:val="•"/>
      <w:lvlJc w:val="left"/>
      <w:pPr>
        <w:ind w:left="3860" w:hanging="720"/>
      </w:pPr>
      <w:rPr>
        <w:rFonts w:hint="default"/>
      </w:rPr>
    </w:lvl>
    <w:lvl w:ilvl="5">
      <w:start w:val="1"/>
      <w:numFmt w:val="bullet"/>
      <w:lvlText w:val="•"/>
      <w:lvlJc w:val="left"/>
      <w:pPr>
        <w:ind w:left="4726" w:hanging="720"/>
      </w:pPr>
      <w:rPr>
        <w:rFonts w:hint="default"/>
      </w:rPr>
    </w:lvl>
    <w:lvl w:ilvl="6">
      <w:start w:val="1"/>
      <w:numFmt w:val="bullet"/>
      <w:lvlText w:val="•"/>
      <w:lvlJc w:val="left"/>
      <w:pPr>
        <w:ind w:left="5593" w:hanging="720"/>
      </w:pPr>
      <w:rPr>
        <w:rFonts w:hint="default"/>
      </w:rPr>
    </w:lvl>
    <w:lvl w:ilvl="7">
      <w:start w:val="1"/>
      <w:numFmt w:val="bullet"/>
      <w:lvlText w:val="•"/>
      <w:lvlJc w:val="left"/>
      <w:pPr>
        <w:ind w:left="6460" w:hanging="720"/>
      </w:pPr>
      <w:rPr>
        <w:rFonts w:hint="default"/>
      </w:rPr>
    </w:lvl>
    <w:lvl w:ilvl="8">
      <w:start w:val="1"/>
      <w:numFmt w:val="bullet"/>
      <w:lvlText w:val="•"/>
      <w:lvlJc w:val="left"/>
      <w:pPr>
        <w:ind w:left="7326" w:hanging="720"/>
      </w:pPr>
      <w:rPr>
        <w:rFonts w:hint="default"/>
      </w:rPr>
    </w:lvl>
  </w:abstractNum>
  <w:abstractNum w:abstractNumId="6">
    <w:multiLevelType w:val="hybridMultilevel"/>
    <w:lvl w:ilvl="0">
      <w:start w:val="1"/>
      <w:numFmt w:val="upperLetter"/>
      <w:lvlText w:val="%1)"/>
      <w:lvlJc w:val="left"/>
      <w:pPr>
        <w:ind w:left="102" w:hanging="387"/>
        <w:jc w:val="left"/>
      </w:pPr>
      <w:rPr>
        <w:rFonts w:hint="default" w:ascii="Arial" w:hAnsi="Arial" w:eastAsia="Arial" w:cs="Arial"/>
        <w:spacing w:val="-33"/>
        <w:w w:val="99"/>
        <w:sz w:val="24"/>
        <w:szCs w:val="24"/>
      </w:rPr>
    </w:lvl>
    <w:lvl w:ilvl="1">
      <w:start w:val="1"/>
      <w:numFmt w:val="bullet"/>
      <w:lvlText w:val="•"/>
      <w:lvlJc w:val="left"/>
      <w:pPr>
        <w:ind w:left="996" w:hanging="387"/>
      </w:pPr>
      <w:rPr>
        <w:rFonts w:hint="default"/>
      </w:rPr>
    </w:lvl>
    <w:lvl w:ilvl="2">
      <w:start w:val="1"/>
      <w:numFmt w:val="bullet"/>
      <w:lvlText w:val="•"/>
      <w:lvlJc w:val="left"/>
      <w:pPr>
        <w:ind w:left="1892" w:hanging="387"/>
      </w:pPr>
      <w:rPr>
        <w:rFonts w:hint="default"/>
      </w:rPr>
    </w:lvl>
    <w:lvl w:ilvl="3">
      <w:start w:val="1"/>
      <w:numFmt w:val="bullet"/>
      <w:lvlText w:val="•"/>
      <w:lvlJc w:val="left"/>
      <w:pPr>
        <w:ind w:left="2788" w:hanging="387"/>
      </w:pPr>
      <w:rPr>
        <w:rFonts w:hint="default"/>
      </w:rPr>
    </w:lvl>
    <w:lvl w:ilvl="4">
      <w:start w:val="1"/>
      <w:numFmt w:val="bullet"/>
      <w:lvlText w:val="•"/>
      <w:lvlJc w:val="left"/>
      <w:pPr>
        <w:ind w:left="3684" w:hanging="387"/>
      </w:pPr>
      <w:rPr>
        <w:rFonts w:hint="default"/>
      </w:rPr>
    </w:lvl>
    <w:lvl w:ilvl="5">
      <w:start w:val="1"/>
      <w:numFmt w:val="bullet"/>
      <w:lvlText w:val="•"/>
      <w:lvlJc w:val="left"/>
      <w:pPr>
        <w:ind w:left="4580" w:hanging="387"/>
      </w:pPr>
      <w:rPr>
        <w:rFonts w:hint="default"/>
      </w:rPr>
    </w:lvl>
    <w:lvl w:ilvl="6">
      <w:start w:val="1"/>
      <w:numFmt w:val="bullet"/>
      <w:lvlText w:val="•"/>
      <w:lvlJc w:val="left"/>
      <w:pPr>
        <w:ind w:left="5476" w:hanging="387"/>
      </w:pPr>
      <w:rPr>
        <w:rFonts w:hint="default"/>
      </w:rPr>
    </w:lvl>
    <w:lvl w:ilvl="7">
      <w:start w:val="1"/>
      <w:numFmt w:val="bullet"/>
      <w:lvlText w:val="•"/>
      <w:lvlJc w:val="left"/>
      <w:pPr>
        <w:ind w:left="6372" w:hanging="387"/>
      </w:pPr>
      <w:rPr>
        <w:rFonts w:hint="default"/>
      </w:rPr>
    </w:lvl>
    <w:lvl w:ilvl="8">
      <w:start w:val="1"/>
      <w:numFmt w:val="bullet"/>
      <w:lvlText w:val="•"/>
      <w:lvlJc w:val="left"/>
      <w:pPr>
        <w:ind w:left="7268" w:hanging="387"/>
      </w:pPr>
      <w:rPr>
        <w:rFonts w:hint="default"/>
      </w:rPr>
    </w:lvl>
  </w:abstractNum>
  <w:abstractNum w:abstractNumId="5">
    <w:multiLevelType w:val="hybridMultilevel"/>
    <w:lvl w:ilvl="0">
      <w:start w:val="1"/>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ascii="Arial" w:hAnsi="Arial" w:eastAsia="Arial" w:cs="Arial"/>
        <w:spacing w:val="-1"/>
        <w:w w:val="99"/>
        <w:sz w:val="26"/>
        <w:szCs w:val="26"/>
      </w:rPr>
    </w:lvl>
    <w:lvl w:ilvl="2">
      <w:start w:val="1"/>
      <w:numFmt w:val="bullet"/>
      <w:lvlText w:val="•"/>
      <w:lvlJc w:val="left"/>
      <w:pPr>
        <w:ind w:left="2468" w:hanging="720"/>
      </w:pPr>
      <w:rPr>
        <w:rFonts w:hint="default"/>
      </w:rPr>
    </w:lvl>
    <w:lvl w:ilvl="3">
      <w:start w:val="1"/>
      <w:numFmt w:val="bullet"/>
      <w:lvlText w:val="•"/>
      <w:lvlJc w:val="left"/>
      <w:pPr>
        <w:ind w:left="3292" w:hanging="720"/>
      </w:pPr>
      <w:rPr>
        <w:rFonts w:hint="default"/>
      </w:rPr>
    </w:lvl>
    <w:lvl w:ilvl="4">
      <w:start w:val="1"/>
      <w:numFmt w:val="bullet"/>
      <w:lvlText w:val="•"/>
      <w:lvlJc w:val="left"/>
      <w:pPr>
        <w:ind w:left="4116" w:hanging="720"/>
      </w:pPr>
      <w:rPr>
        <w:rFonts w:hint="default"/>
      </w:rPr>
    </w:lvl>
    <w:lvl w:ilvl="5">
      <w:start w:val="1"/>
      <w:numFmt w:val="bullet"/>
      <w:lvlText w:val="•"/>
      <w:lvlJc w:val="left"/>
      <w:pPr>
        <w:ind w:left="4940" w:hanging="720"/>
      </w:pPr>
      <w:rPr>
        <w:rFonts w:hint="default"/>
      </w:rPr>
    </w:lvl>
    <w:lvl w:ilvl="6">
      <w:start w:val="1"/>
      <w:numFmt w:val="bullet"/>
      <w:lvlText w:val="•"/>
      <w:lvlJc w:val="left"/>
      <w:pPr>
        <w:ind w:left="5764" w:hanging="720"/>
      </w:pPr>
      <w:rPr>
        <w:rFonts w:hint="default"/>
      </w:rPr>
    </w:lvl>
    <w:lvl w:ilvl="7">
      <w:start w:val="1"/>
      <w:numFmt w:val="bullet"/>
      <w:lvlText w:val="•"/>
      <w:lvlJc w:val="left"/>
      <w:pPr>
        <w:ind w:left="6588" w:hanging="720"/>
      </w:pPr>
      <w:rPr>
        <w:rFonts w:hint="default"/>
      </w:rPr>
    </w:lvl>
    <w:lvl w:ilvl="8">
      <w:start w:val="1"/>
      <w:numFmt w:val="bullet"/>
      <w:lvlText w:val="•"/>
      <w:lvlJc w:val="left"/>
      <w:pPr>
        <w:ind w:left="7412" w:hanging="720"/>
      </w:pPr>
      <w:rPr>
        <w:rFonts w:hint="default"/>
      </w:rPr>
    </w:lvl>
  </w:abstractNum>
  <w:abstractNum w:abstractNumId="4">
    <w:multiLevelType w:val="hybridMultilevel"/>
    <w:lvl w:ilvl="0">
      <w:start w:val="4"/>
      <w:numFmt w:val="decimal"/>
      <w:lvlText w:val="%1"/>
      <w:lvlJc w:val="left"/>
      <w:pPr>
        <w:ind w:left="1424" w:hanging="615"/>
        <w:jc w:val="left"/>
      </w:pPr>
      <w:rPr>
        <w:rFonts w:hint="default"/>
      </w:rPr>
    </w:lvl>
    <w:lvl w:ilvl="1">
      <w:start w:val="6"/>
      <w:numFmt w:val="decimal"/>
      <w:lvlText w:val="%1.%2"/>
      <w:lvlJc w:val="left"/>
      <w:pPr>
        <w:ind w:left="1424" w:hanging="615"/>
        <w:jc w:val="left"/>
      </w:pPr>
      <w:rPr>
        <w:rFonts w:hint="default" w:ascii="Arial" w:hAnsi="Arial" w:eastAsia="Arial" w:cs="Arial"/>
        <w:spacing w:val="-1"/>
        <w:w w:val="100"/>
        <w:sz w:val="22"/>
        <w:szCs w:val="22"/>
      </w:rPr>
    </w:lvl>
    <w:lvl w:ilvl="2">
      <w:start w:val="1"/>
      <w:numFmt w:val="bullet"/>
      <w:lvlText w:val="•"/>
      <w:lvlJc w:val="left"/>
      <w:pPr>
        <w:ind w:left="2948" w:hanging="615"/>
      </w:pPr>
      <w:rPr>
        <w:rFonts w:hint="default"/>
      </w:rPr>
    </w:lvl>
    <w:lvl w:ilvl="3">
      <w:start w:val="1"/>
      <w:numFmt w:val="bullet"/>
      <w:lvlText w:val="•"/>
      <w:lvlJc w:val="left"/>
      <w:pPr>
        <w:ind w:left="3712" w:hanging="615"/>
      </w:pPr>
      <w:rPr>
        <w:rFonts w:hint="default"/>
      </w:rPr>
    </w:lvl>
    <w:lvl w:ilvl="4">
      <w:start w:val="1"/>
      <w:numFmt w:val="bullet"/>
      <w:lvlText w:val="•"/>
      <w:lvlJc w:val="left"/>
      <w:pPr>
        <w:ind w:left="4476" w:hanging="615"/>
      </w:pPr>
      <w:rPr>
        <w:rFonts w:hint="default"/>
      </w:rPr>
    </w:lvl>
    <w:lvl w:ilvl="5">
      <w:start w:val="1"/>
      <w:numFmt w:val="bullet"/>
      <w:lvlText w:val="•"/>
      <w:lvlJc w:val="left"/>
      <w:pPr>
        <w:ind w:left="5240" w:hanging="615"/>
      </w:pPr>
      <w:rPr>
        <w:rFonts w:hint="default"/>
      </w:rPr>
    </w:lvl>
    <w:lvl w:ilvl="6">
      <w:start w:val="1"/>
      <w:numFmt w:val="bullet"/>
      <w:lvlText w:val="•"/>
      <w:lvlJc w:val="left"/>
      <w:pPr>
        <w:ind w:left="6004" w:hanging="615"/>
      </w:pPr>
      <w:rPr>
        <w:rFonts w:hint="default"/>
      </w:rPr>
    </w:lvl>
    <w:lvl w:ilvl="7">
      <w:start w:val="1"/>
      <w:numFmt w:val="bullet"/>
      <w:lvlText w:val="•"/>
      <w:lvlJc w:val="left"/>
      <w:pPr>
        <w:ind w:left="6768" w:hanging="615"/>
      </w:pPr>
      <w:rPr>
        <w:rFonts w:hint="default"/>
      </w:rPr>
    </w:lvl>
    <w:lvl w:ilvl="8">
      <w:start w:val="1"/>
      <w:numFmt w:val="bullet"/>
      <w:lvlText w:val="•"/>
      <w:lvlJc w:val="left"/>
      <w:pPr>
        <w:ind w:left="7532" w:hanging="615"/>
      </w:pPr>
      <w:rPr>
        <w:rFonts w:hint="default"/>
      </w:rPr>
    </w:lvl>
  </w:abstractNum>
  <w:abstractNum w:abstractNumId="3">
    <w:multiLevelType w:val="hybridMultilevel"/>
    <w:lvl w:ilvl="0">
      <w:start w:val="4"/>
      <w:numFmt w:val="decimal"/>
      <w:lvlText w:val="%1"/>
      <w:lvlJc w:val="left"/>
      <w:pPr>
        <w:ind w:left="1424" w:hanging="615"/>
        <w:jc w:val="left"/>
      </w:pPr>
      <w:rPr>
        <w:rFonts w:hint="default"/>
      </w:rPr>
    </w:lvl>
    <w:lvl w:ilvl="1">
      <w:start w:val="1"/>
      <w:numFmt w:val="decimal"/>
      <w:lvlText w:val="%1.%2."/>
      <w:lvlJc w:val="left"/>
      <w:pPr>
        <w:ind w:left="1424" w:hanging="615"/>
        <w:jc w:val="left"/>
      </w:pPr>
      <w:rPr>
        <w:rFonts w:hint="default" w:ascii="Arial" w:hAnsi="Arial" w:eastAsia="Arial" w:cs="Arial"/>
        <w:w w:val="100"/>
        <w:sz w:val="22"/>
        <w:szCs w:val="22"/>
      </w:rPr>
    </w:lvl>
    <w:lvl w:ilvl="2">
      <w:start w:val="1"/>
      <w:numFmt w:val="bullet"/>
      <w:lvlText w:val="•"/>
      <w:lvlJc w:val="left"/>
      <w:pPr>
        <w:ind w:left="2948" w:hanging="615"/>
      </w:pPr>
      <w:rPr>
        <w:rFonts w:hint="default"/>
      </w:rPr>
    </w:lvl>
    <w:lvl w:ilvl="3">
      <w:start w:val="1"/>
      <w:numFmt w:val="bullet"/>
      <w:lvlText w:val="•"/>
      <w:lvlJc w:val="left"/>
      <w:pPr>
        <w:ind w:left="3712" w:hanging="615"/>
      </w:pPr>
      <w:rPr>
        <w:rFonts w:hint="default"/>
      </w:rPr>
    </w:lvl>
    <w:lvl w:ilvl="4">
      <w:start w:val="1"/>
      <w:numFmt w:val="bullet"/>
      <w:lvlText w:val="•"/>
      <w:lvlJc w:val="left"/>
      <w:pPr>
        <w:ind w:left="4476" w:hanging="615"/>
      </w:pPr>
      <w:rPr>
        <w:rFonts w:hint="default"/>
      </w:rPr>
    </w:lvl>
    <w:lvl w:ilvl="5">
      <w:start w:val="1"/>
      <w:numFmt w:val="bullet"/>
      <w:lvlText w:val="•"/>
      <w:lvlJc w:val="left"/>
      <w:pPr>
        <w:ind w:left="5240" w:hanging="615"/>
      </w:pPr>
      <w:rPr>
        <w:rFonts w:hint="default"/>
      </w:rPr>
    </w:lvl>
    <w:lvl w:ilvl="6">
      <w:start w:val="1"/>
      <w:numFmt w:val="bullet"/>
      <w:lvlText w:val="•"/>
      <w:lvlJc w:val="left"/>
      <w:pPr>
        <w:ind w:left="6004" w:hanging="615"/>
      </w:pPr>
      <w:rPr>
        <w:rFonts w:hint="default"/>
      </w:rPr>
    </w:lvl>
    <w:lvl w:ilvl="7">
      <w:start w:val="1"/>
      <w:numFmt w:val="bullet"/>
      <w:lvlText w:val="•"/>
      <w:lvlJc w:val="left"/>
      <w:pPr>
        <w:ind w:left="6768" w:hanging="615"/>
      </w:pPr>
      <w:rPr>
        <w:rFonts w:hint="default"/>
      </w:rPr>
    </w:lvl>
    <w:lvl w:ilvl="8">
      <w:start w:val="1"/>
      <w:numFmt w:val="bullet"/>
      <w:lvlText w:val="•"/>
      <w:lvlJc w:val="left"/>
      <w:pPr>
        <w:ind w:left="7532" w:hanging="615"/>
      </w:pPr>
      <w:rPr>
        <w:rFonts w:hint="default"/>
      </w:rPr>
    </w:lvl>
  </w:abstractNum>
  <w:abstractNum w:abstractNumId="2">
    <w:multiLevelType w:val="hybridMultilevel"/>
    <w:lvl w:ilvl="0">
      <w:start w:val="3"/>
      <w:numFmt w:val="decimal"/>
      <w:lvlText w:val="%1"/>
      <w:lvlJc w:val="left"/>
      <w:pPr>
        <w:ind w:left="1606" w:hanging="797"/>
        <w:jc w:val="left"/>
      </w:pPr>
      <w:rPr>
        <w:rFonts w:hint="default"/>
      </w:rPr>
    </w:lvl>
    <w:lvl w:ilvl="1">
      <w:start w:val="1"/>
      <w:numFmt w:val="decimal"/>
      <w:lvlText w:val="%1.%2"/>
      <w:lvlJc w:val="left"/>
      <w:pPr>
        <w:ind w:left="1606" w:hanging="797"/>
        <w:jc w:val="left"/>
      </w:pPr>
      <w:rPr>
        <w:rFonts w:hint="default" w:ascii="Arial" w:hAnsi="Arial" w:eastAsia="Arial" w:cs="Arial"/>
        <w:w w:val="100"/>
        <w:sz w:val="22"/>
        <w:szCs w:val="22"/>
      </w:rPr>
    </w:lvl>
    <w:lvl w:ilvl="2">
      <w:start w:val="1"/>
      <w:numFmt w:val="decimal"/>
      <w:lvlText w:val="%1.%2.%3."/>
      <w:lvlJc w:val="left"/>
      <w:pPr>
        <w:ind w:left="1606" w:hanging="797"/>
        <w:jc w:val="left"/>
      </w:pPr>
      <w:rPr>
        <w:rFonts w:hint="default" w:ascii="Arial" w:hAnsi="Arial" w:eastAsia="Arial" w:cs="Arial"/>
        <w:spacing w:val="-3"/>
        <w:w w:val="100"/>
        <w:sz w:val="22"/>
        <w:szCs w:val="22"/>
      </w:rPr>
    </w:lvl>
    <w:lvl w:ilvl="3">
      <w:start w:val="1"/>
      <w:numFmt w:val="decimal"/>
      <w:lvlText w:val="%1.%2.%3.%4."/>
      <w:lvlJc w:val="left"/>
      <w:pPr>
        <w:ind w:left="1791" w:hanging="982"/>
        <w:jc w:val="left"/>
      </w:pPr>
      <w:rPr>
        <w:rFonts w:hint="default" w:ascii="Arial" w:hAnsi="Arial" w:eastAsia="Arial" w:cs="Arial"/>
        <w:spacing w:val="-3"/>
        <w:w w:val="100"/>
        <w:sz w:val="22"/>
        <w:szCs w:val="22"/>
      </w:rPr>
    </w:lvl>
    <w:lvl w:ilvl="4">
      <w:start w:val="1"/>
      <w:numFmt w:val="bullet"/>
      <w:lvlText w:val="•"/>
      <w:lvlJc w:val="left"/>
      <w:pPr>
        <w:ind w:left="4220" w:hanging="982"/>
      </w:pPr>
      <w:rPr>
        <w:rFonts w:hint="default"/>
      </w:rPr>
    </w:lvl>
    <w:lvl w:ilvl="5">
      <w:start w:val="1"/>
      <w:numFmt w:val="bullet"/>
      <w:lvlText w:val="•"/>
      <w:lvlJc w:val="left"/>
      <w:pPr>
        <w:ind w:left="5026" w:hanging="982"/>
      </w:pPr>
      <w:rPr>
        <w:rFonts w:hint="default"/>
      </w:rPr>
    </w:lvl>
    <w:lvl w:ilvl="6">
      <w:start w:val="1"/>
      <w:numFmt w:val="bullet"/>
      <w:lvlText w:val="•"/>
      <w:lvlJc w:val="left"/>
      <w:pPr>
        <w:ind w:left="5833" w:hanging="982"/>
      </w:pPr>
      <w:rPr>
        <w:rFonts w:hint="default"/>
      </w:rPr>
    </w:lvl>
    <w:lvl w:ilvl="7">
      <w:start w:val="1"/>
      <w:numFmt w:val="bullet"/>
      <w:lvlText w:val="•"/>
      <w:lvlJc w:val="left"/>
      <w:pPr>
        <w:ind w:left="6640" w:hanging="982"/>
      </w:pPr>
      <w:rPr>
        <w:rFonts w:hint="default"/>
      </w:rPr>
    </w:lvl>
    <w:lvl w:ilvl="8">
      <w:start w:val="1"/>
      <w:numFmt w:val="bullet"/>
      <w:lvlText w:val="•"/>
      <w:lvlJc w:val="left"/>
      <w:pPr>
        <w:ind w:left="7446" w:hanging="982"/>
      </w:pPr>
      <w:rPr>
        <w:rFonts w:hint="default"/>
      </w:rPr>
    </w:lvl>
  </w:abstractNum>
  <w:abstractNum w:abstractNumId="1">
    <w:multiLevelType w:val="hybridMultilevel"/>
    <w:lvl w:ilvl="0">
      <w:start w:val="2"/>
      <w:numFmt w:val="decimal"/>
      <w:lvlText w:val="%1"/>
      <w:lvlJc w:val="left"/>
      <w:pPr>
        <w:ind w:left="781" w:hanging="615"/>
        <w:jc w:val="left"/>
      </w:pPr>
      <w:rPr>
        <w:rFonts w:hint="default"/>
      </w:rPr>
    </w:lvl>
    <w:lvl w:ilvl="1">
      <w:start w:val="1"/>
      <w:numFmt w:val="decimal"/>
      <w:lvlText w:val="%1.%2."/>
      <w:lvlJc w:val="left"/>
      <w:pPr>
        <w:ind w:left="781" w:hanging="615"/>
        <w:jc w:val="left"/>
      </w:pPr>
      <w:rPr>
        <w:rFonts w:hint="default" w:ascii="Arial" w:hAnsi="Arial" w:eastAsia="Arial" w:cs="Arial"/>
        <w:w w:val="100"/>
        <w:sz w:val="22"/>
        <w:szCs w:val="22"/>
      </w:rPr>
    </w:lvl>
    <w:lvl w:ilvl="2">
      <w:start w:val="1"/>
      <w:numFmt w:val="bullet"/>
      <w:lvlText w:val="•"/>
      <w:lvlJc w:val="left"/>
      <w:pPr>
        <w:ind w:left="2436" w:hanging="615"/>
      </w:pPr>
      <w:rPr>
        <w:rFonts w:hint="default"/>
      </w:rPr>
    </w:lvl>
    <w:lvl w:ilvl="3">
      <w:start w:val="1"/>
      <w:numFmt w:val="bullet"/>
      <w:lvlText w:val="•"/>
      <w:lvlJc w:val="left"/>
      <w:pPr>
        <w:ind w:left="3264" w:hanging="615"/>
      </w:pPr>
      <w:rPr>
        <w:rFonts w:hint="default"/>
      </w:rPr>
    </w:lvl>
    <w:lvl w:ilvl="4">
      <w:start w:val="1"/>
      <w:numFmt w:val="bullet"/>
      <w:lvlText w:val="•"/>
      <w:lvlJc w:val="left"/>
      <w:pPr>
        <w:ind w:left="4092" w:hanging="615"/>
      </w:pPr>
      <w:rPr>
        <w:rFonts w:hint="default"/>
      </w:rPr>
    </w:lvl>
    <w:lvl w:ilvl="5">
      <w:start w:val="1"/>
      <w:numFmt w:val="bullet"/>
      <w:lvlText w:val="•"/>
      <w:lvlJc w:val="left"/>
      <w:pPr>
        <w:ind w:left="4920" w:hanging="615"/>
      </w:pPr>
      <w:rPr>
        <w:rFonts w:hint="default"/>
      </w:rPr>
    </w:lvl>
    <w:lvl w:ilvl="6">
      <w:start w:val="1"/>
      <w:numFmt w:val="bullet"/>
      <w:lvlText w:val="•"/>
      <w:lvlJc w:val="left"/>
      <w:pPr>
        <w:ind w:left="5748" w:hanging="615"/>
      </w:pPr>
      <w:rPr>
        <w:rFonts w:hint="default"/>
      </w:rPr>
    </w:lvl>
    <w:lvl w:ilvl="7">
      <w:start w:val="1"/>
      <w:numFmt w:val="bullet"/>
      <w:lvlText w:val="•"/>
      <w:lvlJc w:val="left"/>
      <w:pPr>
        <w:ind w:left="6576" w:hanging="615"/>
      </w:pPr>
      <w:rPr>
        <w:rFonts w:hint="default"/>
      </w:rPr>
    </w:lvl>
    <w:lvl w:ilvl="8">
      <w:start w:val="1"/>
      <w:numFmt w:val="bullet"/>
      <w:lvlText w:val="•"/>
      <w:lvlJc w:val="left"/>
      <w:pPr>
        <w:ind w:left="7404" w:hanging="615"/>
      </w:pPr>
      <w:rPr>
        <w:rFonts w:hint="default"/>
      </w:rPr>
    </w:lvl>
  </w:abstractNum>
  <w:abstractNum w:abstractNumId="0">
    <w:multiLevelType w:val="hybridMultilevel"/>
    <w:lvl w:ilvl="0">
      <w:start w:val="1"/>
      <w:numFmt w:val="decimal"/>
      <w:lvlText w:val="%1"/>
      <w:lvlJc w:val="left"/>
      <w:pPr>
        <w:ind w:left="1422" w:hanging="641"/>
        <w:jc w:val="left"/>
      </w:pPr>
      <w:rPr>
        <w:rFonts w:hint="default"/>
      </w:rPr>
    </w:lvl>
    <w:lvl w:ilvl="1">
      <w:start w:val="1"/>
      <w:numFmt w:val="decimal"/>
      <w:lvlText w:val="%1.%2."/>
      <w:lvlJc w:val="left"/>
      <w:pPr>
        <w:ind w:left="1422" w:hanging="641"/>
        <w:jc w:val="left"/>
      </w:pPr>
      <w:rPr>
        <w:rFonts w:hint="default" w:ascii="Arial" w:hAnsi="Arial" w:eastAsia="Arial" w:cs="Arial"/>
        <w:w w:val="100"/>
        <w:sz w:val="22"/>
        <w:szCs w:val="22"/>
      </w:rPr>
    </w:lvl>
    <w:lvl w:ilvl="2">
      <w:start w:val="1"/>
      <w:numFmt w:val="bullet"/>
      <w:lvlText w:val="•"/>
      <w:lvlJc w:val="left"/>
      <w:pPr>
        <w:ind w:left="2948" w:hanging="641"/>
      </w:pPr>
      <w:rPr>
        <w:rFonts w:hint="default"/>
      </w:rPr>
    </w:lvl>
    <w:lvl w:ilvl="3">
      <w:start w:val="1"/>
      <w:numFmt w:val="bullet"/>
      <w:lvlText w:val="•"/>
      <w:lvlJc w:val="left"/>
      <w:pPr>
        <w:ind w:left="3712" w:hanging="641"/>
      </w:pPr>
      <w:rPr>
        <w:rFonts w:hint="default"/>
      </w:rPr>
    </w:lvl>
    <w:lvl w:ilvl="4">
      <w:start w:val="1"/>
      <w:numFmt w:val="bullet"/>
      <w:lvlText w:val="•"/>
      <w:lvlJc w:val="left"/>
      <w:pPr>
        <w:ind w:left="4476" w:hanging="641"/>
      </w:pPr>
      <w:rPr>
        <w:rFonts w:hint="default"/>
      </w:rPr>
    </w:lvl>
    <w:lvl w:ilvl="5">
      <w:start w:val="1"/>
      <w:numFmt w:val="bullet"/>
      <w:lvlText w:val="•"/>
      <w:lvlJc w:val="left"/>
      <w:pPr>
        <w:ind w:left="5240" w:hanging="641"/>
      </w:pPr>
      <w:rPr>
        <w:rFonts w:hint="default"/>
      </w:rPr>
    </w:lvl>
    <w:lvl w:ilvl="6">
      <w:start w:val="1"/>
      <w:numFmt w:val="bullet"/>
      <w:lvlText w:val="•"/>
      <w:lvlJc w:val="left"/>
      <w:pPr>
        <w:ind w:left="6004" w:hanging="641"/>
      </w:pPr>
      <w:rPr>
        <w:rFonts w:hint="default"/>
      </w:rPr>
    </w:lvl>
    <w:lvl w:ilvl="7">
      <w:start w:val="1"/>
      <w:numFmt w:val="bullet"/>
      <w:lvlText w:val="•"/>
      <w:lvlJc w:val="left"/>
      <w:pPr>
        <w:ind w:left="6768" w:hanging="641"/>
      </w:pPr>
      <w:rPr>
        <w:rFonts w:hint="default"/>
      </w:rPr>
    </w:lvl>
    <w:lvl w:ilvl="8">
      <w:start w:val="1"/>
      <w:numFmt w:val="bullet"/>
      <w:lvlText w:val="•"/>
      <w:lvlJc w:val="left"/>
      <w:pPr>
        <w:ind w:left="7532" w:hanging="641"/>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8"/>
      <w:ind w:left="102"/>
    </w:pPr>
    <w:rPr>
      <w:rFonts w:ascii="Arial" w:hAnsi="Arial" w:eastAsia="Arial" w:cs="Arial"/>
      <w:sz w:val="22"/>
      <w:szCs w:val="22"/>
    </w:rPr>
  </w:style>
  <w:style w:styleId="TOC2" w:type="paragraph">
    <w:name w:val="TOC 2"/>
    <w:basedOn w:val="Normal"/>
    <w:uiPriority w:val="1"/>
    <w:qFormat/>
    <w:pPr>
      <w:spacing w:before="227"/>
      <w:ind w:left="1422" w:hanging="641"/>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2"/>
      <w:jc w:val="center"/>
      <w:outlineLvl w:val="1"/>
    </w:pPr>
    <w:rPr>
      <w:rFonts w:ascii="Arial" w:hAnsi="Arial" w:eastAsia="Arial" w:cs="Arial"/>
      <w:b/>
      <w:bCs/>
      <w:sz w:val="28"/>
      <w:szCs w:val="28"/>
    </w:rPr>
  </w:style>
  <w:style w:styleId="Heading2" w:type="paragraph">
    <w:name w:val="Heading 2"/>
    <w:basedOn w:val="Normal"/>
    <w:uiPriority w:val="1"/>
    <w:qFormat/>
    <w:pPr>
      <w:ind w:left="822" w:hanging="720"/>
      <w:jc w:val="both"/>
      <w:outlineLvl w:val="2"/>
    </w:pPr>
    <w:rPr>
      <w:rFonts w:ascii="Arial" w:hAnsi="Arial" w:eastAsia="Arial" w:cs="Arial"/>
      <w:b/>
      <w:bCs/>
      <w:sz w:val="26"/>
      <w:szCs w:val="26"/>
    </w:rPr>
  </w:style>
  <w:style w:styleId="Heading3" w:type="paragraph">
    <w:name w:val="Heading 3"/>
    <w:basedOn w:val="Normal"/>
    <w:uiPriority w:val="1"/>
    <w:qFormat/>
    <w:pPr>
      <w:ind w:left="527"/>
      <w:jc w:val="center"/>
      <w:outlineLvl w:val="3"/>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spacing w:before="2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hyperlink" Target="http://www.cdi.gob.mx/" TargetMode="Externa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image" Target="media/image2.jpeg"/><Relationship Id="rId17" Type="http://schemas.openxmlformats.org/officeDocument/2006/relationships/image" Target="media/image3.jpeg"/><Relationship Id="rId18" Type="http://schemas.openxmlformats.org/officeDocument/2006/relationships/image" Target="media/image4.jpeg"/><Relationship Id="rId19" Type="http://schemas.openxmlformats.org/officeDocument/2006/relationships/image" Target="media/image5.jpeg"/><Relationship Id="rId20" Type="http://schemas.openxmlformats.org/officeDocument/2006/relationships/image" Target="media/image6.jpeg"/><Relationship Id="rId21" Type="http://schemas.openxmlformats.org/officeDocument/2006/relationships/image" Target="media/image7.jpeg"/><Relationship Id="rId22" Type="http://schemas.openxmlformats.org/officeDocument/2006/relationships/footer" Target="footer10.xml"/><Relationship Id="rId23" Type="http://schemas.openxmlformats.org/officeDocument/2006/relationships/footer" Target="footer11.xml"/><Relationship Id="rId24" Type="http://schemas.openxmlformats.org/officeDocument/2006/relationships/image" Target="media/image8.jpeg"/><Relationship Id="rId25" Type="http://schemas.openxmlformats.org/officeDocument/2006/relationships/hyperlink" Target="http://www.cdi.gob.mx/index.php?option=com_content&amp;amp;task=view&amp;amp;id=687&amp;amp;Itemid=63" TargetMode="External"/><Relationship Id="rId26" Type="http://schemas.openxmlformats.org/officeDocument/2006/relationships/image" Target="media/image9.jpeg"/><Relationship Id="rId27" Type="http://schemas.openxmlformats.org/officeDocument/2006/relationships/hyperlink" Target="http://365diasdeplatillosmexicanos.blogspot.mx/2012/06/ximbo.html%23!/2012/06/ximbo.html" TargetMode="External"/><Relationship Id="rId28" Type="http://schemas.openxmlformats.org/officeDocument/2006/relationships/footer" Target="footer12.xml"/><Relationship Id="rId29" Type="http://schemas.openxmlformats.org/officeDocument/2006/relationships/footer" Target="footer13.xml"/><Relationship Id="rId30" Type="http://schemas.openxmlformats.org/officeDocument/2006/relationships/hyperlink" Target="http://www.inegi.org.mx/prod_serv/contenidos/espanolbvinegi/pr" TargetMode="External"/><Relationship Id="rId31" Type="http://schemas.openxmlformats.org/officeDocument/2006/relationships/hyperlink" Target="http://www.diputados.gob.mx/LeyesBiblio/pdf/148.pdf" TargetMode="External"/><Relationship Id="rId32" Type="http://schemas.openxmlformats.org/officeDocument/2006/relationships/hyperlink" Target="http://www.reduc.cl/reduc/mella.pdf" TargetMode="External"/><Relationship Id="rId3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2017-06-21T20:08:18Z</dcterms:created>
  <dcterms:modified xsi:type="dcterms:W3CDTF">2017-06-21T20:08:18Z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2017-06-21T00:00:00Z</vt:filetime>
  </property>
</Properties>
</file>