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98.400002pt;margin-top:94.32pt;width:513.6pt;height:646.6pt;mso-position-horizontal-relative:page;mso-position-vertical-relative:page;z-index:-111760"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spacing w:before="133"/>
                    <w:ind w:left="0" w:right="1686" w:firstLine="0"/>
                    <w:jc w:val="center"/>
                    <w:rPr>
                      <w:rFonts w:ascii="Calibri"/>
                      <w:sz w:val="22"/>
                    </w:rPr>
                  </w:pPr>
                  <w:r>
                    <w:rPr>
                      <w:rFonts w:ascii="Calibri"/>
                      <w:color w:val="5B9BD4"/>
                      <w:w w:val="100"/>
                      <w:sz w:val="22"/>
                    </w:rPr>
                    <w:t>1</w:t>
                  </w:r>
                </w:p>
              </w:txbxContent>
            </v:textbox>
            <w10:wrap type="none"/>
          </v:shape>
        </w:pict>
      </w:r>
      <w:r>
        <w:rPr/>
        <w:drawing>
          <wp:anchor distT="0" distB="0" distL="0" distR="0" allowOverlap="1" layoutInCell="1" locked="0" behindDoc="0" simplePos="0" relativeHeight="1048">
            <wp:simplePos x="0" y="0"/>
            <wp:positionH relativeFrom="page">
              <wp:posOffset>1249680</wp:posOffset>
            </wp:positionH>
            <wp:positionV relativeFrom="page">
              <wp:posOffset>1197863</wp:posOffset>
            </wp:positionV>
            <wp:extent cx="6522720" cy="821131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522720" cy="8211311"/>
                    </a:xfrm>
                    <a:prstGeom prst="rect">
                      <a:avLst/>
                    </a:prstGeom>
                  </pic:spPr>
                </pic:pic>
              </a:graphicData>
            </a:graphic>
          </wp:anchor>
        </w:drawing>
      </w:r>
    </w:p>
    <w:p>
      <w:pPr>
        <w:spacing w:after="0"/>
        <w:rPr>
          <w:rFonts w:ascii="Times New Roman"/>
          <w:sz w:val="17"/>
        </w:rPr>
        <w:sectPr>
          <w:type w:val="continuous"/>
          <w:pgSz w:w="12240" w:h="15840"/>
          <w:pgMar w:top="1500" w:bottom="280" w:left="1720" w:right="0"/>
        </w:sectPr>
      </w:pPr>
    </w:p>
    <w:p>
      <w:pPr>
        <w:spacing w:before="51"/>
        <w:ind w:left="3519" w:right="3519" w:firstLine="0"/>
        <w:jc w:val="center"/>
        <w:rPr>
          <w:b/>
          <w:sz w:val="22"/>
        </w:rPr>
      </w:pPr>
      <w:r>
        <w:rPr>
          <w:b/>
          <w:sz w:val="22"/>
        </w:rPr>
        <w:t>RESUMEN</w:t>
      </w:r>
    </w:p>
    <w:p>
      <w:pPr>
        <w:pStyle w:val="BodyText"/>
        <w:spacing w:line="360" w:lineRule="auto" w:before="184"/>
        <w:ind w:left="119" w:right="113"/>
        <w:jc w:val="both"/>
      </w:pPr>
      <w:r>
        <w:rPr/>
        <w:t>En México, la producción de bovinos para carne y leche, independientemente del sistema de producción bajo el cual se realice, se considera como la segunda actividad pecuaria de importancia, después de las aves, tanto por el valor  que genera, como por el volumen de carne producido y los empleos que utiliza (Rebollar et al., 2011; SIAP, 2015). Los productos principales de este tipo de ganadería se obtienen durante todo el año, por ejemplo, en el sureste mexicano (Veracruz y Tabasco), es característica la producción de carne bajo sistemas baca-becerro y son entidades cuyos productores, completamente, integrados, envían animales para abasto a los rastros del centro del país y para engordas del norte, para ser sacrificados en instalaciones TIF (Tipo Inspección</w:t>
      </w:r>
      <w:r>
        <w:rPr>
          <w:spacing w:val="-25"/>
        </w:rPr>
        <w:t> </w:t>
      </w:r>
      <w:r>
        <w:rPr/>
        <w:t>Federal).</w:t>
      </w:r>
    </w:p>
    <w:p>
      <w:pPr>
        <w:pStyle w:val="BodyText"/>
      </w:pPr>
    </w:p>
    <w:p>
      <w:pPr>
        <w:pStyle w:val="BodyText"/>
        <w:spacing w:line="360" w:lineRule="auto" w:before="140"/>
        <w:ind w:left="119" w:right="119"/>
        <w:jc w:val="both"/>
      </w:pPr>
      <w:r>
        <w:rPr/>
        <w:t>Almoloya de las Granadas, dentro del Plan Municipal de Desarrollo del municipio de Tejupilco, se considera como uno de los pueblos, perteneciente a dicha Cabecera Municipal. Este pueblo, se caracteriza por estar en una zona de transición, entre climas templados subhúmedos y climas de trópico semiseco (Rebollar et al., 2013); con clima subhúmedo, con lluvias en verano. La precipitación rebasa los 1500 mm al año, la temperatura está entre 12 y 26 </w:t>
      </w:r>
      <w:r>
        <w:rPr>
          <w:position w:val="8"/>
          <w:sz w:val="16"/>
        </w:rPr>
        <w:t>o</w:t>
      </w:r>
      <w:r>
        <w:rPr/>
        <w:t>C al año, con una altura promedio de 1550 msnm.</w:t>
      </w:r>
    </w:p>
    <w:p>
      <w:pPr>
        <w:pStyle w:val="BodyText"/>
      </w:pPr>
    </w:p>
    <w:p>
      <w:pPr>
        <w:pStyle w:val="BodyText"/>
      </w:pPr>
    </w:p>
    <w:p>
      <w:pPr>
        <w:pStyle w:val="BodyText"/>
      </w:pPr>
    </w:p>
    <w:p>
      <w:pPr>
        <w:pStyle w:val="BodyText"/>
        <w:spacing w:line="362" w:lineRule="auto" w:before="1"/>
        <w:ind w:left="119" w:right="126"/>
        <w:jc w:val="both"/>
      </w:pPr>
      <w:r>
        <w:rPr/>
        <w:t>La engorda de bovinos en corral es rentable y competitiva, ya que presenta una ganancia promedio positiva.</w:t>
      </w:r>
    </w:p>
    <w:p>
      <w:pPr>
        <w:pStyle w:val="BodyText"/>
        <w:spacing w:line="360" w:lineRule="auto"/>
        <w:ind w:left="119" w:right="125"/>
        <w:jc w:val="both"/>
      </w:pPr>
      <w:r>
        <w:rPr/>
        <w:t>A mayor sea la cantidad de toretes a engordar mayor será la rentabilidad del proyecto.</w:t>
      </w:r>
    </w:p>
    <w:p>
      <w:pPr>
        <w:pStyle w:val="BodyText"/>
        <w:spacing w:line="362" w:lineRule="auto" w:before="2"/>
        <w:ind w:left="119" w:right="128"/>
        <w:jc w:val="both"/>
      </w:pPr>
      <w:r>
        <w:rPr/>
        <w:t>La engorda de ganado bovino en la región continua siendo actividad rentable ya que los ingresos recibidos por la venta del ganado son altos.</w:t>
      </w:r>
    </w:p>
    <w:p>
      <w:pPr>
        <w:pStyle w:val="BodyText"/>
        <w:spacing w:line="360" w:lineRule="auto"/>
        <w:ind w:left="119" w:right="116"/>
        <w:jc w:val="both"/>
      </w:pPr>
      <w:r>
        <w:rPr/>
        <w:t>A nivel municipal el llevar a cabo un proyecto de este tipo es rentable, ya que la demanda de carne día a día es mayor.</w:t>
      </w:r>
    </w:p>
    <w:p>
      <w:pPr>
        <w:spacing w:after="0" w:line="360" w:lineRule="auto"/>
        <w:jc w:val="both"/>
        <w:sectPr>
          <w:footerReference w:type="default" r:id="rId6"/>
          <w:pgSz w:w="12240" w:h="15840"/>
          <w:pgMar w:footer="1180" w:header="0" w:top="1360" w:bottom="1380" w:left="1580" w:right="1300"/>
          <w:pgNumType w:start="10"/>
        </w:sectPr>
      </w:pPr>
    </w:p>
    <w:p>
      <w:pPr>
        <w:pStyle w:val="BodyText"/>
        <w:rPr>
          <w:sz w:val="20"/>
        </w:rPr>
      </w:pPr>
    </w:p>
    <w:p>
      <w:pPr>
        <w:spacing w:before="216"/>
        <w:ind w:left="3872" w:right="3526" w:firstLine="0"/>
        <w:jc w:val="center"/>
        <w:rPr>
          <w:b/>
          <w:sz w:val="32"/>
        </w:rPr>
      </w:pPr>
      <w:r>
        <w:rPr>
          <w:b/>
          <w:sz w:val="32"/>
        </w:rPr>
        <w:t>Contenido</w:t>
      </w:r>
    </w:p>
    <w:sdt>
      <w:sdtPr>
        <w:docPartObj>
          <w:docPartGallery w:val="Table of Contents"/>
          <w:docPartUnique/>
        </w:docPartObj>
      </w:sdtPr>
      <w:sdtEndPr/>
      <w:sdtContent>
        <w:p>
          <w:pPr>
            <w:pStyle w:val="TOC1"/>
            <w:tabs>
              <w:tab w:pos="8902" w:val="right" w:leader="dot"/>
            </w:tabs>
            <w:spacing w:before="40"/>
            <w:ind w:left="119" w:firstLine="0"/>
            <w:rPr>
              <w:rFonts w:ascii="Calibri"/>
            </w:rPr>
          </w:pPr>
          <w:r>
            <w:rPr/>
            <w:t>RESUMEN</w:t>
          </w:r>
          <w:r>
            <w:rPr>
              <w:rFonts w:ascii="Calibri"/>
            </w:rPr>
            <w:tab/>
            <w:t>10</w:t>
          </w:r>
        </w:p>
        <w:p>
          <w:pPr>
            <w:pStyle w:val="TOC1"/>
            <w:numPr>
              <w:ilvl w:val="0"/>
              <w:numId w:val="1"/>
            </w:numPr>
            <w:tabs>
              <w:tab w:pos="561" w:val="left" w:leader="none"/>
              <w:tab w:pos="562" w:val="left" w:leader="none"/>
              <w:tab w:pos="8902" w:val="right" w:leader="dot"/>
            </w:tabs>
            <w:spacing w:line="240" w:lineRule="auto" w:before="120" w:after="0"/>
            <w:ind w:left="561" w:right="0" w:hanging="442"/>
            <w:jc w:val="left"/>
            <w:rPr>
              <w:rFonts w:ascii="Calibri" w:hAnsi="Calibri"/>
            </w:rPr>
          </w:pPr>
          <w:hyperlink w:history="true" w:anchor="_bookmark0">
            <w:r>
              <w:rPr/>
              <w:t>INTRODUCCIÓN</w:t>
            </w:r>
            <w:r>
              <w:rPr>
                <w:rFonts w:ascii="Calibri" w:hAnsi="Calibri"/>
              </w:rPr>
              <w:tab/>
              <w:t>13</w:t>
            </w:r>
          </w:hyperlink>
        </w:p>
        <w:p>
          <w:pPr>
            <w:pStyle w:val="TOC1"/>
            <w:numPr>
              <w:ilvl w:val="1"/>
              <w:numId w:val="2"/>
            </w:numPr>
            <w:tabs>
              <w:tab w:pos="489" w:val="left" w:leader="none"/>
              <w:tab w:pos="8902" w:val="right" w:leader="dot"/>
            </w:tabs>
            <w:spacing w:line="240" w:lineRule="auto" w:before="125" w:after="0"/>
            <w:ind w:left="488" w:right="0" w:hanging="369"/>
            <w:jc w:val="left"/>
            <w:rPr>
              <w:rFonts w:ascii="Calibri"/>
            </w:rPr>
          </w:pPr>
          <w:hyperlink w:history="true" w:anchor="_bookmark1">
            <w:r>
              <w:rPr/>
              <w:t>EL</w:t>
            </w:r>
            <w:r>
              <w:rPr>
                <w:spacing w:val="1"/>
              </w:rPr>
              <w:t> </w:t>
            </w:r>
            <w:r>
              <w:rPr/>
              <w:t>PROBLEMA</w:t>
            </w:r>
            <w:r>
              <w:rPr>
                <w:rFonts w:ascii="Calibri"/>
              </w:rPr>
              <w:tab/>
              <w:t>15</w:t>
            </w:r>
          </w:hyperlink>
        </w:p>
        <w:p>
          <w:pPr>
            <w:pStyle w:val="TOC1"/>
            <w:numPr>
              <w:ilvl w:val="1"/>
              <w:numId w:val="2"/>
            </w:numPr>
            <w:tabs>
              <w:tab w:pos="489" w:val="left" w:leader="none"/>
              <w:tab w:pos="8902" w:val="right" w:leader="dot"/>
            </w:tabs>
            <w:spacing w:line="240" w:lineRule="auto" w:before="120" w:after="0"/>
            <w:ind w:left="488" w:right="0" w:hanging="369"/>
            <w:jc w:val="left"/>
            <w:rPr>
              <w:rFonts w:ascii="Calibri" w:hAnsi="Calibri"/>
            </w:rPr>
          </w:pPr>
          <w:hyperlink w:history="true" w:anchor="_bookmark2">
            <w:r>
              <w:rPr/>
              <w:t>JUSTIFICACIÓN</w:t>
            </w:r>
            <w:r>
              <w:rPr>
                <w:rFonts w:ascii="Calibri" w:hAnsi="Calibri"/>
              </w:rPr>
              <w:tab/>
              <w:t>16</w:t>
            </w:r>
          </w:hyperlink>
        </w:p>
        <w:p>
          <w:pPr>
            <w:pStyle w:val="TOC1"/>
            <w:numPr>
              <w:ilvl w:val="1"/>
              <w:numId w:val="2"/>
            </w:numPr>
            <w:tabs>
              <w:tab w:pos="489" w:val="left" w:leader="none"/>
              <w:tab w:pos="8902" w:val="right" w:leader="dot"/>
            </w:tabs>
            <w:spacing w:line="240" w:lineRule="auto" w:before="120" w:after="0"/>
            <w:ind w:left="488" w:right="0" w:hanging="369"/>
            <w:jc w:val="left"/>
            <w:rPr>
              <w:rFonts w:ascii="Calibri"/>
            </w:rPr>
          </w:pPr>
          <w:hyperlink w:history="true" w:anchor="_bookmark3">
            <w:r>
              <w:rPr/>
              <w:t>OBJETIVOS</w:t>
            </w:r>
            <w:r>
              <w:rPr>
                <w:rFonts w:ascii="Calibri"/>
              </w:rPr>
              <w:tab/>
              <w:t>17</w:t>
            </w:r>
          </w:hyperlink>
        </w:p>
        <w:p>
          <w:pPr>
            <w:pStyle w:val="TOC3"/>
            <w:tabs>
              <w:tab w:pos="8902" w:val="right" w:leader="dot"/>
            </w:tabs>
            <w:rPr>
              <w:rFonts w:ascii="Calibri"/>
              <w:b w:val="0"/>
              <w:i w:val="0"/>
              <w:sz w:val="22"/>
            </w:rPr>
          </w:pPr>
          <w:hyperlink w:history="true" w:anchor="_bookmark4">
            <w:r>
              <w:rPr>
                <w:i w:val="0"/>
                <w:sz w:val="22"/>
              </w:rPr>
              <w:t>General</w:t>
            </w:r>
            <w:r>
              <w:rPr>
                <w:rFonts w:ascii="Calibri"/>
                <w:b w:val="0"/>
                <w:i w:val="0"/>
                <w:sz w:val="22"/>
              </w:rPr>
              <w:tab/>
              <w:t>17</w:t>
            </w:r>
          </w:hyperlink>
        </w:p>
        <w:p>
          <w:pPr>
            <w:pStyle w:val="TOC3"/>
            <w:tabs>
              <w:tab w:pos="8902" w:val="right" w:leader="dot"/>
            </w:tabs>
            <w:rPr>
              <w:rFonts w:ascii="Calibri" w:hAnsi="Calibri"/>
              <w:b w:val="0"/>
              <w:i w:val="0"/>
              <w:sz w:val="22"/>
            </w:rPr>
          </w:pPr>
          <w:hyperlink w:history="true" w:anchor="_bookmark5">
            <w:r>
              <w:rPr>
                <w:i w:val="0"/>
                <w:sz w:val="22"/>
              </w:rPr>
              <w:t>Específicos</w:t>
            </w:r>
            <w:r>
              <w:rPr>
                <w:rFonts w:ascii="Calibri" w:hAnsi="Calibri"/>
                <w:b w:val="0"/>
                <w:i w:val="0"/>
                <w:sz w:val="22"/>
              </w:rPr>
              <w:tab/>
              <w:t>17</w:t>
            </w:r>
          </w:hyperlink>
        </w:p>
        <w:p>
          <w:pPr>
            <w:pStyle w:val="TOC1"/>
            <w:numPr>
              <w:ilvl w:val="1"/>
              <w:numId w:val="2"/>
            </w:numPr>
            <w:tabs>
              <w:tab w:pos="489" w:val="left" w:leader="none"/>
              <w:tab w:pos="8902" w:val="right" w:leader="dot"/>
            </w:tabs>
            <w:spacing w:line="240" w:lineRule="auto" w:before="125" w:after="0"/>
            <w:ind w:left="488" w:right="0" w:hanging="369"/>
            <w:jc w:val="left"/>
            <w:rPr>
              <w:rFonts w:ascii="Calibri" w:hAnsi="Calibri"/>
            </w:rPr>
          </w:pPr>
          <w:hyperlink w:history="true" w:anchor="_bookmark6">
            <w:r>
              <w:rPr/>
              <w:t>HIPÓTESIS</w:t>
            </w:r>
            <w:r>
              <w:rPr>
                <w:rFonts w:ascii="Calibri" w:hAnsi="Calibri"/>
              </w:rPr>
              <w:tab/>
              <w:t>18</w:t>
            </w:r>
          </w:hyperlink>
        </w:p>
        <w:p>
          <w:pPr>
            <w:pStyle w:val="TOC3"/>
            <w:tabs>
              <w:tab w:pos="8902" w:val="right" w:leader="dot"/>
            </w:tabs>
            <w:rPr>
              <w:rFonts w:ascii="Calibri"/>
              <w:b w:val="0"/>
              <w:i w:val="0"/>
              <w:sz w:val="22"/>
            </w:rPr>
          </w:pPr>
          <w:hyperlink w:history="true" w:anchor="_bookmark7">
            <w:r>
              <w:rPr>
                <w:i w:val="0"/>
                <w:sz w:val="22"/>
              </w:rPr>
              <w:t>General</w:t>
            </w:r>
            <w:r>
              <w:rPr>
                <w:rFonts w:ascii="Calibri"/>
                <w:b w:val="0"/>
                <w:i w:val="0"/>
                <w:sz w:val="22"/>
              </w:rPr>
              <w:tab/>
              <w:t>18</w:t>
            </w:r>
          </w:hyperlink>
        </w:p>
        <w:p>
          <w:pPr>
            <w:pStyle w:val="TOC3"/>
            <w:tabs>
              <w:tab w:pos="8902" w:val="right" w:leader="dot"/>
            </w:tabs>
            <w:spacing w:before="121"/>
            <w:rPr>
              <w:rFonts w:ascii="Calibri" w:hAnsi="Calibri"/>
              <w:b w:val="0"/>
              <w:i w:val="0"/>
              <w:sz w:val="22"/>
            </w:rPr>
          </w:pPr>
          <w:hyperlink w:history="true" w:anchor="_bookmark8">
            <w:r>
              <w:rPr>
                <w:i w:val="0"/>
                <w:sz w:val="22"/>
              </w:rPr>
              <w:t>Específicas</w:t>
            </w:r>
            <w:r>
              <w:rPr>
                <w:rFonts w:ascii="Calibri" w:hAnsi="Calibri"/>
                <w:b w:val="0"/>
                <w:i w:val="0"/>
                <w:sz w:val="22"/>
              </w:rPr>
              <w:tab/>
              <w:t>18</w:t>
            </w:r>
          </w:hyperlink>
        </w:p>
        <w:p>
          <w:pPr>
            <w:pStyle w:val="TOC1"/>
            <w:numPr>
              <w:ilvl w:val="1"/>
              <w:numId w:val="2"/>
            </w:numPr>
            <w:tabs>
              <w:tab w:pos="489" w:val="left" w:leader="none"/>
              <w:tab w:pos="8902" w:val="right" w:leader="dot"/>
            </w:tabs>
            <w:spacing w:line="240" w:lineRule="auto" w:before="120" w:after="0"/>
            <w:ind w:left="488" w:right="0" w:hanging="369"/>
            <w:jc w:val="left"/>
            <w:rPr>
              <w:rFonts w:ascii="Calibri" w:hAnsi="Calibri"/>
            </w:rPr>
          </w:pPr>
          <w:hyperlink w:history="true" w:anchor="_bookmark9">
            <w:r>
              <w:rPr/>
              <w:t>METODOLOGÍA</w:t>
            </w:r>
            <w:r>
              <w:rPr>
                <w:rFonts w:ascii="Calibri" w:hAnsi="Calibri"/>
              </w:rPr>
              <w:tab/>
              <w:t>19</w:t>
            </w:r>
          </w:hyperlink>
        </w:p>
        <w:p>
          <w:pPr>
            <w:pStyle w:val="TOC2"/>
            <w:tabs>
              <w:tab w:pos="8902" w:val="right" w:leader="dot"/>
            </w:tabs>
            <w:spacing w:before="125"/>
            <w:rPr>
              <w:rFonts w:ascii="Calibri" w:hAnsi="Calibri"/>
              <w:b w:val="0"/>
            </w:rPr>
          </w:pPr>
          <w:hyperlink w:history="true" w:anchor="_bookmark10">
            <w:r>
              <w:rPr/>
              <w:t>Localización de la zona</w:t>
            </w:r>
            <w:r>
              <w:rPr>
                <w:spacing w:val="4"/>
              </w:rPr>
              <w:t> </w:t>
            </w:r>
            <w:r>
              <w:rPr/>
              <w:t>de</w:t>
            </w:r>
            <w:r>
              <w:rPr>
                <w:spacing w:val="-4"/>
              </w:rPr>
              <w:t> </w:t>
            </w:r>
            <w:r>
              <w:rPr/>
              <w:t>estudio</w:t>
            </w:r>
            <w:r>
              <w:rPr>
                <w:rFonts w:ascii="Calibri" w:hAnsi="Calibri"/>
                <w:b w:val="0"/>
              </w:rPr>
              <w:tab/>
              <w:t>19</w:t>
            </w:r>
          </w:hyperlink>
        </w:p>
        <w:p>
          <w:pPr>
            <w:pStyle w:val="TOC1"/>
            <w:numPr>
              <w:ilvl w:val="0"/>
              <w:numId w:val="1"/>
            </w:numPr>
            <w:tabs>
              <w:tab w:pos="561" w:val="left" w:leader="none"/>
              <w:tab w:pos="562" w:val="left" w:leader="none"/>
              <w:tab w:pos="8902" w:val="right" w:leader="dot"/>
            </w:tabs>
            <w:spacing w:line="240" w:lineRule="auto" w:before="120" w:after="0"/>
            <w:ind w:left="561" w:right="0" w:hanging="442"/>
            <w:jc w:val="left"/>
            <w:rPr>
              <w:rFonts w:ascii="Calibri" w:hAnsi="Calibri"/>
            </w:rPr>
          </w:pPr>
          <w:hyperlink w:history="true" w:anchor="_bookmark11">
            <w:r>
              <w:rPr/>
              <w:t>MARCO</w:t>
            </w:r>
            <w:r>
              <w:rPr>
                <w:spacing w:val="1"/>
              </w:rPr>
              <w:t> </w:t>
            </w:r>
            <w:r>
              <w:rPr/>
              <w:t>TEÓRICO</w:t>
            </w:r>
            <w:r>
              <w:rPr>
                <w:spacing w:val="1"/>
              </w:rPr>
              <w:t> </w:t>
            </w:r>
            <w:r>
              <w:rPr/>
              <w:t>CONCEPTUAL</w:t>
            </w:r>
            <w:r>
              <w:rPr>
                <w:rFonts w:ascii="Calibri" w:hAnsi="Calibri"/>
              </w:rPr>
              <w:tab/>
              <w:t>24</w:t>
            </w:r>
          </w:hyperlink>
        </w:p>
        <w:p>
          <w:pPr>
            <w:pStyle w:val="TOC1"/>
            <w:numPr>
              <w:ilvl w:val="0"/>
              <w:numId w:val="1"/>
            </w:numPr>
            <w:tabs>
              <w:tab w:pos="782" w:val="left" w:leader="none"/>
              <w:tab w:pos="783" w:val="left" w:leader="none"/>
              <w:tab w:pos="8902" w:val="right" w:leader="dot"/>
            </w:tabs>
            <w:spacing w:line="240" w:lineRule="auto" w:before="120" w:after="0"/>
            <w:ind w:left="782" w:right="0" w:hanging="663"/>
            <w:jc w:val="left"/>
            <w:rPr>
              <w:rFonts w:ascii="Calibri" w:hAnsi="Calibri"/>
            </w:rPr>
          </w:pPr>
          <w:hyperlink w:history="true" w:anchor="_bookmark12">
            <w:r>
              <w:rPr/>
              <w:t>REVISIÓN</w:t>
            </w:r>
            <w:r>
              <w:rPr>
                <w:spacing w:val="-1"/>
              </w:rPr>
              <w:t> </w:t>
            </w:r>
            <w:r>
              <w:rPr/>
              <w:t>DE</w:t>
            </w:r>
            <w:r>
              <w:rPr>
                <w:spacing w:val="1"/>
              </w:rPr>
              <w:t> </w:t>
            </w:r>
            <w:r>
              <w:rPr/>
              <w:t>LITERATURA</w:t>
            </w:r>
            <w:r>
              <w:rPr>
                <w:rFonts w:ascii="Calibri" w:hAnsi="Calibri"/>
              </w:rPr>
              <w:tab/>
              <w:t>26</w:t>
            </w:r>
          </w:hyperlink>
        </w:p>
        <w:p>
          <w:pPr>
            <w:pStyle w:val="TOC2"/>
            <w:tabs>
              <w:tab w:pos="998" w:val="left" w:leader="none"/>
              <w:tab w:pos="8902" w:val="right" w:leader="dot"/>
            </w:tabs>
            <w:rPr>
              <w:rFonts w:ascii="Calibri" w:hAnsi="Calibri"/>
              <w:b w:val="0"/>
            </w:rPr>
          </w:pPr>
          <w:hyperlink w:history="true" w:anchor="_bookmark13">
            <w:r>
              <w:rPr/>
              <w:t>3.1</w:t>
              <w:tab/>
              <w:t>Sistemas de producción</w:t>
            </w:r>
            <w:r>
              <w:rPr>
                <w:spacing w:val="-1"/>
              </w:rPr>
              <w:t> </w:t>
            </w:r>
            <w:r>
              <w:rPr/>
              <w:t>de</w:t>
            </w:r>
            <w:r>
              <w:rPr>
                <w:spacing w:val="1"/>
              </w:rPr>
              <w:t> </w:t>
            </w:r>
            <w:r>
              <w:rPr/>
              <w:t>bovinos</w:t>
            </w:r>
            <w:r>
              <w:rPr>
                <w:rFonts w:ascii="Calibri" w:hAnsi="Calibri"/>
                <w:b w:val="0"/>
              </w:rPr>
              <w:tab/>
              <w:t>26</w:t>
            </w:r>
          </w:hyperlink>
        </w:p>
        <w:p>
          <w:pPr>
            <w:pStyle w:val="TOC2"/>
            <w:tabs>
              <w:tab w:pos="8902" w:val="right" w:leader="dot"/>
            </w:tabs>
            <w:rPr>
              <w:rFonts w:ascii="Calibri" w:hAnsi="Calibri"/>
              <w:b w:val="0"/>
            </w:rPr>
          </w:pPr>
          <w:hyperlink w:history="true" w:anchor="_bookmark14">
            <w:r>
              <w:rPr/>
              <w:t>La ganadería</w:t>
            </w:r>
            <w:r>
              <w:rPr>
                <w:spacing w:val="-1"/>
              </w:rPr>
              <w:t> </w:t>
            </w:r>
            <w:r>
              <w:rPr/>
              <w:t>en</w:t>
            </w:r>
            <w:r>
              <w:rPr>
                <w:spacing w:val="-1"/>
              </w:rPr>
              <w:t> </w:t>
            </w:r>
            <w:r>
              <w:rPr/>
              <w:t>México</w:t>
            </w:r>
            <w:r>
              <w:rPr>
                <w:rFonts w:ascii="Calibri" w:hAnsi="Calibri"/>
                <w:b w:val="0"/>
              </w:rPr>
              <w:tab/>
              <w:t>26</w:t>
            </w:r>
          </w:hyperlink>
        </w:p>
        <w:p>
          <w:pPr>
            <w:pStyle w:val="TOC2"/>
            <w:tabs>
              <w:tab w:pos="8902" w:val="right" w:leader="dot"/>
            </w:tabs>
            <w:spacing w:before="125"/>
            <w:rPr>
              <w:rFonts w:ascii="Calibri" w:hAnsi="Calibri"/>
              <w:b w:val="0"/>
            </w:rPr>
          </w:pPr>
          <w:hyperlink w:history="true" w:anchor="_bookmark15">
            <w:r>
              <w:rPr/>
              <w:t>Importancia de la ganadería</w:t>
            </w:r>
            <w:r>
              <w:rPr>
                <w:spacing w:val="2"/>
              </w:rPr>
              <w:t> </w:t>
            </w:r>
            <w:r>
              <w:rPr/>
              <w:t>en</w:t>
            </w:r>
            <w:r>
              <w:rPr>
                <w:spacing w:val="-1"/>
              </w:rPr>
              <w:t> </w:t>
            </w:r>
            <w:r>
              <w:rPr/>
              <w:t>México</w:t>
            </w:r>
            <w:r>
              <w:rPr>
                <w:rFonts w:ascii="Calibri" w:hAnsi="Calibri"/>
                <w:b w:val="0"/>
              </w:rPr>
              <w:tab/>
              <w:t>27</w:t>
            </w:r>
          </w:hyperlink>
        </w:p>
        <w:p>
          <w:pPr>
            <w:pStyle w:val="TOC4"/>
            <w:tabs>
              <w:tab w:pos="8902" w:val="right" w:leader="dot"/>
            </w:tabs>
            <w:rPr>
              <w:rFonts w:ascii="Calibri" w:hAnsi="Calibri"/>
              <w:b w:val="0"/>
            </w:rPr>
          </w:pPr>
          <w:hyperlink w:history="true" w:anchor="_bookmark16">
            <w:r>
              <w:rPr/>
              <w:t>2.3.1. Sistemas de producción de ganado bovino</w:t>
            </w:r>
            <w:r>
              <w:rPr>
                <w:spacing w:val="-6"/>
              </w:rPr>
              <w:t> </w:t>
            </w:r>
            <w:r>
              <w:rPr/>
              <w:t>en</w:t>
            </w:r>
            <w:r>
              <w:rPr>
                <w:spacing w:val="-1"/>
              </w:rPr>
              <w:t> </w:t>
            </w:r>
            <w:r>
              <w:rPr/>
              <w:t>México</w:t>
            </w:r>
            <w:r>
              <w:rPr>
                <w:rFonts w:ascii="Calibri" w:hAnsi="Calibri"/>
                <w:b w:val="0"/>
              </w:rPr>
              <w:tab/>
              <w:t>27</w:t>
            </w:r>
          </w:hyperlink>
        </w:p>
        <w:p>
          <w:pPr>
            <w:pStyle w:val="TOC4"/>
            <w:tabs>
              <w:tab w:pos="8902" w:val="right" w:leader="dot"/>
            </w:tabs>
            <w:rPr>
              <w:rFonts w:ascii="Calibri" w:hAnsi="Calibri"/>
              <w:b w:val="0"/>
            </w:rPr>
          </w:pPr>
          <w:hyperlink w:history="true" w:anchor="_bookmark17">
            <w:r>
              <w:rPr/>
              <w:t>Sistemas de producción</w:t>
            </w:r>
            <w:r>
              <w:rPr>
                <w:spacing w:val="-1"/>
              </w:rPr>
              <w:t> </w:t>
            </w:r>
            <w:r>
              <w:rPr/>
              <w:t>de</w:t>
            </w:r>
            <w:r>
              <w:rPr>
                <w:spacing w:val="1"/>
              </w:rPr>
              <w:t> </w:t>
            </w:r>
            <w:r>
              <w:rPr/>
              <w:t>leche</w:t>
            </w:r>
            <w:r>
              <w:rPr>
                <w:rFonts w:ascii="Calibri" w:hAnsi="Calibri"/>
                <w:b w:val="0"/>
              </w:rPr>
              <w:tab/>
              <w:t>28</w:t>
            </w:r>
          </w:hyperlink>
        </w:p>
        <w:p>
          <w:pPr>
            <w:pStyle w:val="TOC4"/>
            <w:tabs>
              <w:tab w:pos="8902" w:val="right" w:leader="dot"/>
            </w:tabs>
            <w:rPr>
              <w:rFonts w:ascii="Calibri" w:hAnsi="Calibri"/>
              <w:b w:val="0"/>
            </w:rPr>
          </w:pPr>
          <w:hyperlink w:history="true" w:anchor="_bookmark18">
            <w:r>
              <w:rPr/>
              <w:t>La ganadería en el sur del Estado</w:t>
            </w:r>
            <w:r>
              <w:rPr>
                <w:spacing w:val="-10"/>
              </w:rPr>
              <w:t> </w:t>
            </w:r>
            <w:r>
              <w:rPr/>
              <w:t>de</w:t>
            </w:r>
            <w:r>
              <w:rPr>
                <w:spacing w:val="-4"/>
              </w:rPr>
              <w:t> </w:t>
            </w:r>
            <w:r>
              <w:rPr/>
              <w:t>México</w:t>
            </w:r>
            <w:r>
              <w:rPr>
                <w:rFonts w:ascii="Calibri" w:hAnsi="Calibri"/>
                <w:b w:val="0"/>
              </w:rPr>
              <w:tab/>
              <w:t>35</w:t>
            </w:r>
          </w:hyperlink>
        </w:p>
        <w:p>
          <w:pPr>
            <w:pStyle w:val="TOC1"/>
            <w:numPr>
              <w:ilvl w:val="0"/>
              <w:numId w:val="1"/>
            </w:numPr>
            <w:tabs>
              <w:tab w:pos="782" w:val="left" w:leader="none"/>
              <w:tab w:pos="783" w:val="left" w:leader="none"/>
              <w:tab w:pos="8902" w:val="right" w:leader="dot"/>
            </w:tabs>
            <w:spacing w:line="240" w:lineRule="auto" w:before="120" w:after="0"/>
            <w:ind w:left="782" w:right="0" w:hanging="663"/>
            <w:jc w:val="left"/>
            <w:rPr>
              <w:rFonts w:ascii="Calibri" w:hAnsi="Calibri"/>
            </w:rPr>
          </w:pPr>
          <w:hyperlink w:history="true" w:anchor="_bookmark19">
            <w:r>
              <w:rPr/>
              <w:t>RESULTADOS</w:t>
            </w:r>
            <w:r>
              <w:rPr>
                <w:spacing w:val="-4"/>
              </w:rPr>
              <w:t> </w:t>
            </w:r>
            <w:r>
              <w:rPr/>
              <w:t>Y</w:t>
            </w:r>
            <w:r>
              <w:rPr>
                <w:spacing w:val="-4"/>
              </w:rPr>
              <w:t> </w:t>
            </w:r>
            <w:r>
              <w:rPr/>
              <w:t>DISCUSIÓN</w:t>
            </w:r>
            <w:r>
              <w:rPr>
                <w:rFonts w:ascii="Calibri" w:hAnsi="Calibri"/>
              </w:rPr>
              <w:tab/>
              <w:t>38</w:t>
            </w:r>
          </w:hyperlink>
        </w:p>
        <w:p>
          <w:pPr>
            <w:pStyle w:val="TOC2"/>
            <w:numPr>
              <w:ilvl w:val="1"/>
              <w:numId w:val="3"/>
            </w:numPr>
            <w:tabs>
              <w:tab w:pos="710" w:val="left" w:leader="none"/>
              <w:tab w:pos="8902" w:val="right" w:leader="dot"/>
            </w:tabs>
            <w:spacing w:line="240" w:lineRule="auto" w:before="125" w:after="0"/>
            <w:ind w:left="709" w:right="0" w:hanging="369"/>
            <w:jc w:val="left"/>
            <w:rPr>
              <w:b w:val="0"/>
            </w:rPr>
          </w:pPr>
          <w:hyperlink w:history="true" w:anchor="_bookmark20">
            <w:r>
              <w:rPr/>
              <w:t>ESTUDIO</w:t>
            </w:r>
            <w:r>
              <w:rPr>
                <w:spacing w:val="1"/>
              </w:rPr>
              <w:t> </w:t>
            </w:r>
            <w:r>
              <w:rPr/>
              <w:t>DE</w:t>
            </w:r>
            <w:r>
              <w:rPr>
                <w:spacing w:val="1"/>
              </w:rPr>
              <w:t> </w:t>
            </w:r>
            <w:r>
              <w:rPr>
                <w:spacing w:val="-3"/>
              </w:rPr>
              <w:t>MERCADO</w:t>
            </w:r>
            <w:r>
              <w:rPr>
                <w:rFonts w:ascii="Calibri"/>
                <w:b w:val="0"/>
                <w:spacing w:val="-3"/>
              </w:rPr>
              <w:tab/>
            </w:r>
            <w:r>
              <w:rPr>
                <w:rFonts w:ascii="Calibri"/>
                <w:b w:val="0"/>
              </w:rPr>
              <w:t>38</w:t>
            </w:r>
          </w:hyperlink>
        </w:p>
        <w:p>
          <w:pPr>
            <w:pStyle w:val="TOC2"/>
            <w:tabs>
              <w:tab w:pos="8902" w:val="right" w:leader="dot"/>
            </w:tabs>
            <w:spacing w:before="121"/>
            <w:rPr>
              <w:rFonts w:ascii="Calibri" w:hAnsi="Calibri"/>
              <w:b w:val="0"/>
            </w:rPr>
          </w:pPr>
          <w:hyperlink w:history="true" w:anchor="_bookmark21">
            <w:r>
              <w:rPr/>
              <w:t>Análisis de</w:t>
            </w:r>
            <w:r>
              <w:rPr>
                <w:spacing w:val="-1"/>
              </w:rPr>
              <w:t> </w:t>
            </w:r>
            <w:r>
              <w:rPr/>
              <w:t>la</w:t>
            </w:r>
            <w:r>
              <w:rPr>
                <w:spacing w:val="1"/>
              </w:rPr>
              <w:t> </w:t>
            </w:r>
            <w:r>
              <w:rPr/>
              <w:t>demanda</w:t>
            </w:r>
            <w:r>
              <w:rPr>
                <w:rFonts w:ascii="Calibri" w:hAnsi="Calibri"/>
                <w:b w:val="0"/>
              </w:rPr>
              <w:tab/>
              <w:t>38</w:t>
            </w:r>
          </w:hyperlink>
        </w:p>
        <w:p>
          <w:pPr>
            <w:pStyle w:val="TOC2"/>
            <w:tabs>
              <w:tab w:pos="8902" w:val="right" w:leader="dot"/>
            </w:tabs>
            <w:rPr>
              <w:rFonts w:ascii="Calibri" w:hAnsi="Calibri"/>
              <w:b w:val="0"/>
            </w:rPr>
          </w:pPr>
          <w:hyperlink w:history="true" w:anchor="_bookmark22">
            <w:r>
              <w:rPr/>
              <w:t>Análisis de</w:t>
            </w:r>
            <w:r>
              <w:rPr>
                <w:spacing w:val="-1"/>
              </w:rPr>
              <w:t> </w:t>
            </w:r>
            <w:r>
              <w:rPr/>
              <w:t>la</w:t>
            </w:r>
            <w:r>
              <w:rPr>
                <w:spacing w:val="1"/>
              </w:rPr>
              <w:t> </w:t>
            </w:r>
            <w:r>
              <w:rPr/>
              <w:t>oferta</w:t>
            </w:r>
            <w:r>
              <w:rPr>
                <w:rFonts w:ascii="Calibri" w:hAnsi="Calibri"/>
                <w:b w:val="0"/>
              </w:rPr>
              <w:tab/>
              <w:t>42</w:t>
            </w:r>
          </w:hyperlink>
        </w:p>
        <w:p>
          <w:pPr>
            <w:pStyle w:val="TOC2"/>
            <w:tabs>
              <w:tab w:pos="8902" w:val="right" w:leader="dot"/>
            </w:tabs>
            <w:rPr>
              <w:rFonts w:ascii="Calibri" w:hAnsi="Calibri"/>
              <w:b w:val="0"/>
            </w:rPr>
          </w:pPr>
          <w:hyperlink w:history="true" w:anchor="_bookmark23">
            <w:r>
              <w:rPr/>
              <w:t>Análisis de</w:t>
            </w:r>
            <w:r>
              <w:rPr>
                <w:spacing w:val="-1"/>
              </w:rPr>
              <w:t> </w:t>
            </w:r>
            <w:r>
              <w:rPr/>
              <w:t>los</w:t>
            </w:r>
            <w:r>
              <w:rPr>
                <w:spacing w:val="-4"/>
              </w:rPr>
              <w:t> </w:t>
            </w:r>
            <w:r>
              <w:rPr/>
              <w:t>precios</w:t>
            </w:r>
            <w:r>
              <w:rPr>
                <w:rFonts w:ascii="Calibri" w:hAnsi="Calibri"/>
                <w:b w:val="0"/>
              </w:rPr>
              <w:tab/>
              <w:t>47</w:t>
            </w:r>
          </w:hyperlink>
        </w:p>
        <w:p>
          <w:pPr>
            <w:pStyle w:val="TOC2"/>
            <w:tabs>
              <w:tab w:pos="8902" w:val="right" w:leader="dot"/>
            </w:tabs>
            <w:rPr>
              <w:rFonts w:ascii="Calibri" w:hAnsi="Calibri"/>
              <w:b w:val="0"/>
            </w:rPr>
          </w:pPr>
          <w:hyperlink w:history="true" w:anchor="_bookmark24">
            <w:r>
              <w:rPr/>
              <w:t>Análisis de</w:t>
            </w:r>
            <w:r>
              <w:rPr>
                <w:spacing w:val="-1"/>
              </w:rPr>
              <w:t> </w:t>
            </w:r>
            <w:r>
              <w:rPr/>
              <w:t>la</w:t>
            </w:r>
            <w:r>
              <w:rPr>
                <w:spacing w:val="1"/>
              </w:rPr>
              <w:t> </w:t>
            </w:r>
            <w:r>
              <w:rPr/>
              <w:t>comercialización</w:t>
            </w:r>
            <w:r>
              <w:rPr>
                <w:rFonts w:ascii="Calibri" w:hAnsi="Calibri"/>
                <w:b w:val="0"/>
              </w:rPr>
              <w:tab/>
              <w:t>50</w:t>
            </w:r>
          </w:hyperlink>
        </w:p>
        <w:p>
          <w:pPr>
            <w:pStyle w:val="TOC2"/>
            <w:numPr>
              <w:ilvl w:val="1"/>
              <w:numId w:val="3"/>
            </w:numPr>
            <w:tabs>
              <w:tab w:pos="710" w:val="left" w:leader="none"/>
              <w:tab w:pos="8902" w:val="right" w:leader="dot"/>
            </w:tabs>
            <w:spacing w:line="240" w:lineRule="auto" w:before="125" w:after="0"/>
            <w:ind w:left="709" w:right="0" w:hanging="369"/>
            <w:jc w:val="left"/>
            <w:rPr>
              <w:b w:val="0"/>
            </w:rPr>
          </w:pPr>
          <w:hyperlink w:history="true" w:anchor="_bookmark25">
            <w:r>
              <w:rPr/>
              <w:t>ESTUDIO</w:t>
            </w:r>
            <w:r>
              <w:rPr>
                <w:spacing w:val="1"/>
              </w:rPr>
              <w:t> </w:t>
            </w:r>
            <w:r>
              <w:rPr/>
              <w:t>TÉCNICO</w:t>
            </w:r>
            <w:r>
              <w:rPr>
                <w:rFonts w:ascii="Calibri" w:hAnsi="Calibri"/>
                <w:b w:val="0"/>
              </w:rPr>
              <w:tab/>
              <w:t>51</w:t>
            </w:r>
          </w:hyperlink>
        </w:p>
        <w:p>
          <w:pPr>
            <w:pStyle w:val="TOC2"/>
            <w:tabs>
              <w:tab w:pos="8902" w:val="right" w:leader="dot"/>
            </w:tabs>
            <w:rPr>
              <w:rFonts w:ascii="Calibri"/>
              <w:b w:val="0"/>
            </w:rPr>
          </w:pPr>
          <w:hyperlink w:history="true" w:anchor="_bookmark26">
            <w:r>
              <w:rPr/>
              <w:t>Consideraciones</w:t>
            </w:r>
            <w:r>
              <w:rPr>
                <w:spacing w:val="-3"/>
              </w:rPr>
              <w:t> </w:t>
            </w:r>
            <w:r>
              <w:rPr/>
              <w:t>iniciales</w:t>
            </w:r>
            <w:r>
              <w:rPr>
                <w:rFonts w:ascii="Calibri"/>
                <w:b w:val="0"/>
              </w:rPr>
              <w:tab/>
              <w:t>51</w:t>
            </w:r>
          </w:hyperlink>
        </w:p>
        <w:p>
          <w:pPr>
            <w:pStyle w:val="TOC4"/>
            <w:tabs>
              <w:tab w:pos="8902" w:val="right" w:leader="dot"/>
            </w:tabs>
            <w:rPr>
              <w:rFonts w:ascii="Calibri" w:hAnsi="Calibri"/>
              <w:b w:val="0"/>
            </w:rPr>
          </w:pPr>
          <w:hyperlink w:history="true" w:anchor="_bookmark27">
            <w:r>
              <w:rPr/>
              <w:t>Macrolocalización</w:t>
            </w:r>
            <w:r>
              <w:rPr>
                <w:rFonts w:ascii="Calibri" w:hAnsi="Calibri"/>
                <w:b w:val="0"/>
              </w:rPr>
              <w:tab/>
              <w:t>54</w:t>
            </w:r>
          </w:hyperlink>
        </w:p>
        <w:p>
          <w:pPr>
            <w:pStyle w:val="TOC4"/>
            <w:tabs>
              <w:tab w:pos="8902" w:val="right" w:leader="dot"/>
            </w:tabs>
            <w:rPr>
              <w:rFonts w:ascii="Calibri" w:hAnsi="Calibri"/>
              <w:b w:val="0"/>
            </w:rPr>
          </w:pPr>
          <w:hyperlink w:history="true" w:anchor="_bookmark28">
            <w:r>
              <w:rPr/>
              <w:t>Microlocalización</w:t>
            </w:r>
            <w:r>
              <w:rPr>
                <w:rFonts w:ascii="Calibri" w:hAnsi="Calibri"/>
                <w:b w:val="0"/>
              </w:rPr>
              <w:tab/>
              <w:t>54</w:t>
            </w:r>
          </w:hyperlink>
        </w:p>
      </w:sdtContent>
    </w:sdt>
    <w:p>
      <w:pPr>
        <w:spacing w:after="0"/>
        <w:rPr>
          <w:rFonts w:ascii="Calibri" w:hAnsi="Calibri"/>
        </w:rPr>
        <w:sectPr>
          <w:pgSz w:w="12240" w:h="15840"/>
          <w:pgMar w:header="0" w:footer="1180" w:top="1500" w:bottom="1380" w:left="1580" w:right="1640"/>
        </w:sectPr>
      </w:pPr>
    </w:p>
    <w:p>
      <w:pPr>
        <w:spacing w:before="51"/>
        <w:ind w:left="561" w:right="0" w:firstLine="0"/>
        <w:jc w:val="left"/>
        <w:rPr>
          <w:sz w:val="22"/>
        </w:rPr>
      </w:pPr>
      <w:hyperlink w:history="true" w:anchor="_bookmark29">
        <w:r>
          <w:rPr>
            <w:sz w:val="22"/>
          </w:rPr>
          <w:t>Figura 4. Comedero típico para una engorda en corral. Sur del Estado de México. 2016.</w:t>
        </w:r>
      </w:hyperlink>
    </w:p>
    <w:p>
      <w:pPr>
        <w:spacing w:before="27"/>
        <w:ind w:left="609" w:right="0" w:firstLine="0"/>
        <w:jc w:val="left"/>
        <w:rPr>
          <w:rFonts w:ascii="Calibri"/>
          <w:sz w:val="22"/>
        </w:rPr>
      </w:pPr>
      <w:hyperlink w:history="true" w:anchor="_bookmark29">
        <w:r>
          <w:rPr>
            <w:rFonts w:ascii="Calibri"/>
            <w:sz w:val="22"/>
          </w:rPr>
          <w:t>............................................................................................................................................61</w:t>
        </w:r>
      </w:hyperlink>
    </w:p>
    <w:p>
      <w:pPr>
        <w:tabs>
          <w:tab w:pos="8681" w:val="left" w:leader="dot"/>
        </w:tabs>
        <w:spacing w:line="261" w:lineRule="auto" w:before="118"/>
        <w:ind w:left="561" w:right="315" w:firstLine="0"/>
        <w:jc w:val="left"/>
        <w:rPr>
          <w:rFonts w:ascii="Calibri" w:hAnsi="Calibri"/>
          <w:sz w:val="22"/>
        </w:rPr>
      </w:pPr>
      <w:hyperlink w:history="true" w:anchor="_bookmark30">
        <w:r>
          <w:rPr>
            <w:sz w:val="22"/>
          </w:rPr>
          <w:t>Figura 5. Corral rústico en una engorda intensiva de bovinos carne. Tejupilco, enero</w:t>
        </w:r>
      </w:hyperlink>
      <w:r>
        <w:rPr>
          <w:sz w:val="22"/>
        </w:rPr>
        <w:t> </w:t>
      </w:r>
      <w:hyperlink w:history="true" w:anchor="_bookmark30">
        <w:r>
          <w:rPr>
            <w:sz w:val="22"/>
          </w:rPr>
          <w:t>2016. Imagen propiedad de</w:t>
        </w:r>
        <w:r>
          <w:rPr>
            <w:spacing w:val="-13"/>
            <w:sz w:val="22"/>
          </w:rPr>
          <w:t> </w:t>
        </w:r>
        <w:r>
          <w:rPr>
            <w:sz w:val="22"/>
          </w:rPr>
          <w:t>los</w:t>
        </w:r>
        <w:r>
          <w:rPr>
            <w:spacing w:val="-5"/>
            <w:sz w:val="22"/>
          </w:rPr>
          <w:t> </w:t>
        </w:r>
        <w:r>
          <w:rPr>
            <w:sz w:val="22"/>
          </w:rPr>
          <w:t>autores.</w:t>
        </w:r>
        <w:r>
          <w:rPr>
            <w:rFonts w:ascii="Calibri" w:hAnsi="Calibri"/>
            <w:sz w:val="22"/>
          </w:rPr>
          <w:tab/>
        </w:r>
        <w:r>
          <w:rPr>
            <w:rFonts w:ascii="Calibri" w:hAnsi="Calibri"/>
            <w:spacing w:val="-1"/>
            <w:sz w:val="22"/>
          </w:rPr>
          <w:t>62</w:t>
        </w:r>
      </w:hyperlink>
    </w:p>
    <w:p>
      <w:pPr>
        <w:tabs>
          <w:tab w:pos="8681" w:val="left" w:leader="dot"/>
        </w:tabs>
        <w:spacing w:before="101"/>
        <w:ind w:left="561" w:right="0" w:firstLine="0"/>
        <w:jc w:val="left"/>
        <w:rPr>
          <w:rFonts w:ascii="Calibri" w:hAnsi="Calibri"/>
          <w:sz w:val="22"/>
        </w:rPr>
      </w:pPr>
      <w:hyperlink w:history="true" w:anchor="_bookmark31">
        <w:r>
          <w:rPr>
            <w:b/>
            <w:sz w:val="22"/>
          </w:rPr>
          <w:t>Necesidades de agua para proceso</w:t>
        </w:r>
        <w:r>
          <w:rPr>
            <w:b/>
            <w:spacing w:val="-12"/>
            <w:sz w:val="22"/>
          </w:rPr>
          <w:t> </w:t>
        </w:r>
        <w:r>
          <w:rPr>
            <w:b/>
            <w:sz w:val="22"/>
          </w:rPr>
          <w:t>de</w:t>
        </w:r>
        <w:r>
          <w:rPr>
            <w:b/>
            <w:spacing w:val="-1"/>
            <w:sz w:val="22"/>
          </w:rPr>
          <w:t> </w:t>
        </w:r>
        <w:r>
          <w:rPr>
            <w:b/>
            <w:sz w:val="22"/>
          </w:rPr>
          <w:t>producción</w:t>
        </w:r>
        <w:r>
          <w:rPr>
            <w:rFonts w:ascii="Calibri" w:hAnsi="Calibri"/>
            <w:sz w:val="22"/>
          </w:rPr>
          <w:tab/>
          <w:t>62</w:t>
        </w:r>
      </w:hyperlink>
    </w:p>
    <w:p>
      <w:pPr>
        <w:tabs>
          <w:tab w:pos="8681" w:val="left" w:leader="dot"/>
        </w:tabs>
        <w:spacing w:before="120"/>
        <w:ind w:left="561" w:right="0" w:firstLine="0"/>
        <w:jc w:val="left"/>
        <w:rPr>
          <w:rFonts w:ascii="Calibri" w:hAnsi="Calibri"/>
          <w:sz w:val="22"/>
        </w:rPr>
      </w:pPr>
      <w:hyperlink w:history="true" w:anchor="_bookmark32">
        <w:r>
          <w:rPr>
            <w:b/>
            <w:sz w:val="22"/>
          </w:rPr>
          <w:t>Necesidades de</w:t>
        </w:r>
        <w:r>
          <w:rPr>
            <w:b/>
            <w:spacing w:val="-5"/>
            <w:sz w:val="22"/>
          </w:rPr>
          <w:t> </w:t>
        </w:r>
        <w:r>
          <w:rPr>
            <w:b/>
            <w:sz w:val="22"/>
          </w:rPr>
          <w:t>energía</w:t>
        </w:r>
        <w:r>
          <w:rPr>
            <w:b/>
            <w:spacing w:val="-4"/>
            <w:sz w:val="22"/>
          </w:rPr>
          <w:t> </w:t>
        </w:r>
        <w:r>
          <w:rPr>
            <w:b/>
            <w:sz w:val="22"/>
          </w:rPr>
          <w:t>eléctrica</w:t>
        </w:r>
        <w:r>
          <w:rPr>
            <w:rFonts w:ascii="Calibri" w:hAnsi="Calibri"/>
            <w:sz w:val="22"/>
          </w:rPr>
          <w:tab/>
          <w:t>62</w:t>
        </w:r>
      </w:hyperlink>
    </w:p>
    <w:p>
      <w:pPr>
        <w:tabs>
          <w:tab w:pos="8681" w:val="left" w:leader="dot"/>
        </w:tabs>
        <w:spacing w:before="120"/>
        <w:ind w:left="561" w:right="0" w:firstLine="0"/>
        <w:jc w:val="left"/>
        <w:rPr>
          <w:rFonts w:ascii="Calibri"/>
          <w:sz w:val="22"/>
        </w:rPr>
      </w:pPr>
      <w:hyperlink w:history="true" w:anchor="_bookmark33">
        <w:r>
          <w:rPr>
            <w:b/>
            <w:sz w:val="22"/>
          </w:rPr>
          <w:t>Necesidades de mano de</w:t>
        </w:r>
        <w:r>
          <w:rPr>
            <w:b/>
            <w:spacing w:val="-3"/>
            <w:sz w:val="22"/>
          </w:rPr>
          <w:t> </w:t>
        </w:r>
        <w:r>
          <w:rPr>
            <w:b/>
            <w:sz w:val="22"/>
          </w:rPr>
          <w:t>obra</w:t>
        </w:r>
        <w:r>
          <w:rPr>
            <w:b/>
            <w:spacing w:val="-2"/>
            <w:sz w:val="22"/>
          </w:rPr>
          <w:t> </w:t>
        </w:r>
        <w:r>
          <w:rPr>
            <w:b/>
            <w:spacing w:val="-3"/>
            <w:sz w:val="22"/>
          </w:rPr>
          <w:t>(MO)</w:t>
        </w:r>
        <w:r>
          <w:rPr>
            <w:rFonts w:ascii="Calibri"/>
            <w:spacing w:val="-3"/>
            <w:sz w:val="22"/>
          </w:rPr>
          <w:tab/>
        </w:r>
        <w:r>
          <w:rPr>
            <w:rFonts w:ascii="Calibri"/>
            <w:sz w:val="22"/>
          </w:rPr>
          <w:t>63</w:t>
        </w:r>
      </w:hyperlink>
    </w:p>
    <w:p>
      <w:pPr>
        <w:tabs>
          <w:tab w:pos="8681" w:val="left" w:leader="dot"/>
        </w:tabs>
        <w:spacing w:before="120"/>
        <w:ind w:left="561" w:right="0" w:firstLine="0"/>
        <w:jc w:val="left"/>
        <w:rPr>
          <w:rFonts w:ascii="Calibri" w:hAnsi="Calibri"/>
          <w:sz w:val="22"/>
        </w:rPr>
      </w:pPr>
      <w:hyperlink w:history="true" w:anchor="_bookmark34">
        <w:r>
          <w:rPr>
            <w:b/>
            <w:sz w:val="22"/>
          </w:rPr>
          <w:t>Estimación de costo operativo</w:t>
        </w:r>
        <w:r>
          <w:rPr>
            <w:b/>
            <w:spacing w:val="-10"/>
            <w:sz w:val="22"/>
          </w:rPr>
          <w:t> </w:t>
        </w:r>
        <w:r>
          <w:rPr>
            <w:b/>
            <w:sz w:val="22"/>
          </w:rPr>
          <w:t>de</w:t>
        </w:r>
        <w:r>
          <w:rPr>
            <w:b/>
            <w:spacing w:val="-1"/>
            <w:sz w:val="22"/>
          </w:rPr>
          <w:t> </w:t>
        </w:r>
        <w:r>
          <w:rPr>
            <w:b/>
            <w:sz w:val="22"/>
          </w:rPr>
          <w:t>producción</w:t>
        </w:r>
        <w:r>
          <w:rPr>
            <w:rFonts w:ascii="Calibri" w:hAnsi="Calibri"/>
            <w:sz w:val="22"/>
          </w:rPr>
          <w:tab/>
          <w:t>64</w:t>
        </w:r>
      </w:hyperlink>
    </w:p>
    <w:p>
      <w:pPr>
        <w:tabs>
          <w:tab w:pos="8681" w:val="left" w:leader="dot"/>
        </w:tabs>
        <w:spacing w:before="120"/>
        <w:ind w:left="340" w:right="0" w:firstLine="0"/>
        <w:jc w:val="left"/>
        <w:rPr>
          <w:rFonts w:ascii="Calibri"/>
          <w:sz w:val="22"/>
        </w:rPr>
      </w:pPr>
      <w:hyperlink w:history="true" w:anchor="_bookmark35">
        <w:r>
          <w:rPr>
            <w:b/>
            <w:sz w:val="22"/>
          </w:rPr>
          <w:t>Estudio</w:t>
        </w:r>
        <w:r>
          <w:rPr>
            <w:b/>
            <w:spacing w:val="-4"/>
            <w:sz w:val="22"/>
          </w:rPr>
          <w:t> </w:t>
        </w:r>
        <w:r>
          <w:rPr>
            <w:b/>
            <w:sz w:val="22"/>
          </w:rPr>
          <w:t>administrativo</w:t>
        </w:r>
        <w:r>
          <w:rPr>
            <w:rFonts w:ascii="Calibri"/>
            <w:sz w:val="22"/>
          </w:rPr>
          <w:tab/>
          <w:t>70</w:t>
        </w:r>
      </w:hyperlink>
    </w:p>
    <w:p>
      <w:pPr>
        <w:tabs>
          <w:tab w:pos="8681" w:val="left" w:leader="dot"/>
        </w:tabs>
        <w:spacing w:before="125"/>
        <w:ind w:left="340" w:right="0" w:firstLine="0"/>
        <w:jc w:val="left"/>
        <w:rPr>
          <w:rFonts w:ascii="Calibri"/>
          <w:sz w:val="22"/>
        </w:rPr>
      </w:pPr>
      <w:hyperlink w:history="true" w:anchor="_bookmark36">
        <w:r>
          <w:rPr>
            <w:b/>
            <w:sz w:val="22"/>
          </w:rPr>
          <w:t>Marco</w:t>
        </w:r>
        <w:r>
          <w:rPr>
            <w:b/>
            <w:spacing w:val="-1"/>
            <w:sz w:val="22"/>
          </w:rPr>
          <w:t> </w:t>
        </w:r>
        <w:r>
          <w:rPr>
            <w:b/>
            <w:sz w:val="22"/>
          </w:rPr>
          <w:t>legal</w:t>
        </w:r>
        <w:r>
          <w:rPr>
            <w:rFonts w:ascii="Calibri"/>
            <w:sz w:val="22"/>
          </w:rPr>
          <w:tab/>
          <w:t>76</w:t>
        </w:r>
      </w:hyperlink>
    </w:p>
    <w:p>
      <w:pPr>
        <w:tabs>
          <w:tab w:pos="8681" w:val="left" w:leader="dot"/>
        </w:tabs>
        <w:spacing w:before="120"/>
        <w:ind w:left="340" w:right="0" w:firstLine="0"/>
        <w:jc w:val="left"/>
        <w:rPr>
          <w:rFonts w:ascii="Calibri"/>
          <w:sz w:val="22"/>
        </w:rPr>
      </w:pPr>
      <w:hyperlink w:history="true" w:anchor="_bookmark37">
        <w:r>
          <w:rPr>
            <w:b/>
            <w:sz w:val="22"/>
          </w:rPr>
          <w:t>Impacto</w:t>
        </w:r>
        <w:r>
          <w:rPr>
            <w:b/>
            <w:spacing w:val="-4"/>
            <w:sz w:val="22"/>
          </w:rPr>
          <w:t> </w:t>
        </w:r>
        <w:r>
          <w:rPr>
            <w:b/>
            <w:sz w:val="22"/>
          </w:rPr>
          <w:t>ambiental</w:t>
        </w:r>
        <w:r>
          <w:rPr>
            <w:rFonts w:ascii="Calibri"/>
            <w:sz w:val="22"/>
          </w:rPr>
          <w:tab/>
          <w:t>78</w:t>
        </w:r>
      </w:hyperlink>
    </w:p>
    <w:p>
      <w:pPr>
        <w:pStyle w:val="ListParagraph"/>
        <w:numPr>
          <w:ilvl w:val="1"/>
          <w:numId w:val="3"/>
        </w:numPr>
        <w:tabs>
          <w:tab w:pos="489" w:val="left" w:leader="none"/>
          <w:tab w:pos="8681" w:val="left" w:leader="dot"/>
        </w:tabs>
        <w:spacing w:line="240" w:lineRule="auto" w:before="120" w:after="0"/>
        <w:ind w:left="488" w:right="0" w:hanging="369"/>
        <w:jc w:val="left"/>
        <w:rPr>
          <w:sz w:val="22"/>
        </w:rPr>
      </w:pPr>
      <w:hyperlink w:history="true" w:anchor="_bookmark38">
        <w:r>
          <w:rPr>
            <w:sz w:val="22"/>
          </w:rPr>
          <w:t>ESTUDIO</w:t>
        </w:r>
        <w:r>
          <w:rPr>
            <w:spacing w:val="-2"/>
            <w:sz w:val="22"/>
          </w:rPr>
          <w:t> </w:t>
        </w:r>
        <w:r>
          <w:rPr>
            <w:sz w:val="22"/>
          </w:rPr>
          <w:t>FINANCIERO</w:t>
        </w:r>
        <w:r>
          <w:rPr>
            <w:rFonts w:ascii="Calibri"/>
            <w:sz w:val="22"/>
          </w:rPr>
          <w:tab/>
          <w:t>80</w:t>
        </w:r>
      </w:hyperlink>
    </w:p>
    <w:p>
      <w:pPr>
        <w:tabs>
          <w:tab w:pos="8681" w:val="left" w:leader="dot"/>
        </w:tabs>
        <w:spacing w:before="121"/>
        <w:ind w:left="340" w:right="0" w:firstLine="0"/>
        <w:jc w:val="left"/>
        <w:rPr>
          <w:rFonts w:ascii="Calibri"/>
          <w:sz w:val="22"/>
        </w:rPr>
      </w:pPr>
      <w:hyperlink w:history="true" w:anchor="_bookmark39">
        <w:r>
          <w:rPr>
            <w:b/>
            <w:sz w:val="22"/>
          </w:rPr>
          <w:t>Consideraciones</w:t>
        </w:r>
        <w:r>
          <w:rPr>
            <w:b/>
            <w:spacing w:val="-5"/>
            <w:sz w:val="22"/>
          </w:rPr>
          <w:t> </w:t>
        </w:r>
        <w:r>
          <w:rPr>
            <w:b/>
            <w:sz w:val="22"/>
          </w:rPr>
          <w:t>generales</w:t>
        </w:r>
        <w:r>
          <w:rPr>
            <w:rFonts w:ascii="Calibri"/>
            <w:sz w:val="22"/>
          </w:rPr>
          <w:tab/>
          <w:t>80</w:t>
        </w:r>
      </w:hyperlink>
    </w:p>
    <w:p>
      <w:pPr>
        <w:tabs>
          <w:tab w:pos="8681" w:val="left" w:leader="dot"/>
        </w:tabs>
        <w:spacing w:before="120"/>
        <w:ind w:left="340" w:right="0" w:firstLine="0"/>
        <w:jc w:val="left"/>
        <w:rPr>
          <w:rFonts w:ascii="Calibri" w:hAnsi="Calibri"/>
          <w:sz w:val="22"/>
        </w:rPr>
      </w:pPr>
      <w:hyperlink w:history="true" w:anchor="_bookmark40">
        <w:r>
          <w:rPr>
            <w:b/>
            <w:sz w:val="22"/>
          </w:rPr>
          <w:t>El</w:t>
        </w:r>
        <w:r>
          <w:rPr>
            <w:b/>
            <w:spacing w:val="-3"/>
            <w:sz w:val="22"/>
          </w:rPr>
          <w:t> </w:t>
        </w:r>
        <w:r>
          <w:rPr>
            <w:b/>
            <w:sz w:val="22"/>
          </w:rPr>
          <w:t>año cero</w:t>
        </w:r>
        <w:r>
          <w:rPr>
            <w:rFonts w:ascii="Calibri" w:hAnsi="Calibri"/>
            <w:sz w:val="22"/>
          </w:rPr>
          <w:tab/>
          <w:t>81</w:t>
        </w:r>
      </w:hyperlink>
    </w:p>
    <w:p>
      <w:pPr>
        <w:tabs>
          <w:tab w:pos="8681" w:val="left" w:leader="dot"/>
        </w:tabs>
        <w:spacing w:before="125"/>
        <w:ind w:left="340" w:right="0" w:firstLine="0"/>
        <w:jc w:val="left"/>
        <w:rPr>
          <w:rFonts w:ascii="Calibri"/>
          <w:sz w:val="22"/>
        </w:rPr>
      </w:pPr>
      <w:hyperlink w:history="true" w:anchor="_bookmark41">
        <w:r>
          <w:rPr>
            <w:b/>
            <w:sz w:val="22"/>
          </w:rPr>
          <w:t>Punto de</w:t>
        </w:r>
        <w:r>
          <w:rPr>
            <w:b/>
            <w:spacing w:val="-5"/>
            <w:sz w:val="22"/>
          </w:rPr>
          <w:t> </w:t>
        </w:r>
        <w:r>
          <w:rPr>
            <w:b/>
            <w:sz w:val="22"/>
          </w:rPr>
          <w:t>equilibrio</w:t>
        </w:r>
        <w:r>
          <w:rPr>
            <w:b/>
            <w:spacing w:val="-2"/>
            <w:sz w:val="22"/>
          </w:rPr>
          <w:t> </w:t>
        </w:r>
        <w:r>
          <w:rPr>
            <w:b/>
            <w:sz w:val="22"/>
          </w:rPr>
          <w:t>(PE)</w:t>
        </w:r>
        <w:r>
          <w:rPr>
            <w:rFonts w:ascii="Calibri"/>
            <w:sz w:val="22"/>
          </w:rPr>
          <w:tab/>
          <w:t>87</w:t>
        </w:r>
      </w:hyperlink>
    </w:p>
    <w:p>
      <w:pPr>
        <w:tabs>
          <w:tab w:pos="8681" w:val="left" w:leader="dot"/>
        </w:tabs>
        <w:spacing w:before="120"/>
        <w:ind w:left="340" w:right="0" w:firstLine="0"/>
        <w:jc w:val="left"/>
        <w:rPr>
          <w:rFonts w:ascii="Calibri"/>
          <w:sz w:val="22"/>
        </w:rPr>
      </w:pPr>
      <w:hyperlink w:history="true" w:anchor="_bookmark42">
        <w:r>
          <w:rPr>
            <w:b/>
            <w:sz w:val="22"/>
          </w:rPr>
          <w:t>Flujo</w:t>
        </w:r>
        <w:r>
          <w:rPr>
            <w:b/>
            <w:spacing w:val="-1"/>
            <w:sz w:val="22"/>
          </w:rPr>
          <w:t> </w:t>
        </w:r>
        <w:r>
          <w:rPr>
            <w:b/>
            <w:sz w:val="22"/>
          </w:rPr>
          <w:t>del</w:t>
        </w:r>
        <w:r>
          <w:rPr>
            <w:b/>
            <w:spacing w:val="-4"/>
            <w:sz w:val="22"/>
          </w:rPr>
          <w:t> </w:t>
        </w:r>
        <w:r>
          <w:rPr>
            <w:b/>
            <w:sz w:val="22"/>
          </w:rPr>
          <w:t>proyecto</w:t>
        </w:r>
        <w:r>
          <w:rPr>
            <w:rFonts w:ascii="Calibri"/>
            <w:sz w:val="22"/>
          </w:rPr>
          <w:tab/>
          <w:t>88</w:t>
        </w:r>
      </w:hyperlink>
    </w:p>
    <w:p>
      <w:pPr>
        <w:pStyle w:val="ListParagraph"/>
        <w:numPr>
          <w:ilvl w:val="1"/>
          <w:numId w:val="3"/>
        </w:numPr>
        <w:tabs>
          <w:tab w:pos="489" w:val="left" w:leader="none"/>
          <w:tab w:pos="8681" w:val="left" w:leader="dot"/>
        </w:tabs>
        <w:spacing w:line="240" w:lineRule="auto" w:before="120" w:after="0"/>
        <w:ind w:left="488" w:right="0" w:hanging="369"/>
        <w:jc w:val="left"/>
        <w:rPr>
          <w:sz w:val="22"/>
        </w:rPr>
      </w:pPr>
      <w:hyperlink w:history="true" w:anchor="_bookmark43">
        <w:r>
          <w:rPr>
            <w:sz w:val="22"/>
          </w:rPr>
          <w:t>EVALUACIÓN DEL PROYECTO DE ENGORDA</w:t>
        </w:r>
        <w:r>
          <w:rPr>
            <w:spacing w:val="-18"/>
            <w:sz w:val="22"/>
          </w:rPr>
          <w:t> </w:t>
        </w:r>
        <w:r>
          <w:rPr>
            <w:sz w:val="22"/>
          </w:rPr>
          <w:t>EN</w:t>
        </w:r>
        <w:r>
          <w:rPr>
            <w:spacing w:val="-3"/>
            <w:sz w:val="22"/>
          </w:rPr>
          <w:t> </w:t>
        </w:r>
        <w:r>
          <w:rPr>
            <w:sz w:val="22"/>
          </w:rPr>
          <w:t>CORRAL</w:t>
        </w:r>
        <w:r>
          <w:rPr>
            <w:rFonts w:ascii="Calibri" w:hAnsi="Calibri"/>
            <w:sz w:val="22"/>
          </w:rPr>
          <w:tab/>
          <w:t>90</w:t>
        </w:r>
      </w:hyperlink>
    </w:p>
    <w:p>
      <w:pPr>
        <w:tabs>
          <w:tab w:pos="8681" w:val="left" w:leader="dot"/>
        </w:tabs>
        <w:spacing w:before="120"/>
        <w:ind w:left="340" w:right="0" w:firstLine="0"/>
        <w:jc w:val="left"/>
        <w:rPr>
          <w:rFonts w:ascii="Calibri" w:hAnsi="Calibri"/>
          <w:sz w:val="22"/>
        </w:rPr>
      </w:pPr>
      <w:hyperlink w:history="true" w:anchor="_bookmark44">
        <w:r>
          <w:rPr>
            <w:b/>
            <w:sz w:val="22"/>
          </w:rPr>
          <w:t>Interpretación de indicadores</w:t>
        </w:r>
        <w:r>
          <w:rPr>
            <w:b/>
            <w:spacing w:val="-8"/>
            <w:sz w:val="22"/>
          </w:rPr>
          <w:t> </w:t>
        </w:r>
        <w:r>
          <w:rPr>
            <w:b/>
            <w:sz w:val="22"/>
          </w:rPr>
          <w:t>de</w:t>
        </w:r>
        <w:r>
          <w:rPr>
            <w:b/>
            <w:spacing w:val="-6"/>
            <w:sz w:val="22"/>
          </w:rPr>
          <w:t> </w:t>
        </w:r>
        <w:r>
          <w:rPr>
            <w:b/>
            <w:sz w:val="22"/>
          </w:rPr>
          <w:t>rentabilidad</w:t>
        </w:r>
        <w:r>
          <w:rPr>
            <w:rFonts w:ascii="Calibri" w:hAnsi="Calibri"/>
            <w:sz w:val="22"/>
          </w:rPr>
          <w:tab/>
          <w:t>91</w:t>
        </w:r>
      </w:hyperlink>
    </w:p>
    <w:p>
      <w:pPr>
        <w:tabs>
          <w:tab w:pos="8681" w:val="left" w:leader="dot"/>
        </w:tabs>
        <w:spacing w:before="125"/>
        <w:ind w:left="561" w:right="0" w:firstLine="0"/>
        <w:jc w:val="left"/>
        <w:rPr>
          <w:rFonts w:ascii="Calibri"/>
          <w:sz w:val="22"/>
        </w:rPr>
      </w:pPr>
      <w:hyperlink w:history="true" w:anchor="_bookmark45">
        <w:r>
          <w:rPr>
            <w:b/>
            <w:sz w:val="22"/>
          </w:rPr>
          <w:t>El Valor</w:t>
        </w:r>
        <w:r>
          <w:rPr>
            <w:b/>
            <w:spacing w:val="-7"/>
            <w:sz w:val="22"/>
          </w:rPr>
          <w:t> </w:t>
        </w:r>
        <w:r>
          <w:rPr>
            <w:b/>
            <w:sz w:val="22"/>
          </w:rPr>
          <w:t>Actual</w:t>
        </w:r>
        <w:r>
          <w:rPr>
            <w:b/>
            <w:spacing w:val="-1"/>
            <w:sz w:val="22"/>
          </w:rPr>
          <w:t> </w:t>
        </w:r>
        <w:r>
          <w:rPr>
            <w:b/>
            <w:sz w:val="22"/>
          </w:rPr>
          <w:t>Neto</w:t>
        </w:r>
        <w:r>
          <w:rPr>
            <w:rFonts w:ascii="Calibri"/>
            <w:sz w:val="22"/>
          </w:rPr>
          <w:tab/>
          <w:t>92</w:t>
        </w:r>
      </w:hyperlink>
    </w:p>
    <w:p>
      <w:pPr>
        <w:tabs>
          <w:tab w:pos="8681" w:val="left" w:leader="dot"/>
        </w:tabs>
        <w:spacing w:before="120"/>
        <w:ind w:left="561" w:right="0" w:firstLine="0"/>
        <w:jc w:val="left"/>
        <w:rPr>
          <w:rFonts w:ascii="Calibri"/>
          <w:sz w:val="22"/>
        </w:rPr>
      </w:pPr>
      <w:hyperlink w:history="true" w:anchor="_bookmark46">
        <w:r>
          <w:rPr>
            <w:b/>
            <w:sz w:val="22"/>
          </w:rPr>
          <w:t>La Tasa de</w:t>
        </w:r>
        <w:r>
          <w:rPr>
            <w:b/>
            <w:spacing w:val="-7"/>
            <w:sz w:val="22"/>
          </w:rPr>
          <w:t> </w:t>
        </w:r>
        <w:r>
          <w:rPr>
            <w:b/>
            <w:sz w:val="22"/>
          </w:rPr>
          <w:t>Rentabilidad</w:t>
        </w:r>
        <w:r>
          <w:rPr>
            <w:b/>
            <w:spacing w:val="-2"/>
            <w:sz w:val="22"/>
          </w:rPr>
          <w:t> </w:t>
        </w:r>
        <w:r>
          <w:rPr>
            <w:b/>
            <w:sz w:val="22"/>
          </w:rPr>
          <w:t>Financiera</w:t>
        </w:r>
        <w:r>
          <w:rPr>
            <w:rFonts w:ascii="Calibri"/>
            <w:sz w:val="22"/>
          </w:rPr>
          <w:tab/>
          <w:t>92</w:t>
        </w:r>
      </w:hyperlink>
    </w:p>
    <w:p>
      <w:pPr>
        <w:tabs>
          <w:tab w:pos="8681" w:val="left" w:leader="dot"/>
        </w:tabs>
        <w:spacing w:before="120"/>
        <w:ind w:left="561" w:right="0" w:firstLine="0"/>
        <w:jc w:val="left"/>
        <w:rPr>
          <w:rFonts w:ascii="Calibri"/>
          <w:sz w:val="22"/>
        </w:rPr>
      </w:pPr>
      <w:hyperlink w:history="true" w:anchor="_bookmark47">
        <w:r>
          <w:rPr>
            <w:b/>
            <w:sz w:val="22"/>
          </w:rPr>
          <w:t>La Tasa Verdadera</w:t>
        </w:r>
        <w:r>
          <w:rPr>
            <w:b/>
            <w:spacing w:val="-13"/>
            <w:sz w:val="22"/>
          </w:rPr>
          <w:t> </w:t>
        </w:r>
        <w:r>
          <w:rPr>
            <w:b/>
            <w:sz w:val="22"/>
          </w:rPr>
          <w:t>de Rentabilidad</w:t>
        </w:r>
        <w:r>
          <w:rPr>
            <w:rFonts w:ascii="Calibri"/>
            <w:sz w:val="22"/>
          </w:rPr>
          <w:tab/>
          <w:t>93</w:t>
        </w:r>
      </w:hyperlink>
    </w:p>
    <w:p>
      <w:pPr>
        <w:tabs>
          <w:tab w:pos="8681" w:val="left" w:leader="dot"/>
        </w:tabs>
        <w:spacing w:before="120"/>
        <w:ind w:left="561" w:right="0" w:firstLine="0"/>
        <w:jc w:val="left"/>
        <w:rPr>
          <w:rFonts w:ascii="Calibri" w:hAnsi="Calibri"/>
          <w:sz w:val="22"/>
        </w:rPr>
      </w:pPr>
      <w:hyperlink w:history="true" w:anchor="_bookmark48">
        <w:r>
          <w:rPr>
            <w:b/>
            <w:sz w:val="22"/>
          </w:rPr>
          <w:t>El Retorno Sobre</w:t>
        </w:r>
        <w:r>
          <w:rPr>
            <w:b/>
            <w:spacing w:val="-9"/>
            <w:sz w:val="22"/>
          </w:rPr>
          <w:t> </w:t>
        </w:r>
        <w:r>
          <w:rPr>
            <w:b/>
            <w:sz w:val="22"/>
          </w:rPr>
          <w:t>la</w:t>
        </w:r>
        <w:r>
          <w:rPr>
            <w:b/>
            <w:spacing w:val="-1"/>
            <w:sz w:val="22"/>
          </w:rPr>
          <w:t> </w:t>
        </w:r>
        <w:r>
          <w:rPr>
            <w:b/>
            <w:sz w:val="22"/>
          </w:rPr>
          <w:t>Inversión</w:t>
        </w:r>
        <w:r>
          <w:rPr>
            <w:rFonts w:ascii="Calibri" w:hAnsi="Calibri"/>
            <w:sz w:val="22"/>
          </w:rPr>
          <w:tab/>
          <w:t>93</w:t>
        </w:r>
      </w:hyperlink>
    </w:p>
    <w:p>
      <w:pPr>
        <w:tabs>
          <w:tab w:pos="8681" w:val="left" w:leader="dot"/>
        </w:tabs>
        <w:spacing w:before="120"/>
        <w:ind w:left="561" w:right="0" w:firstLine="0"/>
        <w:jc w:val="left"/>
        <w:rPr>
          <w:rFonts w:ascii="Calibri" w:hAnsi="Calibri"/>
          <w:sz w:val="22"/>
        </w:rPr>
      </w:pPr>
      <w:hyperlink w:history="true" w:anchor="_bookmark49">
        <w:r>
          <w:rPr>
            <w:b/>
            <w:sz w:val="22"/>
          </w:rPr>
          <w:t>El Índice</w:t>
        </w:r>
        <w:r>
          <w:rPr>
            <w:b/>
            <w:spacing w:val="-6"/>
            <w:sz w:val="22"/>
          </w:rPr>
          <w:t> </w:t>
        </w:r>
        <w:r>
          <w:rPr>
            <w:b/>
            <w:sz w:val="22"/>
          </w:rPr>
          <w:t>de</w:t>
        </w:r>
        <w:r>
          <w:rPr>
            <w:b/>
            <w:spacing w:val="-1"/>
            <w:sz w:val="22"/>
          </w:rPr>
          <w:t> </w:t>
        </w:r>
        <w:r>
          <w:rPr>
            <w:b/>
            <w:sz w:val="22"/>
          </w:rPr>
          <w:t>Deseabilidad</w:t>
        </w:r>
        <w:r>
          <w:rPr>
            <w:rFonts w:ascii="Calibri" w:hAnsi="Calibri"/>
            <w:sz w:val="22"/>
          </w:rPr>
          <w:tab/>
          <w:t>93</w:t>
        </w:r>
      </w:hyperlink>
    </w:p>
    <w:p>
      <w:pPr>
        <w:tabs>
          <w:tab w:pos="8681" w:val="left" w:leader="dot"/>
        </w:tabs>
        <w:spacing w:before="125"/>
        <w:ind w:left="561" w:right="0" w:firstLine="0"/>
        <w:jc w:val="left"/>
        <w:rPr>
          <w:rFonts w:ascii="Calibri" w:hAnsi="Calibri"/>
          <w:sz w:val="22"/>
        </w:rPr>
      </w:pPr>
      <w:hyperlink w:history="true" w:anchor="_bookmark50">
        <w:r>
          <w:rPr>
            <w:b/>
            <w:sz w:val="22"/>
          </w:rPr>
          <w:t>EL Periodo</w:t>
        </w:r>
        <w:r>
          <w:rPr>
            <w:b/>
            <w:spacing w:val="-5"/>
            <w:sz w:val="22"/>
          </w:rPr>
          <w:t> </w:t>
        </w:r>
        <w:r>
          <w:rPr>
            <w:b/>
            <w:sz w:val="22"/>
          </w:rPr>
          <w:t>de</w:t>
        </w:r>
        <w:r>
          <w:rPr>
            <w:b/>
            <w:spacing w:val="-1"/>
            <w:sz w:val="22"/>
          </w:rPr>
          <w:t> </w:t>
        </w:r>
        <w:r>
          <w:rPr>
            <w:b/>
            <w:sz w:val="22"/>
          </w:rPr>
          <w:t>Recuperación</w:t>
        </w:r>
        <w:r>
          <w:rPr>
            <w:rFonts w:ascii="Calibri" w:hAnsi="Calibri"/>
            <w:sz w:val="22"/>
          </w:rPr>
          <w:tab/>
          <w:t>93</w:t>
        </w:r>
      </w:hyperlink>
    </w:p>
    <w:p>
      <w:pPr>
        <w:pStyle w:val="ListParagraph"/>
        <w:numPr>
          <w:ilvl w:val="0"/>
          <w:numId w:val="1"/>
        </w:numPr>
        <w:tabs>
          <w:tab w:pos="561" w:val="left" w:leader="none"/>
          <w:tab w:pos="562" w:val="left" w:leader="none"/>
          <w:tab w:pos="8681" w:val="left" w:leader="dot"/>
        </w:tabs>
        <w:spacing w:line="240" w:lineRule="auto" w:before="120" w:after="0"/>
        <w:ind w:left="561" w:right="0" w:hanging="442"/>
        <w:jc w:val="left"/>
        <w:rPr>
          <w:rFonts w:ascii="Calibri"/>
          <w:sz w:val="22"/>
        </w:rPr>
      </w:pPr>
      <w:hyperlink w:history="true" w:anchor="_bookmark51">
        <w:r>
          <w:rPr>
            <w:sz w:val="22"/>
          </w:rPr>
          <w:t>CONCLUSIONES</w:t>
        </w:r>
        <w:r>
          <w:rPr>
            <w:rFonts w:ascii="Calibri"/>
            <w:sz w:val="22"/>
          </w:rPr>
          <w:tab/>
          <w:t>95</w:t>
        </w:r>
      </w:hyperlink>
    </w:p>
    <w:p>
      <w:pPr>
        <w:pStyle w:val="ListParagraph"/>
        <w:numPr>
          <w:ilvl w:val="0"/>
          <w:numId w:val="1"/>
        </w:numPr>
        <w:tabs>
          <w:tab w:pos="782" w:val="left" w:leader="none"/>
          <w:tab w:pos="783" w:val="left" w:leader="none"/>
          <w:tab w:pos="8681" w:val="left" w:leader="dot"/>
        </w:tabs>
        <w:spacing w:line="240" w:lineRule="auto" w:before="121" w:after="0"/>
        <w:ind w:left="782" w:right="0" w:hanging="663"/>
        <w:jc w:val="left"/>
        <w:rPr>
          <w:rFonts w:ascii="Calibri"/>
          <w:sz w:val="22"/>
        </w:rPr>
      </w:pPr>
      <w:hyperlink w:history="true" w:anchor="_bookmark52">
        <w:r>
          <w:rPr>
            <w:sz w:val="22"/>
          </w:rPr>
          <w:t>RECOMENDACIONES</w:t>
        </w:r>
        <w:r>
          <w:rPr>
            <w:rFonts w:ascii="Calibri"/>
            <w:sz w:val="22"/>
          </w:rPr>
          <w:tab/>
          <w:t>96</w:t>
        </w:r>
      </w:hyperlink>
    </w:p>
    <w:p>
      <w:pPr>
        <w:pStyle w:val="ListParagraph"/>
        <w:numPr>
          <w:ilvl w:val="0"/>
          <w:numId w:val="4"/>
        </w:numPr>
        <w:tabs>
          <w:tab w:pos="782" w:val="left" w:leader="none"/>
          <w:tab w:pos="783" w:val="left" w:leader="none"/>
          <w:tab w:pos="8681" w:val="left" w:leader="dot"/>
        </w:tabs>
        <w:spacing w:line="240" w:lineRule="auto" w:before="120" w:after="0"/>
        <w:ind w:left="782" w:right="0" w:hanging="663"/>
        <w:jc w:val="left"/>
        <w:rPr>
          <w:rFonts w:ascii="Calibri" w:hAnsi="Calibri"/>
          <w:sz w:val="22"/>
        </w:rPr>
      </w:pPr>
      <w:hyperlink w:history="true" w:anchor="_bookmark53">
        <w:r>
          <w:rPr>
            <w:sz w:val="22"/>
          </w:rPr>
          <w:t>BIBLIOGRAFÍA</w:t>
        </w:r>
        <w:r>
          <w:rPr>
            <w:spacing w:val="-3"/>
            <w:sz w:val="22"/>
          </w:rPr>
          <w:t> </w:t>
        </w:r>
        <w:r>
          <w:rPr>
            <w:sz w:val="22"/>
          </w:rPr>
          <w:t>CONSULTADA</w:t>
        </w:r>
        <w:r>
          <w:rPr>
            <w:rFonts w:ascii="Calibri" w:hAnsi="Calibri"/>
            <w:sz w:val="22"/>
          </w:rPr>
          <w:tab/>
          <w:t>97</w:t>
        </w:r>
      </w:hyperlink>
    </w:p>
    <w:p>
      <w:pPr>
        <w:spacing w:after="0" w:line="240" w:lineRule="auto"/>
        <w:jc w:val="left"/>
        <w:rPr>
          <w:rFonts w:ascii="Calibri" w:hAnsi="Calibri"/>
          <w:sz w:val="22"/>
        </w:rPr>
        <w:sectPr>
          <w:pgSz w:w="12240" w:h="15840"/>
          <w:pgMar w:header="0" w:footer="1180" w:top="1360" w:bottom="1380" w:left="1580" w:right="1440"/>
        </w:sectPr>
      </w:pPr>
    </w:p>
    <w:p>
      <w:pPr>
        <w:pStyle w:val="Heading1"/>
        <w:numPr>
          <w:ilvl w:val="1"/>
          <w:numId w:val="4"/>
        </w:numPr>
        <w:tabs>
          <w:tab w:pos="4129" w:val="left" w:leader="none"/>
          <w:tab w:pos="4130" w:val="left" w:leader="none"/>
        </w:tabs>
        <w:spacing w:line="240" w:lineRule="auto" w:before="48" w:after="0"/>
        <w:ind w:left="4129" w:right="0" w:hanging="720"/>
        <w:jc w:val="left"/>
      </w:pPr>
      <w:bookmarkStart w:name="_bookmark0" w:id="1"/>
      <w:bookmarkEnd w:id="1"/>
      <w:r>
        <w:rPr>
          <w:b w:val="0"/>
        </w:rPr>
      </w:r>
      <w:bookmarkStart w:name="_bookmark0" w:id="2"/>
      <w:bookmarkEnd w:id="2"/>
      <w:r>
        <w:rPr/>
        <w:t>IN</w:t>
      </w:r>
      <w:r>
        <w:rPr/>
        <w:t>TRODUCCIÓN</w:t>
      </w:r>
    </w:p>
    <w:p>
      <w:pPr>
        <w:pStyle w:val="BodyText"/>
        <w:rPr>
          <w:b/>
          <w:sz w:val="28"/>
        </w:rPr>
      </w:pPr>
    </w:p>
    <w:p>
      <w:pPr>
        <w:pStyle w:val="BodyText"/>
        <w:spacing w:line="360" w:lineRule="auto" w:before="190"/>
        <w:ind w:left="119" w:right="113"/>
        <w:jc w:val="both"/>
      </w:pPr>
      <w:r>
        <w:rPr/>
        <w:t>En México, la producción de bovinos para carne y leche, independientemente del sistema de producción bajo el cual se realice, se considera como la segunda actividad pecuaria de importancia, después de las aves, tanto por el valor  que genera, como por el volumen de carne producido y los empleos que utiliza (Rebollar et al., 2011; SIAP, 2015). Los productos principales de este tipo de ganadería se obtienen durante todo el año, por ejemplo, en el sureste mexicano (Veracruz y Tabasco), es característica la producción de carne bajo sistemas baca-becerro y son entidades cuyos productores, completamente, integrados, envían animales para abasto a los rastros del centro del país y para engordas del norte, para ser sacrificados en instalaciones TIF (Tipo Inspección</w:t>
      </w:r>
      <w:r>
        <w:rPr>
          <w:spacing w:val="-16"/>
        </w:rPr>
        <w:t> </w:t>
      </w:r>
      <w:r>
        <w:rPr/>
        <w:t>Federal).</w:t>
      </w:r>
    </w:p>
    <w:p>
      <w:pPr>
        <w:pStyle w:val="BodyText"/>
      </w:pPr>
    </w:p>
    <w:p>
      <w:pPr>
        <w:pStyle w:val="BodyText"/>
        <w:spacing w:line="360" w:lineRule="auto" w:before="144"/>
        <w:ind w:left="119" w:right="128"/>
        <w:jc w:val="both"/>
      </w:pPr>
      <w:r>
        <w:rPr/>
        <w:t>Sin embargo, al considerar la temporalidad de la producción de ganado de carne, el año oferta define dos momentos productivos importantes, uno de ellos se da en la época de lluvias y el segundo en la época de secas o periodo de estiaje (Puebla et al 2013; Puebla et al., 2014).</w:t>
      </w:r>
    </w:p>
    <w:p>
      <w:pPr>
        <w:pStyle w:val="BodyText"/>
      </w:pPr>
    </w:p>
    <w:p>
      <w:pPr>
        <w:pStyle w:val="BodyText"/>
        <w:spacing w:line="360" w:lineRule="auto" w:before="144"/>
        <w:ind w:left="119" w:right="111"/>
        <w:jc w:val="both"/>
      </w:pPr>
      <w:r>
        <w:rPr/>
        <w:t>En el primero, se produce carne y leche a bajos costos debido a disponibilidad de forraje (Piedra et al., 2011), tanto en potreros como en agostaderos donde pastan los animales (Reyes et al., 2014), pero, generalmente, no es usual las engordas en corral; el segundo, caracteriza sistemas de producción de ganado de carne bajo un sistema que es diferente al de las lluvias y se enfoca a un sistema de encierro en corral, donde el animal se alimenta en condiciones de estabulación, esto es, durante cierto periodo de tiempo, está encerrado, come todo el día alimento basado en dietas que los productores utilizan en base a su experiencia, se dispone de instalaciones rústicas, como comederos, bebederos y asignaciones de sal mineral (Rebollar et al., 2011; Hernández et al., 2011).</w:t>
      </w:r>
    </w:p>
    <w:p>
      <w:pPr>
        <w:pStyle w:val="BodyText"/>
      </w:pPr>
    </w:p>
    <w:p>
      <w:pPr>
        <w:pStyle w:val="BodyText"/>
        <w:spacing w:line="362" w:lineRule="auto" w:before="139"/>
        <w:ind w:left="119" w:right="127"/>
        <w:jc w:val="both"/>
      </w:pPr>
      <w:r>
        <w:rPr/>
        <w:t>Este periodo de estabulación en corral (Rebollar et al., 2011) es al que se hace referencia en este trabajo, debido a la insuficiencia de forraje verde en potreros por el</w:t>
      </w:r>
    </w:p>
    <w:p>
      <w:pPr>
        <w:spacing w:after="0" w:line="362" w:lineRule="auto"/>
        <w:jc w:val="both"/>
        <w:sectPr>
          <w:pgSz w:w="12240" w:h="15840"/>
          <w:pgMar w:header="0" w:footer="1180" w:top="1360" w:bottom="1380" w:left="1580" w:right="1300"/>
        </w:sectPr>
      </w:pPr>
    </w:p>
    <w:p>
      <w:pPr>
        <w:pStyle w:val="BodyText"/>
        <w:spacing w:line="360" w:lineRule="auto" w:before="52"/>
        <w:ind w:left="119" w:right="114"/>
        <w:jc w:val="both"/>
      </w:pPr>
      <w:r>
        <w:rPr/>
        <w:t>periodo de estiaje. Se aclara que no es un sistema de producción intensivo, como el que disponen grandes empresas engordadores y que, incluso, exportan ganado y carne procesada hacia otros países (Posadas et al., 2011), sino el que se utiliza, propiamente en muchas regiones de México (Guerrero, Michoacán, Jalisco, Zacatecas, Durango, Chihuahua, Nayarit), con características agroecológicas similares, como es el caso del sur del Estado de México.</w:t>
      </w:r>
    </w:p>
    <w:p>
      <w:pPr>
        <w:pStyle w:val="BodyText"/>
      </w:pPr>
    </w:p>
    <w:p>
      <w:pPr>
        <w:pStyle w:val="BodyText"/>
        <w:spacing w:line="360" w:lineRule="auto" w:before="140"/>
        <w:ind w:left="119" w:right="114"/>
        <w:jc w:val="both"/>
      </w:pPr>
      <w:r>
        <w:rPr/>
        <w:t>Por lo anterior, cada año y durante el estiaje, en el municipio de Tejupilco, Luvianos, Amatepec y Tlatlaya, </w:t>
      </w:r>
      <w:r>
        <w:rPr>
          <w:spacing w:val="-3"/>
        </w:rPr>
        <w:t>se </w:t>
      </w:r>
      <w:r>
        <w:rPr/>
        <w:t>realizan engordas en corral (Rebollar et al., 2011a; Hernández et al., 2011; Rebollar et al., 2011b), con el fin de abastecer de animales finalizados, a la demanda regional de este tipo de carne, o bien, pueden ser comercializados en plazas regionales para después introducirlos al rastro de  Tejupilco o matanzas </w:t>
      </w:r>
      <w:r>
        <w:rPr>
          <w:i/>
          <w:spacing w:val="-3"/>
        </w:rPr>
        <w:t>in </w:t>
      </w:r>
      <w:r>
        <w:rPr>
          <w:i/>
        </w:rPr>
        <w:t>si tu </w:t>
      </w:r>
      <w:r>
        <w:rPr/>
        <w:t>(Hernández et al., 2011) por algún tipo de agente y  canal de</w:t>
      </w:r>
      <w:r>
        <w:rPr>
          <w:spacing w:val="-9"/>
        </w:rPr>
        <w:t> </w:t>
      </w:r>
      <w:r>
        <w:rPr/>
        <w:t>comercialización.</w:t>
      </w:r>
    </w:p>
    <w:p>
      <w:pPr>
        <w:pStyle w:val="BodyText"/>
      </w:pPr>
    </w:p>
    <w:p>
      <w:pPr>
        <w:pStyle w:val="BodyText"/>
        <w:spacing w:line="360" w:lineRule="auto" w:before="140"/>
        <w:ind w:left="119" w:right="110"/>
        <w:jc w:val="both"/>
      </w:pPr>
      <w:r>
        <w:rPr/>
        <w:t>Sin embargo, de lo publicado, existe poca evidencia (Posadas et al., 2011; Rebollar et al., 2011b) que enfatiza tanto a la engorda en corral </w:t>
      </w:r>
      <w:r>
        <w:rPr>
          <w:spacing w:val="-4"/>
        </w:rPr>
        <w:t>como </w:t>
      </w:r>
      <w:r>
        <w:rPr/>
        <w:t>en la contabilización de costos por instalaciones, alimentación, mano de obra y compra de ganado, que de conocimiento sobre la rentabilidad de estos animales y bajo ese sistema. Es por </w:t>
      </w:r>
      <w:r>
        <w:rPr>
          <w:spacing w:val="4"/>
        </w:rPr>
        <w:t>ello, </w:t>
      </w:r>
      <w:r>
        <w:rPr/>
        <w:t>que en este proyecto de tesis, se hará una propuesta de inversión, bajo el método de formulación de proyectos, que brinde información detallada, bajo cualquier </w:t>
      </w:r>
      <w:r>
        <w:rPr>
          <w:spacing w:val="-3"/>
        </w:rPr>
        <w:t>tamaño  </w:t>
      </w:r>
      <w:r>
        <w:rPr/>
        <w:t>de proyecto, a quien deba tomar decisiones de inversión en esta actividad</w:t>
      </w:r>
      <w:r>
        <w:rPr>
          <w:spacing w:val="-39"/>
        </w:rPr>
        <w:t> </w:t>
      </w:r>
      <w:r>
        <w:rPr/>
        <w:t>pecuaria.</w:t>
      </w:r>
    </w:p>
    <w:p>
      <w:pPr>
        <w:spacing w:after="0" w:line="360" w:lineRule="auto"/>
        <w:jc w:val="both"/>
        <w:sectPr>
          <w:pgSz w:w="12240" w:h="15840"/>
          <w:pgMar w:header="0" w:footer="1180" w:top="1360" w:bottom="1380" w:left="1580" w:right="1300"/>
        </w:sectPr>
      </w:pPr>
    </w:p>
    <w:p>
      <w:pPr>
        <w:pStyle w:val="Heading1"/>
        <w:numPr>
          <w:ilvl w:val="1"/>
          <w:numId w:val="5"/>
        </w:numPr>
        <w:tabs>
          <w:tab w:pos="3890" w:val="left" w:leader="none"/>
        </w:tabs>
        <w:spacing w:line="240" w:lineRule="auto" w:before="48" w:after="0"/>
        <w:ind w:left="3889" w:right="0" w:hanging="461"/>
        <w:jc w:val="left"/>
      </w:pPr>
      <w:bookmarkStart w:name="_bookmark1" w:id="3"/>
      <w:bookmarkEnd w:id="3"/>
      <w:r>
        <w:rPr>
          <w:b w:val="0"/>
        </w:rPr>
      </w:r>
      <w:bookmarkStart w:name="_bookmark1" w:id="4"/>
      <w:bookmarkEnd w:id="4"/>
      <w:r>
        <w:rPr>
          <w:spacing w:val="3"/>
        </w:rPr>
        <w:t>E</w:t>
      </w:r>
      <w:r>
        <w:rPr>
          <w:spacing w:val="3"/>
        </w:rPr>
        <w:t>L</w:t>
      </w:r>
      <w:r>
        <w:rPr>
          <w:spacing w:val="-5"/>
        </w:rPr>
        <w:t> </w:t>
      </w:r>
      <w:r>
        <w:rPr/>
        <w:t>PROBLEMA</w:t>
      </w:r>
    </w:p>
    <w:p>
      <w:pPr>
        <w:pStyle w:val="BodyText"/>
        <w:spacing w:before="9"/>
        <w:rPr>
          <w:b/>
          <w:sz w:val="40"/>
        </w:rPr>
      </w:pPr>
    </w:p>
    <w:p>
      <w:pPr>
        <w:pStyle w:val="BodyText"/>
        <w:spacing w:line="360" w:lineRule="auto"/>
        <w:ind w:left="119" w:right="104"/>
        <w:jc w:val="both"/>
      </w:pPr>
      <w:r>
        <w:rPr/>
        <w:t>El sistema de engorda en corral (Rebollar et al., 2011a), con condiciones estabuladas e instalaciones rústicas, es una actividad que ha tomado relevancia en regiones, con características de climas tipo trópico semiseco, como es el caso del sur del Estado  de México, específicamente en Tejupilco, debido a una insuficiente disponibilidad de forraje verde que permita alimentar a los animales en la época de</w:t>
      </w:r>
      <w:r>
        <w:rPr>
          <w:spacing w:val="-29"/>
        </w:rPr>
        <w:t> </w:t>
      </w:r>
      <w:r>
        <w:rPr/>
        <w:t>secas.</w:t>
      </w:r>
    </w:p>
    <w:p>
      <w:pPr>
        <w:pStyle w:val="BodyText"/>
      </w:pPr>
    </w:p>
    <w:p>
      <w:pPr>
        <w:pStyle w:val="BodyText"/>
        <w:spacing w:line="360" w:lineRule="auto" w:before="140"/>
        <w:ind w:left="119" w:right="103"/>
        <w:jc w:val="both"/>
      </w:pPr>
      <w:r>
        <w:rPr/>
        <w:t>Por lo general, en esta época, el productor simplemente, si sus condiciones lo permiten, toma la decisión de meter animales a la engorda, sin realizar toda la contabilidad de sus costos y gastos y finaliza el proceso con la venta, pero sin saber, a ciencia, cierta, cuál fue su ganancia, en dinero, producto de la actividad. Varias son las razones de ello, pero la principal radica en su desconocimiento acerca ello, sin descartar dejadez o dejadencia por llevarlo a cabo, justificando su experiencia  en ello.</w:t>
      </w:r>
    </w:p>
    <w:p>
      <w:pPr>
        <w:pStyle w:val="BodyText"/>
      </w:pPr>
    </w:p>
    <w:p>
      <w:pPr>
        <w:pStyle w:val="BodyText"/>
        <w:spacing w:line="360" w:lineRule="auto" w:before="140"/>
        <w:ind w:left="119" w:right="104"/>
        <w:jc w:val="both"/>
      </w:pPr>
      <w:r>
        <w:rPr/>
        <w:t>Por ello, utilizar, adecuadamente, la metodología de formulación y evaluación de proyectos, permite, con cierta certeza, resolver el problema del riesgo en este tipo de inversiones, es decir, que con el proyecto, se permite resolver el problema de reducir el riesgo que existe en la inversión que invertir sin proyecto (Baca, 2013) y, es lo que se tratará en este trabajo de tesis.</w:t>
      </w:r>
    </w:p>
    <w:p>
      <w:pPr>
        <w:spacing w:after="0" w:line="360" w:lineRule="auto"/>
        <w:jc w:val="both"/>
        <w:sectPr>
          <w:pgSz w:w="12240" w:h="15840"/>
          <w:pgMar w:header="0" w:footer="1180" w:top="1360" w:bottom="1380" w:left="1580" w:right="1320"/>
        </w:sectPr>
      </w:pPr>
    </w:p>
    <w:p>
      <w:pPr>
        <w:pStyle w:val="Heading1"/>
        <w:numPr>
          <w:ilvl w:val="1"/>
          <w:numId w:val="5"/>
        </w:numPr>
        <w:tabs>
          <w:tab w:pos="3842" w:val="left" w:leader="none"/>
        </w:tabs>
        <w:spacing w:line="240" w:lineRule="auto" w:before="48" w:after="0"/>
        <w:ind w:left="3841" w:right="0" w:hanging="466"/>
        <w:jc w:val="left"/>
      </w:pPr>
      <w:bookmarkStart w:name="_bookmark2" w:id="5"/>
      <w:bookmarkEnd w:id="5"/>
      <w:r>
        <w:rPr>
          <w:b w:val="0"/>
        </w:rPr>
      </w:r>
      <w:bookmarkStart w:name="_bookmark2" w:id="6"/>
      <w:bookmarkEnd w:id="6"/>
      <w:r>
        <w:rPr/>
        <w:t>J</w:t>
      </w:r>
      <w:r>
        <w:rPr/>
        <w:t>USTIFICACIÓN</w:t>
      </w:r>
    </w:p>
    <w:p>
      <w:pPr>
        <w:pStyle w:val="BodyText"/>
        <w:rPr>
          <w:b/>
          <w:sz w:val="28"/>
        </w:rPr>
      </w:pPr>
    </w:p>
    <w:p>
      <w:pPr>
        <w:pStyle w:val="BodyText"/>
        <w:spacing w:line="360" w:lineRule="auto" w:before="180"/>
        <w:ind w:left="119" w:right="113"/>
        <w:jc w:val="both"/>
      </w:pPr>
      <w:r>
        <w:rPr/>
        <w:t>Toda actividad productiva y económica, sin importar el giro y el tamaño, requiere de ordenar, clasificar y jerarquizar toda su información, a fin de conocer tanto lo que se realiza, cómo, cuándo, con qué, para qué y para quién se invierte o se produce. Aquí radica la importancia de este tipo de trabajos y la buena aplicación metodológica. No es posible concebir una actividad productiva si no se sabe cuánto se gastó en total y en qué conceptos y rubros se fue tanto el costo como el gasto y cuánto se ganó por la venta del</w:t>
      </w:r>
      <w:r>
        <w:rPr>
          <w:spacing w:val="-6"/>
        </w:rPr>
        <w:t> </w:t>
      </w:r>
      <w:r>
        <w:rPr/>
        <w:t>producto.</w:t>
      </w:r>
    </w:p>
    <w:p>
      <w:pPr>
        <w:pStyle w:val="BodyText"/>
      </w:pPr>
    </w:p>
    <w:p>
      <w:pPr>
        <w:pStyle w:val="BodyText"/>
        <w:spacing w:line="360" w:lineRule="auto" w:before="139"/>
        <w:ind w:left="119" w:right="127"/>
        <w:jc w:val="both"/>
      </w:pPr>
      <w:r>
        <w:rPr/>
        <w:t>En específico, es de vital importancia que, al tomar la decisión de invertir en una actividad sectorial, como es el caso del sector primario, esto es, la ganadería bovina estabulada, el productor tiene que conocer y saber el monto total de su inversión y cuánto ganará en un plazo determinado por el proceso de producción.</w:t>
      </w:r>
    </w:p>
    <w:p>
      <w:pPr>
        <w:pStyle w:val="BodyText"/>
      </w:pPr>
    </w:p>
    <w:p>
      <w:pPr>
        <w:pStyle w:val="BodyText"/>
        <w:spacing w:line="360" w:lineRule="auto" w:before="140"/>
        <w:ind w:left="119" w:right="120"/>
        <w:jc w:val="both"/>
      </w:pPr>
      <w:r>
        <w:rPr/>
        <w:t>Antes de invertir, forzosamente, debe saber qué rubros implicarán mayor desembolso, cuál será el costo de producción y cuánto deberá producir para que, al menos su desembolso total de dinero, sea igual a su ingreso por ventas, de lo contrario, siempre habrá riesgos provenientes de la actividad. He ahí la importancia de aplicar estas metodologías en decisiones de inversión.</w:t>
      </w:r>
    </w:p>
    <w:p>
      <w:pPr>
        <w:pStyle w:val="BodyText"/>
      </w:pPr>
    </w:p>
    <w:p>
      <w:pPr>
        <w:pStyle w:val="BodyText"/>
      </w:pPr>
    </w:p>
    <w:p>
      <w:pPr>
        <w:pStyle w:val="BodyText"/>
      </w:pPr>
    </w:p>
    <w:p>
      <w:pPr>
        <w:pStyle w:val="BodyText"/>
      </w:pPr>
    </w:p>
    <w:p>
      <w:pPr>
        <w:pStyle w:val="BodyText"/>
        <w:spacing w:line="360" w:lineRule="auto" w:before="142"/>
        <w:ind w:left="830" w:right="122" w:hanging="711"/>
        <w:jc w:val="both"/>
      </w:pPr>
      <w:r>
        <w:rPr/>
        <w:t>Albarrán, P. B., García-Martínez, A., Hernández, M. J., Rebollar, R. Samuel., Rojo, R. R., Avilés, N. F., Espinoza, O. A., Esparza, J. S., Figueroa., S. A., Quintero, S. A., Bautista, N. H. y Arriaga, J. C. M. 2008.</w:t>
      </w:r>
    </w:p>
    <w:p>
      <w:pPr>
        <w:pStyle w:val="BodyText"/>
      </w:pPr>
    </w:p>
    <w:p>
      <w:pPr>
        <w:pStyle w:val="BodyText"/>
        <w:spacing w:line="362" w:lineRule="auto" w:before="140"/>
        <w:ind w:left="119" w:right="117"/>
        <w:jc w:val="both"/>
      </w:pPr>
      <w:r>
        <w:rPr/>
        <w:t>Arriaga-Jordán, C. M., Albarrán-Portillo, B., Espinoza-Ortega, A., García-Martínez, A., Castelán-Ortega. 2002.</w:t>
      </w:r>
    </w:p>
    <w:p>
      <w:pPr>
        <w:spacing w:after="0" w:line="362" w:lineRule="auto"/>
        <w:jc w:val="both"/>
        <w:sectPr>
          <w:pgSz w:w="12240" w:h="15840"/>
          <w:pgMar w:header="0" w:footer="1180" w:top="1360" w:bottom="1380" w:left="1580" w:right="1300"/>
        </w:sectPr>
      </w:pPr>
    </w:p>
    <w:p>
      <w:pPr>
        <w:pStyle w:val="Heading3"/>
        <w:numPr>
          <w:ilvl w:val="1"/>
          <w:numId w:val="5"/>
        </w:numPr>
        <w:tabs>
          <w:tab w:pos="4197" w:val="left" w:leader="none"/>
        </w:tabs>
        <w:spacing w:line="240" w:lineRule="auto" w:before="47" w:after="0"/>
        <w:ind w:left="4196" w:right="1" w:hanging="403"/>
        <w:jc w:val="center"/>
      </w:pPr>
      <w:bookmarkStart w:name="_bookmark3" w:id="7"/>
      <w:bookmarkEnd w:id="7"/>
      <w:r>
        <w:rPr>
          <w:b w:val="0"/>
        </w:rPr>
      </w:r>
      <w:bookmarkStart w:name="_bookmark3" w:id="8"/>
      <w:bookmarkEnd w:id="8"/>
      <w:r>
        <w:rPr/>
        <w:t>OBJ</w:t>
      </w:r>
      <w:r>
        <w:rPr/>
        <w:t>ETIVOS</w:t>
      </w:r>
    </w:p>
    <w:p>
      <w:pPr>
        <w:pStyle w:val="Heading2"/>
        <w:spacing w:before="142"/>
        <w:ind w:right="182"/>
        <w:jc w:val="left"/>
      </w:pPr>
      <w:bookmarkStart w:name="_bookmark4" w:id="9"/>
      <w:bookmarkEnd w:id="9"/>
      <w:r>
        <w:rPr>
          <w:b w:val="0"/>
        </w:rPr>
      </w:r>
      <w:r>
        <w:rPr/>
        <w:t>General</w:t>
      </w:r>
    </w:p>
    <w:p>
      <w:pPr>
        <w:pStyle w:val="BodyText"/>
        <w:rPr>
          <w:b/>
          <w:sz w:val="20"/>
        </w:rPr>
      </w:pPr>
    </w:p>
    <w:p>
      <w:pPr>
        <w:pStyle w:val="BodyText"/>
        <w:spacing w:before="2"/>
        <w:rPr>
          <w:b/>
          <w:sz w:val="20"/>
        </w:rPr>
      </w:pPr>
    </w:p>
    <w:p>
      <w:pPr>
        <w:pStyle w:val="BodyText"/>
        <w:spacing w:line="360" w:lineRule="auto" w:before="69"/>
        <w:ind w:left="119" w:right="127"/>
        <w:jc w:val="both"/>
      </w:pPr>
      <w:r>
        <w:rPr/>
        <w:t>Formular y evaluar una propuesta de análisis de viabilidad comercial, técnica, financiera y económica, de una engorda intensiva de bovinos carne en corral, en Almoloya de las Granadas, Estado de México.</w:t>
      </w:r>
    </w:p>
    <w:p>
      <w:pPr>
        <w:pStyle w:val="BodyText"/>
        <w:spacing w:before="9"/>
        <w:rPr>
          <w:sz w:val="35"/>
        </w:rPr>
      </w:pPr>
    </w:p>
    <w:p>
      <w:pPr>
        <w:pStyle w:val="Heading2"/>
        <w:spacing w:before="0"/>
      </w:pPr>
      <w:bookmarkStart w:name="_bookmark5" w:id="10"/>
      <w:bookmarkEnd w:id="10"/>
      <w:r>
        <w:rPr>
          <w:b w:val="0"/>
        </w:rPr>
      </w:r>
      <w:r>
        <w:rPr/>
        <w:t>Específicos</w:t>
      </w:r>
    </w:p>
    <w:p>
      <w:pPr>
        <w:pStyle w:val="BodyText"/>
        <w:rPr>
          <w:b/>
          <w:sz w:val="26"/>
        </w:rPr>
      </w:pPr>
    </w:p>
    <w:p>
      <w:pPr>
        <w:pStyle w:val="BodyText"/>
        <w:spacing w:before="5"/>
        <w:rPr>
          <w:b/>
          <w:sz w:val="20"/>
        </w:rPr>
      </w:pPr>
    </w:p>
    <w:p>
      <w:pPr>
        <w:pStyle w:val="ListParagraph"/>
        <w:numPr>
          <w:ilvl w:val="0"/>
          <w:numId w:val="6"/>
        </w:numPr>
        <w:tabs>
          <w:tab w:pos="476" w:val="left" w:leader="none"/>
        </w:tabs>
        <w:spacing w:line="350" w:lineRule="auto" w:before="0" w:after="0"/>
        <w:ind w:left="475" w:right="129" w:hanging="356"/>
        <w:jc w:val="both"/>
        <w:rPr>
          <w:rFonts w:ascii="Symbol"/>
          <w:sz w:val="24"/>
        </w:rPr>
      </w:pPr>
      <w:r>
        <w:rPr>
          <w:sz w:val="24"/>
        </w:rPr>
        <w:t>Realizar el estudio de viabilidad comercial sobre una engorda intensiva de bovinos carne, en</w:t>
      </w:r>
      <w:r>
        <w:rPr>
          <w:spacing w:val="-12"/>
          <w:sz w:val="24"/>
        </w:rPr>
        <w:t> </w:t>
      </w:r>
      <w:r>
        <w:rPr>
          <w:sz w:val="24"/>
        </w:rPr>
        <w:t>corral.</w:t>
      </w:r>
    </w:p>
    <w:p>
      <w:pPr>
        <w:pStyle w:val="ListParagraph"/>
        <w:numPr>
          <w:ilvl w:val="0"/>
          <w:numId w:val="6"/>
        </w:numPr>
        <w:tabs>
          <w:tab w:pos="476" w:val="left" w:leader="none"/>
        </w:tabs>
        <w:spacing w:line="240" w:lineRule="auto" w:before="12" w:after="0"/>
        <w:ind w:left="475" w:right="0" w:hanging="356"/>
        <w:jc w:val="both"/>
        <w:rPr>
          <w:rFonts w:ascii="Symbol" w:hAnsi="Symbol"/>
          <w:sz w:val="24"/>
        </w:rPr>
      </w:pPr>
      <w:r>
        <w:rPr>
          <w:sz w:val="24"/>
        </w:rPr>
        <w:t>Realizar el estudio de viabilidad técnica del</w:t>
      </w:r>
      <w:r>
        <w:rPr>
          <w:spacing w:val="-21"/>
          <w:sz w:val="24"/>
        </w:rPr>
        <w:t> </w:t>
      </w:r>
      <w:r>
        <w:rPr>
          <w:sz w:val="24"/>
        </w:rPr>
        <w:t>proyecto.</w:t>
      </w:r>
    </w:p>
    <w:p>
      <w:pPr>
        <w:pStyle w:val="ListParagraph"/>
        <w:numPr>
          <w:ilvl w:val="0"/>
          <w:numId w:val="6"/>
        </w:numPr>
        <w:tabs>
          <w:tab w:pos="476" w:val="left" w:leader="none"/>
        </w:tabs>
        <w:spacing w:line="357" w:lineRule="auto" w:before="138" w:after="0"/>
        <w:ind w:left="475" w:right="129" w:hanging="356"/>
        <w:jc w:val="both"/>
        <w:rPr>
          <w:rFonts w:ascii="Symbol" w:hAnsi="Symbol"/>
          <w:sz w:val="24"/>
        </w:rPr>
      </w:pPr>
      <w:r>
        <w:rPr>
          <w:sz w:val="24"/>
        </w:rPr>
        <w:t>Presentar evidencia de viabilidad financiera (inversión inicial, fuentes de financiamiento, costos de operación, depreciaciones, valores residuales, flujo de proyecto, punto de equilibrio) de la engorda en</w:t>
      </w:r>
      <w:r>
        <w:rPr>
          <w:spacing w:val="-22"/>
          <w:sz w:val="24"/>
        </w:rPr>
        <w:t> </w:t>
      </w:r>
      <w:r>
        <w:rPr>
          <w:sz w:val="24"/>
        </w:rPr>
        <w:t>corral.</w:t>
      </w:r>
    </w:p>
    <w:p>
      <w:pPr>
        <w:pStyle w:val="ListParagraph"/>
        <w:numPr>
          <w:ilvl w:val="0"/>
          <w:numId w:val="6"/>
        </w:numPr>
        <w:tabs>
          <w:tab w:pos="476" w:val="left" w:leader="none"/>
        </w:tabs>
        <w:spacing w:line="360" w:lineRule="auto" w:before="4" w:after="0"/>
        <w:ind w:left="475" w:right="116" w:hanging="356"/>
        <w:jc w:val="both"/>
        <w:rPr>
          <w:rFonts w:ascii="Symbol" w:hAnsi="Symbol"/>
          <w:sz w:val="24"/>
        </w:rPr>
      </w:pPr>
      <w:r>
        <w:rPr>
          <w:sz w:val="24"/>
        </w:rPr>
        <w:t>Dar evidencia de la evaluación del proyecto de la engorda, a través de  indicadores de rentabilidad: valor actual neto (VAN), tasa interna de retorno (TIR), periodo de recuperación (PR), retorno sobre la inversión (RSI), relación beneficio- costo (RBC) e índice de deseabilidad (ID), que permitan tomar la decisión de inversión.</w:t>
      </w:r>
    </w:p>
    <w:p>
      <w:pPr>
        <w:pStyle w:val="ListParagraph"/>
        <w:numPr>
          <w:ilvl w:val="0"/>
          <w:numId w:val="6"/>
        </w:numPr>
        <w:tabs>
          <w:tab w:pos="476" w:val="left" w:leader="none"/>
        </w:tabs>
        <w:spacing w:line="240" w:lineRule="auto" w:before="1" w:after="0"/>
        <w:ind w:left="475" w:right="0" w:hanging="356"/>
        <w:jc w:val="both"/>
        <w:rPr>
          <w:rFonts w:ascii="Symbol" w:hAnsi="Symbol"/>
          <w:sz w:val="24"/>
        </w:rPr>
      </w:pPr>
      <w:r>
        <w:rPr>
          <w:sz w:val="24"/>
        </w:rPr>
        <w:t>Emitir una recomendación técnico económico sobre resultados</w:t>
      </w:r>
      <w:r>
        <w:rPr>
          <w:spacing w:val="-21"/>
          <w:sz w:val="24"/>
        </w:rPr>
        <w:t> </w:t>
      </w:r>
      <w:r>
        <w:rPr>
          <w:sz w:val="24"/>
        </w:rPr>
        <w:t>obtenidos.</w:t>
      </w:r>
    </w:p>
    <w:p>
      <w:pPr>
        <w:spacing w:after="0" w:line="240" w:lineRule="auto"/>
        <w:jc w:val="both"/>
        <w:rPr>
          <w:rFonts w:ascii="Symbol" w:hAnsi="Symbol"/>
          <w:sz w:val="24"/>
        </w:rPr>
        <w:sectPr>
          <w:pgSz w:w="12240" w:h="15840"/>
          <w:pgMar w:header="0" w:footer="1180" w:top="1360" w:bottom="1380" w:left="1580" w:right="1300"/>
        </w:sectPr>
      </w:pPr>
    </w:p>
    <w:p>
      <w:pPr>
        <w:pStyle w:val="Heading1"/>
        <w:numPr>
          <w:ilvl w:val="1"/>
          <w:numId w:val="5"/>
        </w:numPr>
        <w:tabs>
          <w:tab w:pos="4163" w:val="left" w:leader="none"/>
        </w:tabs>
        <w:spacing w:line="240" w:lineRule="auto" w:before="48" w:after="0"/>
        <w:ind w:left="4162" w:right="0" w:hanging="460"/>
        <w:jc w:val="left"/>
      </w:pPr>
      <w:bookmarkStart w:name="_bookmark6" w:id="11"/>
      <w:bookmarkEnd w:id="11"/>
      <w:r>
        <w:rPr>
          <w:b w:val="0"/>
        </w:rPr>
      </w:r>
      <w:bookmarkStart w:name="_bookmark6" w:id="12"/>
      <w:bookmarkEnd w:id="12"/>
      <w:r>
        <w:rPr/>
        <w:t>H</w:t>
      </w:r>
      <w:r>
        <w:rPr/>
        <w:t>IPÓTESIS</w:t>
      </w:r>
    </w:p>
    <w:p>
      <w:pPr>
        <w:pStyle w:val="BodyText"/>
        <w:rPr>
          <w:b/>
          <w:sz w:val="20"/>
        </w:rPr>
      </w:pPr>
    </w:p>
    <w:p>
      <w:pPr>
        <w:pStyle w:val="BodyText"/>
        <w:spacing w:before="6"/>
        <w:rPr>
          <w:b/>
          <w:sz w:val="17"/>
        </w:rPr>
      </w:pPr>
    </w:p>
    <w:p>
      <w:pPr>
        <w:pStyle w:val="Heading2"/>
        <w:spacing w:before="67"/>
      </w:pPr>
      <w:bookmarkStart w:name="_bookmark7" w:id="13"/>
      <w:bookmarkEnd w:id="13"/>
      <w:r>
        <w:rPr>
          <w:b w:val="0"/>
        </w:rPr>
      </w:r>
      <w:r>
        <w:rPr/>
        <w:t>General</w:t>
      </w:r>
    </w:p>
    <w:p>
      <w:pPr>
        <w:pStyle w:val="BodyText"/>
        <w:rPr>
          <w:b/>
          <w:sz w:val="26"/>
        </w:rPr>
      </w:pPr>
    </w:p>
    <w:p>
      <w:pPr>
        <w:pStyle w:val="BodyText"/>
        <w:spacing w:line="360" w:lineRule="auto" w:before="189"/>
        <w:ind w:left="119" w:right="123"/>
        <w:jc w:val="both"/>
      </w:pPr>
      <w:r>
        <w:rPr/>
        <w:t>Resulta atractivo invertir, con enfoque en obtención de ganancias, en un sistema de engorda de ganado bovino, bajo condiciones de corral en Tejupilco, Estado de México, con referencia a Almoloya de las Granadas.</w:t>
      </w:r>
    </w:p>
    <w:p>
      <w:pPr>
        <w:pStyle w:val="BodyText"/>
      </w:pPr>
    </w:p>
    <w:p>
      <w:pPr>
        <w:pStyle w:val="Heading2"/>
        <w:spacing w:before="179"/>
      </w:pPr>
      <w:bookmarkStart w:name="_bookmark8" w:id="14"/>
      <w:bookmarkEnd w:id="14"/>
      <w:r>
        <w:rPr>
          <w:b w:val="0"/>
        </w:rPr>
      </w:r>
      <w:r>
        <w:rPr/>
        <w:t>Específicas</w:t>
      </w:r>
    </w:p>
    <w:p>
      <w:pPr>
        <w:pStyle w:val="BodyText"/>
        <w:spacing w:before="7"/>
        <w:rPr>
          <w:b/>
          <w:sz w:val="38"/>
        </w:rPr>
      </w:pPr>
    </w:p>
    <w:p>
      <w:pPr>
        <w:pStyle w:val="ListParagraph"/>
        <w:numPr>
          <w:ilvl w:val="0"/>
          <w:numId w:val="7"/>
        </w:numPr>
        <w:tabs>
          <w:tab w:pos="841" w:val="left" w:leader="none"/>
        </w:tabs>
        <w:spacing w:line="360" w:lineRule="auto" w:before="0" w:after="0"/>
        <w:ind w:left="840" w:right="119" w:hanging="360"/>
        <w:jc w:val="both"/>
        <w:rPr>
          <w:sz w:val="24"/>
        </w:rPr>
      </w:pPr>
      <w:r>
        <w:rPr>
          <w:sz w:val="24"/>
        </w:rPr>
        <w:t>Según la información oficial disponible, existe demanda insatisfecha y demanda potencial insatisfecha, considerando al país y a la zona de</w:t>
      </w:r>
      <w:r>
        <w:rPr>
          <w:spacing w:val="-23"/>
          <w:sz w:val="24"/>
        </w:rPr>
        <w:t> </w:t>
      </w:r>
      <w:r>
        <w:rPr>
          <w:sz w:val="24"/>
        </w:rPr>
        <w:t>estudio.</w:t>
      </w:r>
    </w:p>
    <w:p>
      <w:pPr>
        <w:pStyle w:val="ListParagraph"/>
        <w:numPr>
          <w:ilvl w:val="0"/>
          <w:numId w:val="7"/>
        </w:numPr>
        <w:tabs>
          <w:tab w:pos="841" w:val="left" w:leader="none"/>
        </w:tabs>
        <w:spacing w:line="360" w:lineRule="auto" w:before="2" w:after="0"/>
        <w:ind w:left="840" w:right="112" w:hanging="360"/>
        <w:jc w:val="both"/>
        <w:rPr>
          <w:sz w:val="24"/>
        </w:rPr>
      </w:pPr>
      <w:r>
        <w:rPr>
          <w:sz w:val="24"/>
        </w:rPr>
        <w:t>El canal de comercialización es el adecuado de acuerdo a la zona de producción y de</w:t>
      </w:r>
      <w:r>
        <w:rPr>
          <w:spacing w:val="-17"/>
          <w:sz w:val="24"/>
        </w:rPr>
        <w:t> </w:t>
      </w:r>
      <w:r>
        <w:rPr>
          <w:sz w:val="24"/>
        </w:rPr>
        <w:t>consumo.</w:t>
      </w:r>
    </w:p>
    <w:p>
      <w:pPr>
        <w:pStyle w:val="ListParagraph"/>
        <w:numPr>
          <w:ilvl w:val="0"/>
          <w:numId w:val="7"/>
        </w:numPr>
        <w:tabs>
          <w:tab w:pos="841" w:val="left" w:leader="none"/>
        </w:tabs>
        <w:spacing w:line="360" w:lineRule="auto" w:before="7" w:after="0"/>
        <w:ind w:left="840" w:right="116" w:hanging="360"/>
        <w:jc w:val="both"/>
        <w:rPr>
          <w:sz w:val="24"/>
        </w:rPr>
      </w:pPr>
      <w:r>
        <w:rPr>
          <w:sz w:val="24"/>
        </w:rPr>
        <w:t>Técnicamente, en las condiciones de la región, es posible diseñar y considerar instalaciones rústicas de corral, que permitan engordar y producir animales finalizados para el consumidor final a 95</w:t>
      </w:r>
      <w:r>
        <w:rPr>
          <w:spacing w:val="-11"/>
          <w:sz w:val="24"/>
        </w:rPr>
        <w:t> </w:t>
      </w:r>
      <w:r>
        <w:rPr>
          <w:sz w:val="24"/>
        </w:rPr>
        <w:t>días.</w:t>
      </w:r>
    </w:p>
    <w:p>
      <w:pPr>
        <w:pStyle w:val="ListParagraph"/>
        <w:numPr>
          <w:ilvl w:val="0"/>
          <w:numId w:val="7"/>
        </w:numPr>
        <w:tabs>
          <w:tab w:pos="841" w:val="left" w:leader="none"/>
        </w:tabs>
        <w:spacing w:line="362" w:lineRule="auto" w:before="2" w:after="0"/>
        <w:ind w:left="840" w:right="112" w:hanging="360"/>
        <w:jc w:val="both"/>
        <w:rPr>
          <w:sz w:val="24"/>
        </w:rPr>
      </w:pPr>
      <w:r>
        <w:rPr>
          <w:sz w:val="24"/>
        </w:rPr>
        <w:t>Es posible llevar a cabo la producción </w:t>
      </w:r>
      <w:r>
        <w:rPr>
          <w:spacing w:val="-3"/>
          <w:sz w:val="24"/>
        </w:rPr>
        <w:t>bajo </w:t>
      </w:r>
      <w:r>
        <w:rPr>
          <w:sz w:val="24"/>
        </w:rPr>
        <w:t>una forma de organización, basada en una persona física con actividad empresarial, exenta de impuestos, según la</w:t>
      </w:r>
      <w:r>
        <w:rPr>
          <w:spacing w:val="-1"/>
          <w:sz w:val="24"/>
        </w:rPr>
        <w:t> </w:t>
      </w:r>
      <w:r>
        <w:rPr>
          <w:sz w:val="24"/>
        </w:rPr>
        <w:t>Ley.</w:t>
      </w:r>
    </w:p>
    <w:p>
      <w:pPr>
        <w:pStyle w:val="ListParagraph"/>
        <w:numPr>
          <w:ilvl w:val="0"/>
          <w:numId w:val="7"/>
        </w:numPr>
        <w:tabs>
          <w:tab w:pos="841" w:val="left" w:leader="none"/>
        </w:tabs>
        <w:spacing w:line="360" w:lineRule="auto" w:before="0" w:after="0"/>
        <w:ind w:left="840" w:right="123" w:hanging="360"/>
        <w:jc w:val="both"/>
        <w:rPr>
          <w:sz w:val="24"/>
        </w:rPr>
      </w:pPr>
      <w:r>
        <w:rPr>
          <w:sz w:val="24"/>
        </w:rPr>
        <w:t>Los indicadores de rentabilidad del proyecto, cumplirán sus valores críticos y darán evidencia de rentabilidad de este negocio</w:t>
      </w:r>
      <w:r>
        <w:rPr>
          <w:spacing w:val="-20"/>
          <w:sz w:val="24"/>
        </w:rPr>
        <w:t> </w:t>
      </w:r>
      <w:r>
        <w:rPr>
          <w:sz w:val="24"/>
        </w:rPr>
        <w:t>pecuario.</w:t>
      </w:r>
    </w:p>
    <w:p>
      <w:pPr>
        <w:spacing w:after="0" w:line="360" w:lineRule="auto"/>
        <w:jc w:val="both"/>
        <w:rPr>
          <w:sz w:val="24"/>
        </w:rPr>
        <w:sectPr>
          <w:pgSz w:w="12240" w:h="15840"/>
          <w:pgMar w:header="0" w:footer="1180" w:top="1360" w:bottom="1380" w:left="1580" w:right="1300"/>
        </w:sectPr>
      </w:pPr>
    </w:p>
    <w:p>
      <w:pPr>
        <w:pStyle w:val="Heading1"/>
        <w:numPr>
          <w:ilvl w:val="1"/>
          <w:numId w:val="5"/>
        </w:numPr>
        <w:tabs>
          <w:tab w:pos="3851" w:val="left" w:leader="none"/>
        </w:tabs>
        <w:spacing w:line="240" w:lineRule="auto" w:before="48" w:after="0"/>
        <w:ind w:left="3850" w:right="0" w:hanging="460"/>
        <w:jc w:val="center"/>
      </w:pPr>
      <w:bookmarkStart w:name="_bookmark9" w:id="15"/>
      <w:bookmarkEnd w:id="15"/>
      <w:r>
        <w:rPr>
          <w:b w:val="0"/>
        </w:rPr>
      </w:r>
      <w:bookmarkStart w:name="_bookmark9" w:id="16"/>
      <w:bookmarkEnd w:id="16"/>
      <w:r>
        <w:rPr/>
        <w:t>M</w:t>
      </w:r>
      <w:r>
        <w:rPr/>
        <w:t>ETODOLOGÍA</w:t>
      </w:r>
    </w:p>
    <w:p>
      <w:pPr>
        <w:pStyle w:val="BodyText"/>
        <w:rPr>
          <w:b/>
          <w:sz w:val="28"/>
        </w:rPr>
      </w:pPr>
    </w:p>
    <w:p>
      <w:pPr>
        <w:pStyle w:val="Heading2"/>
        <w:spacing w:before="176"/>
      </w:pPr>
      <w:bookmarkStart w:name="_bookmark10" w:id="17"/>
      <w:bookmarkEnd w:id="17"/>
      <w:r>
        <w:rPr>
          <w:b w:val="0"/>
        </w:rPr>
      </w:r>
      <w:r>
        <w:rPr/>
        <w:t>Localización de la zona de estudio</w:t>
      </w:r>
    </w:p>
    <w:p>
      <w:pPr>
        <w:pStyle w:val="BodyText"/>
        <w:spacing w:before="8"/>
        <w:rPr>
          <w:b/>
          <w:sz w:val="38"/>
        </w:rPr>
      </w:pPr>
    </w:p>
    <w:p>
      <w:pPr>
        <w:pStyle w:val="BodyText"/>
        <w:spacing w:line="360" w:lineRule="auto"/>
        <w:ind w:left="119" w:right="114"/>
        <w:jc w:val="both"/>
      </w:pPr>
      <w:r>
        <w:rPr/>
        <w:t>Almoloya de las Granadas, dentro del Plan Municipal de Desarrollo del municipio de Tejupilco, se considera como uno de los pueblos, perteneciente a dicha Cabecera Municipal. Este pueblo, se caracteriza por estar en una zona de transición, entre climas templados subhúmedos y climas de trópico semiseco (Rebollar et al., 2013); con clima subhúmedo, con lluvias en verano. La precipitación rebasa los 1500 mm al año, la temperatura está entre 12 y 26 </w:t>
      </w:r>
      <w:r>
        <w:rPr>
          <w:position w:val="8"/>
          <w:sz w:val="16"/>
        </w:rPr>
        <w:t>o</w:t>
      </w:r>
      <w:r>
        <w:rPr/>
        <w:t>C al año, con una altura promedio de 1550 msnm.</w:t>
      </w:r>
    </w:p>
    <w:p>
      <w:pPr>
        <w:pStyle w:val="BodyText"/>
      </w:pPr>
    </w:p>
    <w:p>
      <w:pPr>
        <w:pStyle w:val="BodyText"/>
        <w:spacing w:line="360" w:lineRule="auto" w:before="145"/>
        <w:ind w:left="119" w:right="111"/>
        <w:jc w:val="both"/>
      </w:pPr>
      <w:r>
        <w:rPr/>
        <w:t>La agricultura del poblado se centra, básicamente, en la producción de maíz grano para autoconsumo, cuyos esquilmos se utilizan en la ganadería, principalmente, ganado de carne y en poca proporción, ganado lechero. La actividad económica principal se caracteriza por servicios: profesores, seguridad pública, empleos diversos, migración tanto interna como hacia Estados Unidos y en menor cantidad, panadería, albañilería, servicios de taxis, etc. (Rebollar et al., 2013).</w:t>
      </w:r>
    </w:p>
    <w:p>
      <w:pPr>
        <w:pStyle w:val="BodyText"/>
      </w:pPr>
    </w:p>
    <w:p>
      <w:pPr>
        <w:pStyle w:val="BodyText"/>
        <w:spacing w:line="360" w:lineRule="auto" w:before="140"/>
        <w:ind w:left="119" w:right="124"/>
        <w:jc w:val="both"/>
      </w:pPr>
      <w:r>
        <w:rPr/>
        <w:t>El proyecto de la engorda en corral, se localizará en un predio particular, donde, usualmente, se engordan y finalizan animales para abasto en Tejupilco, Estado de México.</w:t>
      </w:r>
    </w:p>
    <w:p>
      <w:pPr>
        <w:pStyle w:val="BodyText"/>
      </w:pPr>
    </w:p>
    <w:p>
      <w:pPr>
        <w:pStyle w:val="BodyText"/>
        <w:spacing w:line="360" w:lineRule="auto" w:before="140"/>
        <w:ind w:left="119" w:right="111"/>
        <w:jc w:val="both"/>
      </w:pPr>
      <w:r>
        <w:rPr/>
        <w:t>El componente de viabilidad comercial (Baca, 2013), incorporó el análisis de demanda, oferta y </w:t>
      </w:r>
      <w:r>
        <w:rPr>
          <w:spacing w:val="-3"/>
        </w:rPr>
        <w:t>su </w:t>
      </w:r>
      <w:r>
        <w:rPr/>
        <w:t>contrastación, así </w:t>
      </w:r>
      <w:r>
        <w:rPr>
          <w:spacing w:val="-3"/>
        </w:rPr>
        <w:t>como </w:t>
      </w:r>
      <w:r>
        <w:rPr/>
        <w:t>la propuesta de precio de venta y el canal de comercialización a utilizar en el momento en que haya producción  comercial. Para la demanda y oferta, fue pertinente utilizar información estadística sobre ganado de carne en canal, proveniente de fuentes secundarias (SIAP, SAGARPA, FAO, INFOASERCA). Para la demanda, entendida como consumo, se consideró la estimación del consumo nacional aparente (CNA), para el periodo</w:t>
      </w:r>
      <w:r>
        <w:rPr>
          <w:spacing w:val="27"/>
        </w:rPr>
        <w:t> </w:t>
      </w:r>
      <w:r>
        <w:rPr>
          <w:spacing w:val="2"/>
        </w:rPr>
        <w:t>2009-</w:t>
      </w:r>
    </w:p>
    <w:p>
      <w:pPr>
        <w:spacing w:after="0" w:line="360" w:lineRule="auto"/>
        <w:jc w:val="both"/>
        <w:sectPr>
          <w:pgSz w:w="12240" w:h="15840"/>
          <w:pgMar w:header="0" w:footer="1180" w:top="1360" w:bottom="1380" w:left="1580" w:right="1300"/>
        </w:sectPr>
      </w:pPr>
    </w:p>
    <w:p>
      <w:pPr>
        <w:pStyle w:val="BodyText"/>
        <w:spacing w:line="362" w:lineRule="auto" w:before="52"/>
        <w:ind w:left="119" w:right="124"/>
        <w:jc w:val="both"/>
      </w:pPr>
      <w:r>
        <w:rPr/>
        <w:t>2013. Para la oferta, se consideró la variable producción nacional, también para el mismo periodo (Baca, 2010; Sapag, 2011).</w:t>
      </w:r>
    </w:p>
    <w:p>
      <w:pPr>
        <w:pStyle w:val="BodyText"/>
        <w:spacing w:before="11"/>
        <w:rPr>
          <w:sz w:val="35"/>
        </w:rPr>
      </w:pPr>
    </w:p>
    <w:p>
      <w:pPr>
        <w:pStyle w:val="BodyText"/>
        <w:spacing w:line="360" w:lineRule="auto"/>
        <w:ind w:left="119" w:right="120"/>
        <w:jc w:val="both"/>
      </w:pPr>
      <w:r>
        <w:rPr/>
        <w:t>La contrastación se realizó por diferencia simple de demanda menos oferta proyectadas a cinco años y, se consideró a partir de que ocurra la primera producción comercial del ganado de carne</w:t>
      </w:r>
      <w:r>
        <w:rPr>
          <w:spacing w:val="-14"/>
        </w:rPr>
        <w:t> </w:t>
      </w:r>
      <w:r>
        <w:rPr/>
        <w:t>finalizado.</w:t>
      </w:r>
    </w:p>
    <w:p>
      <w:pPr>
        <w:pStyle w:val="BodyText"/>
      </w:pPr>
    </w:p>
    <w:p>
      <w:pPr>
        <w:pStyle w:val="BodyText"/>
        <w:spacing w:line="360" w:lineRule="auto" w:before="140"/>
        <w:ind w:left="119" w:right="110"/>
        <w:jc w:val="both"/>
      </w:pPr>
      <w:r>
        <w:rPr/>
        <w:t>Para realizar proyecciones tanto de oferta </w:t>
      </w:r>
      <w:r>
        <w:rPr>
          <w:spacing w:val="-3"/>
        </w:rPr>
        <w:t>como </w:t>
      </w:r>
      <w:r>
        <w:rPr/>
        <w:t>de la demanda, se utilizó el método de Mínimos Cuadrados Ordinarios (MCO) (Sapag, 2011; Rebollar y Jaramillo, </w:t>
      </w:r>
      <w:r>
        <w:rPr>
          <w:spacing w:val="2"/>
        </w:rPr>
        <w:t>2012; </w:t>
      </w:r>
      <w:r>
        <w:rPr/>
        <w:t>Baca, 2013), como apropiado, según disponibilidad y coherencia de datos estadísticos (Baca, 2013), a través de modelos de regresión univariables, esto es, la variable independiente fue el tiempo y como dependientes al CNA y producción. Asimismo, se verificó la veracidad de otros conceptos estadísticos vinculados a los modelos como la Fc, coeficiente de variación (CV) y el coeficiente de determinación R</w:t>
      </w:r>
      <w:r>
        <w:rPr>
          <w:position w:val="8"/>
          <w:sz w:val="16"/>
        </w:rPr>
        <w:t>2</w:t>
      </w:r>
      <w:r>
        <w:rPr/>
        <w:t>. En el aspecto de comercialización, se propuso un canal tradicional acordado  entre socios y el proyectista, que se utilizó para la venta del </w:t>
      </w:r>
      <w:r>
        <w:rPr>
          <w:i/>
          <w:spacing w:val="-3"/>
        </w:rPr>
        <w:t>in </w:t>
      </w:r>
      <w:r>
        <w:rPr>
          <w:i/>
        </w:rPr>
        <w:t>vivo </w:t>
      </w:r>
      <w:r>
        <w:rPr/>
        <w:t>del ganado finalizado.</w:t>
      </w:r>
    </w:p>
    <w:p>
      <w:pPr>
        <w:pStyle w:val="BodyText"/>
      </w:pPr>
    </w:p>
    <w:p>
      <w:pPr>
        <w:pStyle w:val="BodyText"/>
        <w:spacing w:line="360" w:lineRule="auto" w:before="144"/>
        <w:ind w:left="119" w:right="116"/>
        <w:jc w:val="both"/>
      </w:pPr>
      <w:r>
        <w:rPr/>
        <w:t>Con relación al análisis de precios, se utilizó y se adaptó la expresión del factor de interés compuesto con pago único (Rebollar y Jaramillo, 2012), en el afán de realizar la proyección adecuada de dicha variable según el horizonte del proyecto.</w:t>
      </w:r>
    </w:p>
    <w:p>
      <w:pPr>
        <w:pStyle w:val="BodyText"/>
      </w:pPr>
    </w:p>
    <w:p>
      <w:pPr>
        <w:pStyle w:val="BodyText"/>
        <w:spacing w:line="360" w:lineRule="auto" w:before="144"/>
        <w:ind w:left="119" w:right="115"/>
        <w:jc w:val="both"/>
      </w:pPr>
      <w:r>
        <w:rPr/>
        <w:t>En el componente de viabilidad técnica (Rodríguez </w:t>
      </w:r>
      <w:r>
        <w:rPr>
          <w:i/>
        </w:rPr>
        <w:t>et al</w:t>
      </w:r>
      <w:r>
        <w:rPr/>
        <w:t>., 2008), se consideró que el proyecto presenta ubicación adecuada, pues se dispone de carretera de terracería, agua suficiente, además de energía eléctrica y transformadores. El tamaño del proyecto se fijó en una capacidad instalada de 50 toretes por periodo de producción, que fue de dos engordas al año, en función a la disponibilidad de recursos económicos del socio o socios. Los toretes, se adquirirán, en el mismo pueblo, dependiendo de la capacidad de venta de los ganaderos, pueblos aledaños o en la plaza municipal de Luvianos, Estado de México y de razas de carne, como Cebú, Charoláis, Brahaman, Beef Master (Rebollar et al., 2011).</w:t>
      </w:r>
    </w:p>
    <w:p>
      <w:pPr>
        <w:spacing w:after="0" w:line="360" w:lineRule="auto"/>
        <w:jc w:val="both"/>
        <w:sectPr>
          <w:footerReference w:type="default" r:id="rId7"/>
          <w:pgSz w:w="12240" w:h="15840"/>
          <w:pgMar w:footer="1180" w:header="0" w:top="1360" w:bottom="1380" w:left="1580" w:right="1300"/>
        </w:sectPr>
      </w:pPr>
    </w:p>
    <w:p>
      <w:pPr>
        <w:pStyle w:val="BodyText"/>
        <w:spacing w:before="7"/>
        <w:rPr>
          <w:sz w:val="22"/>
        </w:rPr>
      </w:pPr>
    </w:p>
    <w:p>
      <w:pPr>
        <w:pStyle w:val="BodyText"/>
        <w:spacing w:line="360" w:lineRule="auto" w:before="69"/>
        <w:ind w:left="119" w:right="112"/>
        <w:jc w:val="both"/>
      </w:pPr>
      <w:r>
        <w:rPr/>
        <w:t>La tecnología de producción se centró en un sistema de engorda en corral, con alimentación </w:t>
      </w:r>
      <w:r>
        <w:rPr>
          <w:i/>
        </w:rPr>
        <w:t>ad libitum </w:t>
      </w:r>
      <w:r>
        <w:rPr/>
        <w:t>o a libre acceso y con dieta, previamente, elaborada y balanceada, que utiliza la mayoría de engordadores de la región, tomando como base la información descrita por Rebollar et al</w:t>
      </w:r>
      <w:r>
        <w:rPr>
          <w:spacing w:val="-14"/>
        </w:rPr>
        <w:t> </w:t>
      </w:r>
      <w:r>
        <w:rPr/>
        <w:t>(2011A).</w:t>
      </w:r>
    </w:p>
    <w:p>
      <w:pPr>
        <w:pStyle w:val="BodyText"/>
      </w:pPr>
    </w:p>
    <w:p>
      <w:pPr>
        <w:pStyle w:val="BodyText"/>
        <w:spacing w:line="360" w:lineRule="auto" w:before="144"/>
        <w:ind w:left="119" w:right="110"/>
        <w:jc w:val="both"/>
      </w:pPr>
      <w:r>
        <w:rPr/>
        <w:t>El marco legal-organizacional del negocio será a través del régimen de persona física con actividad empresarial, parcialmente exento del pago de ISR (Impuesto Sobre la Renta), por tratarse de una actividad pecuaria de origen primario, con producto sin agregación de valor. Se trabajará con dos empleados permanentes y se incluirá un capataz, que desarrollarán actividades inherentes al proceso de producción, desde el diseño de instalaciones, compra de ganado, desparasitación, vacunación, compra del insumo alimento y alimentación del ganado. Así, por la tecnología de producción a utilizar, se prevé que tanto en el mediano plazo, el proyecto no causará efectos severos al ambiente.</w:t>
      </w:r>
    </w:p>
    <w:p>
      <w:pPr>
        <w:pStyle w:val="BodyText"/>
      </w:pPr>
    </w:p>
    <w:p>
      <w:pPr>
        <w:pStyle w:val="BodyText"/>
        <w:spacing w:line="360" w:lineRule="auto" w:before="140"/>
        <w:ind w:left="119" w:right="118"/>
        <w:jc w:val="both"/>
      </w:pPr>
      <w:r>
        <w:rPr/>
        <w:t>El horizonte del proyecto se determinó en función a la inversión más productiva (Rebollar y Jaramillo, 2012), excepto el terreno, centrándose en el gasto por adquisición de animales, del cual se hará a cinco años, después del año cero.</w:t>
      </w:r>
    </w:p>
    <w:p>
      <w:pPr>
        <w:pStyle w:val="BodyText"/>
      </w:pPr>
    </w:p>
    <w:p>
      <w:pPr>
        <w:pStyle w:val="BodyText"/>
        <w:spacing w:line="360" w:lineRule="auto" w:before="140"/>
        <w:ind w:left="119" w:right="115"/>
        <w:jc w:val="both"/>
      </w:pPr>
      <w:r>
        <w:rPr/>
        <w:t>En viabilidad financiera, se consideró, como información esencial, la estimación de inversión total inicial, más capital de trabajo, estimado a un mes de costos totales de operación, depreciaciones y amortizaciones de tangibles e intangibles, determinación del plan de ventas, plan de costos y Flujo del Proyecto. No se presenta información del Balance General ni Estado de Resultados, debido a que bajo la metodología propuesta por el FIRA (2012), el Flujo del Proyecto (FP) resume esa información, además, según Rodríguez et al. (2008), los anteriores son métodos alternativos para evaluar proyectos de inversión y, toda la información para la evaluación se extrae del FP.</w:t>
      </w:r>
    </w:p>
    <w:p>
      <w:pPr>
        <w:spacing w:after="0" w:line="360" w:lineRule="auto"/>
        <w:jc w:val="both"/>
        <w:sectPr>
          <w:footerReference w:type="default" r:id="rId8"/>
          <w:pgSz w:w="12240" w:h="15840"/>
          <w:pgMar w:footer="1180" w:header="0" w:top="1500" w:bottom="1380" w:left="1580" w:right="1300"/>
          <w:pgNumType w:start="21"/>
        </w:sectPr>
      </w:pPr>
    </w:p>
    <w:p>
      <w:pPr>
        <w:pStyle w:val="BodyText"/>
        <w:spacing w:line="360" w:lineRule="auto" w:before="52"/>
        <w:ind w:left="119" w:right="110"/>
        <w:jc w:val="both"/>
      </w:pPr>
      <w:r>
        <w:rPr/>
        <w:t>Toda la inversión correrá por cuenta del o de los socios del proyecto, por lo que no  se considerará endeudamiento con terceros. Por lo anterior, el proyecto </w:t>
      </w:r>
      <w:r>
        <w:rPr>
          <w:spacing w:val="-3"/>
        </w:rPr>
        <w:t>se </w:t>
      </w:r>
      <w:r>
        <w:rPr>
          <w:spacing w:val="2"/>
        </w:rPr>
        <w:t>evaluó </w:t>
      </w:r>
      <w:r>
        <w:rPr/>
        <w:t>en términos económicos (Rebollar y Jaramillo, 2012, Rodríguez </w:t>
      </w:r>
      <w:r>
        <w:rPr>
          <w:i/>
        </w:rPr>
        <w:t>et al</w:t>
      </w:r>
      <w:r>
        <w:rPr/>
        <w:t>., 2008). Para la evaluación económica del proyecto, se consideraron siete indicadores de rentabilidad: valor actual neto (VAN), retorno sobre la inversión (RSI), relación beneficio-costo (RB/C), índice de deseabilidad (ID), periodo de recuperación </w:t>
      </w:r>
      <w:r>
        <w:rPr>
          <w:spacing w:val="2"/>
        </w:rPr>
        <w:t>(PR), </w:t>
      </w:r>
      <w:r>
        <w:rPr/>
        <w:t>tasa de rentabilidad financiera (TRF) y la tasa interna de retorno modificada (TIRM) o tasa verdadera de rentabilidad (TVR). EL VAN, la TIR o TRF y la TVR, se obtuvieron mediante la utilización de comandos financieros de Excel. Para el RSI se utilizará la expresión:</w:t>
      </w:r>
    </w:p>
    <w:p>
      <w:pPr>
        <w:pStyle w:val="BodyText"/>
        <w:spacing w:before="9"/>
        <w:rPr>
          <w:sz w:val="35"/>
        </w:rPr>
      </w:pPr>
    </w:p>
    <w:p>
      <w:pPr>
        <w:spacing w:line="298" w:lineRule="exact" w:before="0"/>
        <w:ind w:left="3519" w:right="3519" w:firstLine="0"/>
        <w:jc w:val="center"/>
        <w:rPr>
          <w:sz w:val="24"/>
        </w:rPr>
      </w:pPr>
      <w:r>
        <w:rPr/>
        <w:pict>
          <v:line style="position:absolute;mso-position-horizontal-relative:page;mso-position-vertical-relative:paragraph;z-index:-111712" from="322.920013pt,11.121555pt" to="334.200013pt,11.121555pt" stroked="true" strokeweight=".72pt" strokecolor="#000000">
            <w10:wrap type="none"/>
          </v:line>
        </w:pict>
      </w:r>
      <w:r>
        <w:rPr>
          <w:rFonts w:ascii="Cambria Math" w:eastAsia="Cambria Math"/>
          <w:w w:val="95"/>
          <w:sz w:val="24"/>
        </w:rPr>
        <w:t>��𝐼 = </w:t>
      </w:r>
      <w:r>
        <w:rPr>
          <w:rFonts w:ascii="Cambria Math" w:eastAsia="Cambria Math"/>
          <w:w w:val="95"/>
          <w:position w:val="14"/>
          <w:sz w:val="16"/>
        </w:rPr>
        <w:t>𝑉�</w:t>
      </w:r>
      <w:r>
        <w:rPr>
          <w:w w:val="95"/>
          <w:sz w:val="24"/>
        </w:rPr>
        <w:t>;</w:t>
      </w:r>
    </w:p>
    <w:p>
      <w:pPr>
        <w:spacing w:line="175" w:lineRule="exact" w:before="0"/>
        <w:ind w:left="3523" w:right="2909" w:firstLine="0"/>
        <w:jc w:val="center"/>
        <w:rPr>
          <w:rFonts w:ascii="Cambria Math" w:eastAsia="Cambria Math"/>
          <w:sz w:val="14"/>
        </w:rPr>
      </w:pPr>
      <w:r>
        <w:rPr>
          <w:rFonts w:ascii="Cambria Math" w:eastAsia="Cambria Math"/>
          <w:w w:val="105"/>
          <w:sz w:val="17"/>
        </w:rPr>
        <w:t>𝐼</w:t>
      </w:r>
      <w:r>
        <w:rPr>
          <w:rFonts w:ascii="Cambria Math" w:eastAsia="Cambria Math"/>
          <w:w w:val="105"/>
          <w:position w:val="-2"/>
          <w:sz w:val="14"/>
        </w:rPr>
        <w:t>0</w:t>
      </w:r>
    </w:p>
    <w:p>
      <w:pPr>
        <w:pStyle w:val="BodyText"/>
        <w:rPr>
          <w:rFonts w:ascii="Cambria Math"/>
          <w:sz w:val="20"/>
        </w:rPr>
      </w:pPr>
    </w:p>
    <w:p>
      <w:pPr>
        <w:pStyle w:val="BodyText"/>
        <w:spacing w:before="3"/>
        <w:rPr>
          <w:rFonts w:ascii="Cambria Math"/>
          <w:sz w:val="19"/>
        </w:rPr>
      </w:pPr>
    </w:p>
    <w:p>
      <w:pPr>
        <w:pStyle w:val="BodyText"/>
        <w:spacing w:line="360" w:lineRule="auto" w:before="69"/>
        <w:ind w:left="119" w:right="182"/>
      </w:pPr>
      <w:r>
        <w:rPr/>
        <w:t>Donde, VA = Valor Actual (corriente de flujos netos de efectivo esperados por el proyecto, a partir del año uno, actualizados a la TREMA).</w:t>
      </w:r>
    </w:p>
    <w:p>
      <w:pPr>
        <w:pStyle w:val="BodyText"/>
      </w:pPr>
    </w:p>
    <w:p>
      <w:pPr>
        <w:pStyle w:val="BodyText"/>
        <w:spacing w:before="139"/>
        <w:ind w:left="119" w:right="182"/>
      </w:pPr>
      <w:r>
        <w:rPr/>
        <w:t>Por su parte, como RB/C, se utilizó:</w:t>
      </w:r>
    </w:p>
    <w:p>
      <w:pPr>
        <w:pStyle w:val="BodyText"/>
      </w:pPr>
    </w:p>
    <w:p>
      <w:pPr>
        <w:pStyle w:val="BodyText"/>
        <w:spacing w:before="7"/>
        <w:rPr>
          <w:sz w:val="27"/>
        </w:rPr>
      </w:pPr>
    </w:p>
    <w:p>
      <w:pPr>
        <w:spacing w:line="246" w:lineRule="exact" w:before="0"/>
        <w:ind w:left="2977" w:right="182" w:firstLine="0"/>
        <w:jc w:val="left"/>
        <w:rPr>
          <w:sz w:val="24"/>
        </w:rPr>
      </w:pPr>
      <w:r>
        <w:rPr/>
        <w:pict>
          <v:line style="position:absolute;mso-position-horizontal-relative:page;mso-position-vertical-relative:paragraph;z-index:-111688" from="266.739990pt,11.596675pt" to="296.523990pt,11.596675pt" stroked="true" strokeweight=".72pt" strokecolor="#000000">
            <w10:wrap type="none"/>
          </v:line>
        </w:pict>
      </w:r>
      <w:r>
        <w:rPr/>
        <w:pict>
          <v:shape style="position:absolute;margin-left:272.739990pt;margin-top:-.904375pt;width:4.75pt;height:7pt;mso-position-horizontal-relative:page;mso-position-vertical-relative:paragraph;z-index:-111640" type="#_x0000_t202" filled="false" stroked="false">
            <v:textbox inset="0,0,0,0">
              <w:txbxContent>
                <w:p>
                  <w:pPr>
                    <w:spacing w:line="139" w:lineRule="exact" w:before="0"/>
                    <w:ind w:left="0" w:right="-85" w:firstLine="0"/>
                    <w:jc w:val="left"/>
                    <w:rPr>
                      <w:rFonts w:ascii="Cambria Math" w:eastAsia="Cambria Math"/>
                      <w:sz w:val="14"/>
                    </w:rPr>
                  </w:pPr>
                  <w:r>
                    <w:rPr>
                      <w:rFonts w:ascii="Cambria Math" w:eastAsia="Cambria Math"/>
                      <w:w w:val="113"/>
                      <w:sz w:val="14"/>
                    </w:rPr>
                    <w:t>𝑇</w:t>
                  </w:r>
                </w:p>
              </w:txbxContent>
            </v:textbox>
            <w10:wrap type="none"/>
          </v:shape>
        </w:pict>
      </w:r>
      <w:r>
        <w:rPr>
          <w:rFonts w:ascii="Cambria Math" w:hAnsi="Cambria Math" w:eastAsia="Cambria Math"/>
          <w:sz w:val="24"/>
        </w:rPr>
        <w:t>��� = </w:t>
      </w:r>
      <w:r>
        <w:rPr>
          <w:rFonts w:ascii="Cambria Math" w:hAnsi="Cambria Math" w:eastAsia="Cambria Math"/>
          <w:position w:val="14"/>
          <w:sz w:val="17"/>
        </w:rPr>
        <w:t>∑</w:t>
      </w:r>
      <w:r>
        <w:rPr>
          <w:rFonts w:ascii="Cambria Math" w:hAnsi="Cambria Math" w:eastAsia="Cambria Math"/>
          <w:position w:val="10"/>
          <w:sz w:val="14"/>
        </w:rPr>
        <w:t>𝑡=0 </w:t>
      </w:r>
      <w:r>
        <w:rPr>
          <w:rFonts w:ascii="Cambria Math" w:hAnsi="Cambria Math" w:eastAsia="Cambria Math"/>
          <w:position w:val="14"/>
          <w:sz w:val="16"/>
        </w:rPr>
        <w:t>�𝑡 </w:t>
      </w:r>
      <w:r>
        <w:rPr>
          <w:rFonts w:ascii="Cambria Math" w:hAnsi="Cambria Math" w:eastAsia="Cambria Math"/>
          <w:position w:val="1"/>
          <w:sz w:val="24"/>
        </w:rPr>
        <w:t>{(</w:t>
      </w:r>
      <w:r>
        <w:rPr>
          <w:rFonts w:ascii="Cambria Math" w:hAnsi="Cambria Math" w:eastAsia="Cambria Math"/>
          <w:sz w:val="24"/>
        </w:rPr>
        <w:t>1 + �����)</w:t>
      </w:r>
      <w:r>
        <w:rPr>
          <w:rFonts w:ascii="Cambria Math" w:hAnsi="Cambria Math" w:eastAsia="Cambria Math"/>
          <w:position w:val="9"/>
          <w:sz w:val="17"/>
        </w:rPr>
        <w:t>−𝑡</w:t>
      </w:r>
      <w:r>
        <w:rPr>
          <w:rFonts w:ascii="Cambria Math" w:hAnsi="Cambria Math" w:eastAsia="Cambria Math"/>
          <w:position w:val="1"/>
          <w:sz w:val="24"/>
        </w:rPr>
        <w:t>)}</w:t>
      </w:r>
      <w:r>
        <w:rPr>
          <w:sz w:val="24"/>
        </w:rPr>
        <w:t>;</w:t>
      </w:r>
    </w:p>
    <w:p>
      <w:pPr>
        <w:spacing w:after="0" w:line="246" w:lineRule="exact"/>
        <w:jc w:val="left"/>
        <w:rPr>
          <w:sz w:val="24"/>
        </w:rPr>
        <w:sectPr>
          <w:pgSz w:w="12240" w:h="15840"/>
          <w:pgMar w:header="0" w:footer="1180" w:top="1360" w:bottom="1380" w:left="1580" w:right="1300"/>
        </w:sectPr>
      </w:pPr>
    </w:p>
    <w:p>
      <w:pPr>
        <w:spacing w:line="117" w:lineRule="exact" w:before="0"/>
        <w:ind w:left="0" w:right="158" w:firstLine="0"/>
        <w:jc w:val="right"/>
        <w:rPr>
          <w:rFonts w:ascii="Cambria Math" w:eastAsia="Cambria Math"/>
          <w:sz w:val="14"/>
        </w:rPr>
      </w:pPr>
      <w:r>
        <w:rPr/>
        <w:pict>
          <v:shape style="position:absolute;margin-left:266.980011pt;margin-top:1.712886pt;width:6pt;height:8.4pt;mso-position-horizontal-relative:page;mso-position-vertical-relative:paragraph;z-index:1168" type="#_x0000_t202" filled="false" stroked="false">
            <v:textbox inset="0,0,0,0">
              <w:txbxContent>
                <w:p>
                  <w:pPr>
                    <w:spacing w:line="168" w:lineRule="exact" w:before="0"/>
                    <w:ind w:left="0" w:right="0" w:firstLine="0"/>
                    <w:jc w:val="left"/>
                    <w:rPr>
                      <w:rFonts w:ascii="Cambria Math" w:hAnsi="Cambria Math"/>
                      <w:sz w:val="16"/>
                    </w:rPr>
                  </w:pPr>
                  <w:r>
                    <w:rPr>
                      <w:rFonts w:ascii="Cambria Math" w:hAnsi="Cambria Math"/>
                      <w:w w:val="105"/>
                      <w:sz w:val="16"/>
                    </w:rPr>
                    <w:t>∑</w:t>
                  </w:r>
                </w:p>
              </w:txbxContent>
            </v:textbox>
            <w10:wrap type="none"/>
          </v:shape>
        </w:pict>
      </w:r>
      <w:r>
        <w:rPr>
          <w:rFonts w:ascii="Cambria Math" w:eastAsia="Cambria Math"/>
          <w:w w:val="110"/>
          <w:sz w:val="14"/>
        </w:rPr>
        <w:t>𝑇</w:t>
      </w:r>
    </w:p>
    <w:p>
      <w:pPr>
        <w:spacing w:line="137" w:lineRule="exact" w:before="0"/>
        <w:ind w:left="0" w:right="0" w:firstLine="0"/>
        <w:jc w:val="right"/>
        <w:rPr>
          <w:rFonts w:ascii="Cambria Math" w:eastAsia="Cambria Math"/>
          <w:sz w:val="14"/>
        </w:rPr>
      </w:pPr>
      <w:r>
        <w:rPr>
          <w:rFonts w:ascii="Cambria Math" w:eastAsia="Cambria Math"/>
          <w:w w:val="110"/>
          <w:sz w:val="14"/>
        </w:rPr>
        <w:t>𝑡=0</w:t>
      </w:r>
    </w:p>
    <w:p>
      <w:pPr>
        <w:spacing w:before="23"/>
        <w:ind w:left="-13" w:right="0" w:firstLine="0"/>
        <w:jc w:val="left"/>
        <w:rPr>
          <w:rFonts w:ascii="Cambria Math" w:eastAsia="Cambria Math"/>
          <w:sz w:val="16"/>
        </w:rPr>
      </w:pPr>
      <w:r>
        <w:rPr/>
        <w:br w:type="column"/>
      </w:r>
      <w:r>
        <w:rPr>
          <w:rFonts w:ascii="Cambria Math" w:eastAsia="Cambria Math"/>
          <w:w w:val="105"/>
          <w:sz w:val="16"/>
        </w:rPr>
        <w:t>�𝑡</w:t>
      </w:r>
    </w:p>
    <w:p>
      <w:pPr>
        <w:spacing w:after="0"/>
        <w:jc w:val="left"/>
        <w:rPr>
          <w:rFonts w:ascii="Cambria Math" w:eastAsia="Cambria Math"/>
          <w:sz w:val="16"/>
        </w:rPr>
        <w:sectPr>
          <w:type w:val="continuous"/>
          <w:pgSz w:w="12240" w:h="15840"/>
          <w:pgMar w:top="1500" w:bottom="280" w:left="1580" w:right="1300"/>
          <w:cols w:num="2" w:equalWidth="0">
            <w:col w:w="4136" w:space="40"/>
            <w:col w:w="5184"/>
          </w:cols>
        </w:sectPr>
      </w:pPr>
    </w:p>
    <w:p>
      <w:pPr>
        <w:pStyle w:val="BodyText"/>
        <w:rPr>
          <w:rFonts w:ascii="Cambria Math"/>
          <w:sz w:val="20"/>
        </w:rPr>
      </w:pPr>
    </w:p>
    <w:p>
      <w:pPr>
        <w:pStyle w:val="BodyText"/>
        <w:spacing w:before="11"/>
        <w:rPr>
          <w:rFonts w:ascii="Cambria Math"/>
          <w:sz w:val="18"/>
        </w:rPr>
      </w:pPr>
    </w:p>
    <w:p>
      <w:pPr>
        <w:pStyle w:val="BodyText"/>
        <w:spacing w:line="360" w:lineRule="auto" w:before="69"/>
        <w:ind w:left="119" w:right="182"/>
      </w:pPr>
      <w:r>
        <w:rPr/>
        <w:t>Donde, Bt y Ct son beneficios y costos totales, desde el año cero hasta el año T, actualizados a la TREMA seleccionada.</w:t>
      </w:r>
    </w:p>
    <w:p>
      <w:pPr>
        <w:pStyle w:val="BodyText"/>
      </w:pPr>
    </w:p>
    <w:p>
      <w:pPr>
        <w:pStyle w:val="BodyText"/>
        <w:spacing w:before="140"/>
        <w:ind w:left="119" w:right="182"/>
      </w:pPr>
      <w:r>
        <w:rPr/>
        <w:t>El índice de deseabilidad (ID) se estimó por medio de:</w:t>
      </w:r>
    </w:p>
    <w:p>
      <w:pPr>
        <w:pStyle w:val="BodyText"/>
      </w:pPr>
    </w:p>
    <w:p>
      <w:pPr>
        <w:pStyle w:val="BodyText"/>
        <w:spacing w:before="9"/>
        <w:rPr>
          <w:sz w:val="23"/>
        </w:rPr>
      </w:pPr>
    </w:p>
    <w:p>
      <w:pPr>
        <w:pStyle w:val="BodyText"/>
        <w:spacing w:line="298" w:lineRule="exact"/>
        <w:ind w:left="3519" w:right="3519"/>
        <w:jc w:val="center"/>
      </w:pPr>
      <w:r>
        <w:rPr/>
        <w:pict>
          <v:line style="position:absolute;mso-position-horizontal-relative:page;mso-position-vertical-relative:paragraph;z-index:-111664" from="318.119995pt,11.121547pt" to="335.879995pt,11.121547pt" stroked="true" strokeweight=".72003pt" strokecolor="#000000">
            <w10:wrap type="none"/>
          </v:line>
        </w:pict>
      </w:r>
      <w:r>
        <w:rPr>
          <w:rFonts w:ascii="Cambria Math" w:eastAsia="Cambria Math"/>
        </w:rPr>
        <w:t>𝐼�       =          </w:t>
      </w:r>
      <w:r>
        <w:rPr>
          <w:rFonts w:ascii="Cambria Math" w:eastAsia="Cambria Math"/>
          <w:position w:val="14"/>
          <w:sz w:val="16"/>
        </w:rPr>
        <w:t>𝑉�𝑁</w:t>
      </w:r>
      <w:r>
        <w:rPr/>
        <w:t>;</w:t>
      </w:r>
    </w:p>
    <w:p>
      <w:pPr>
        <w:spacing w:line="175" w:lineRule="exact" w:before="0"/>
        <w:ind w:left="3523" w:right="2967" w:firstLine="0"/>
        <w:jc w:val="center"/>
        <w:rPr>
          <w:rFonts w:ascii="Cambria Math" w:eastAsia="Cambria Math"/>
          <w:sz w:val="14"/>
        </w:rPr>
      </w:pPr>
      <w:r>
        <w:rPr>
          <w:rFonts w:ascii="Cambria Math" w:eastAsia="Cambria Math"/>
          <w:w w:val="105"/>
          <w:sz w:val="17"/>
        </w:rPr>
        <w:t>𝐼</w:t>
      </w:r>
      <w:r>
        <w:rPr>
          <w:rFonts w:ascii="Cambria Math" w:eastAsia="Cambria Math"/>
          <w:w w:val="105"/>
          <w:position w:val="-2"/>
          <w:sz w:val="14"/>
        </w:rPr>
        <w:t>0</w:t>
      </w:r>
    </w:p>
    <w:p>
      <w:pPr>
        <w:pStyle w:val="BodyText"/>
        <w:rPr>
          <w:rFonts w:ascii="Cambria Math"/>
          <w:sz w:val="20"/>
        </w:rPr>
      </w:pPr>
    </w:p>
    <w:p>
      <w:pPr>
        <w:pStyle w:val="BodyText"/>
        <w:spacing w:before="3"/>
        <w:rPr>
          <w:rFonts w:ascii="Cambria Math"/>
          <w:sz w:val="19"/>
        </w:rPr>
      </w:pPr>
    </w:p>
    <w:p>
      <w:pPr>
        <w:pStyle w:val="BodyText"/>
        <w:spacing w:before="69"/>
        <w:ind w:left="119" w:right="182"/>
      </w:pPr>
      <w:r>
        <w:rPr/>
        <w:t>Donde, VAN es el Valor Actual Neto del proyecto, </w:t>
      </w:r>
      <w:r>
        <w:rPr>
          <w:i/>
        </w:rPr>
        <w:t>Io </w:t>
      </w:r>
      <w:r>
        <w:rPr/>
        <w:t>es la inversión total inicial.</w:t>
      </w:r>
    </w:p>
    <w:p>
      <w:pPr>
        <w:spacing w:after="0"/>
        <w:sectPr>
          <w:type w:val="continuous"/>
          <w:pgSz w:w="12240" w:h="15840"/>
          <w:pgMar w:top="1500" w:bottom="280" w:left="1580" w:right="1300"/>
        </w:sectPr>
      </w:pPr>
    </w:p>
    <w:p>
      <w:pPr>
        <w:pStyle w:val="BodyText"/>
        <w:spacing w:line="360" w:lineRule="auto" w:before="52"/>
        <w:ind w:left="119" w:right="115"/>
        <w:jc w:val="both"/>
      </w:pPr>
      <w:r>
        <w:rPr/>
        <w:t>Por su parte, para el periodo de recuperación (PR) (Weston y Briham, 1994), se utilizó los flujos netos esperados del proyecto actualizados, a través de la expresión (Rebollar y Jaramillo,</w:t>
      </w:r>
      <w:r>
        <w:rPr>
          <w:spacing w:val="-6"/>
        </w:rPr>
        <w:t> </w:t>
      </w:r>
      <w:r>
        <w:rPr/>
        <w:t>2012):</w:t>
      </w:r>
    </w:p>
    <w:p>
      <w:pPr>
        <w:pStyle w:val="BodyText"/>
        <w:rPr>
          <w:sz w:val="20"/>
        </w:rPr>
      </w:pPr>
    </w:p>
    <w:p>
      <w:pPr>
        <w:pStyle w:val="BodyText"/>
        <w:spacing w:before="188"/>
        <w:ind w:left="2405" w:right="182"/>
        <w:rPr>
          <w:rFonts w:ascii="Cambria Math" w:hAnsi="Cambria Math" w:eastAsia="Cambria Math"/>
        </w:rPr>
      </w:pPr>
      <w:r>
        <w:rPr>
          <w:rFonts w:ascii="Cambria Math" w:hAnsi="Cambria Math" w:eastAsia="Cambria Math"/>
          <w:spacing w:val="-18"/>
          <w:w w:val="85"/>
        </w:rPr>
        <w:t>𝑃� = �ñ� </w:t>
      </w:r>
      <w:r>
        <w:rPr>
          <w:rFonts w:ascii="Cambria Math" w:hAnsi="Cambria Math" w:eastAsia="Cambria Math"/>
          <w:spacing w:val="-17"/>
          <w:w w:val="85"/>
        </w:rPr>
        <w:t>𝑎����𝑖�� 𝑎 𝑙𝑎 �������𝑎�𝑖ó� </w:t>
      </w:r>
      <w:r>
        <w:rPr>
          <w:rFonts w:ascii="Cambria Math" w:hAnsi="Cambria Math" w:eastAsia="Cambria Math"/>
        </w:rPr>
        <w:t>���𝑎𝑙</w:t>
      </w:r>
    </w:p>
    <w:p>
      <w:pPr>
        <w:pStyle w:val="BodyText"/>
        <w:spacing w:line="231" w:lineRule="exact" w:before="117"/>
        <w:ind w:left="1843" w:right="182"/>
        <w:rPr>
          <w:rFonts w:ascii="Cambria Math" w:hAnsi="Cambria Math" w:eastAsia="Cambria Math"/>
        </w:rPr>
      </w:pPr>
      <w:r>
        <w:rPr>
          <w:rFonts w:ascii="Cambria Math" w:hAnsi="Cambria Math" w:eastAsia="Cambria Math"/>
          <w:spacing w:val="-30"/>
          <w:w w:val="85"/>
        </w:rPr>
        <w:t>�����   ��  �������𝑎��  </w:t>
      </w:r>
      <w:r>
        <w:rPr>
          <w:rFonts w:ascii="Cambria Math" w:hAnsi="Cambria Math" w:eastAsia="Cambria Math"/>
          <w:spacing w:val="-29"/>
          <w:w w:val="85"/>
        </w:rPr>
        <w:t>𝑎𝑙  ��𝑖��𝑖�𝑖�  ��𝑙   𝑎ñ�</w:t>
      </w:r>
    </w:p>
    <w:p>
      <w:pPr>
        <w:pStyle w:val="BodyText"/>
        <w:tabs>
          <w:tab w:pos="2981" w:val="left" w:leader="none"/>
        </w:tabs>
        <w:spacing w:line="391" w:lineRule="exact"/>
        <w:ind w:left="1560" w:right="182"/>
        <w:rPr>
          <w:rFonts w:ascii="Cambria Math" w:hAnsi="Cambria Math" w:eastAsia="Cambria Math"/>
        </w:rPr>
      </w:pPr>
      <w:r>
        <w:rPr/>
        <w:pict>
          <v:line style="position:absolute;mso-position-horizontal-relative:page;mso-position-vertical-relative:paragraph;z-index:-111592" from="171.190002pt,5.488169pt" to="391.340002pt,5.488169pt" stroked="true" strokeweight=".72pt" strokecolor="#000000">
            <w10:wrap type="none"/>
          </v:line>
        </w:pict>
      </w:r>
      <w:r>
        <w:rPr>
          <w:rFonts w:ascii="Cambria Math" w:hAnsi="Cambria Math" w:eastAsia="Cambria Math"/>
          <w:position w:val="16"/>
        </w:rPr>
        <w:t>+</w:t>
        <w:tab/>
      </w:r>
      <w:r>
        <w:rPr>
          <w:rFonts w:ascii="Cambria Math" w:hAnsi="Cambria Math" w:eastAsia="Cambria Math"/>
          <w:spacing w:val="-22"/>
          <w:w w:val="85"/>
        </w:rPr>
        <w:t>���    ���𝑎���   </w:t>
      </w:r>
      <w:r>
        <w:rPr>
          <w:rFonts w:ascii="Cambria Math" w:hAnsi="Cambria Math" w:eastAsia="Cambria Math"/>
          <w:spacing w:val="-21"/>
          <w:w w:val="85"/>
        </w:rPr>
        <w:t>�𝑙  </w:t>
      </w:r>
      <w:r>
        <w:rPr>
          <w:rFonts w:ascii="Cambria Math" w:hAnsi="Cambria Math" w:eastAsia="Cambria Math"/>
          <w:spacing w:val="-11"/>
          <w:w w:val="85"/>
        </w:rPr>
        <w:t> </w:t>
      </w:r>
      <w:r>
        <w:rPr>
          <w:rFonts w:ascii="Cambria Math" w:hAnsi="Cambria Math" w:eastAsia="Cambria Math"/>
          <w:spacing w:val="-21"/>
          <w:w w:val="85"/>
        </w:rPr>
        <w:t>𝑎ñ�</w:t>
      </w:r>
    </w:p>
    <w:p>
      <w:pPr>
        <w:pStyle w:val="BodyText"/>
        <w:rPr>
          <w:rFonts w:ascii="Cambria Math"/>
          <w:sz w:val="20"/>
        </w:rPr>
      </w:pPr>
    </w:p>
    <w:p>
      <w:pPr>
        <w:pStyle w:val="BodyText"/>
        <w:spacing w:before="1"/>
        <w:rPr>
          <w:rFonts w:ascii="Cambria Math"/>
          <w:sz w:val="17"/>
        </w:rPr>
      </w:pPr>
    </w:p>
    <w:p>
      <w:pPr>
        <w:pStyle w:val="BodyText"/>
        <w:spacing w:line="360" w:lineRule="auto" w:before="69"/>
        <w:ind w:left="119" w:right="110"/>
        <w:jc w:val="both"/>
      </w:pPr>
      <w:r>
        <w:rPr/>
        <w:t>La TREMA (Tasa de Rentabilidad Mínima Aceptable) se estimó con base a 12 %, debido a que de las opciones para su estimación, esta es la que más se acerca a las condiciones del proyecto (Baca, 2013), bajo criterio del investigador, con producción promedio constante (Baca, 2013). Con ello, la TREMA considerada fue 12.0%. Finalmente, se dedujeron efectos sobre indicadores de rentabilidad del proyecto, que podrían determinar la decisión de su puesta en marcha.</w:t>
      </w:r>
    </w:p>
    <w:p>
      <w:pPr>
        <w:spacing w:after="0" w:line="360" w:lineRule="auto"/>
        <w:jc w:val="both"/>
        <w:sectPr>
          <w:pgSz w:w="12240" w:h="15840"/>
          <w:pgMar w:header="0" w:footer="1180" w:top="1360" w:bottom="1380" w:left="1580" w:right="1300"/>
        </w:sectPr>
      </w:pPr>
    </w:p>
    <w:p>
      <w:pPr>
        <w:pStyle w:val="Heading1"/>
        <w:numPr>
          <w:ilvl w:val="1"/>
          <w:numId w:val="4"/>
        </w:numPr>
        <w:tabs>
          <w:tab w:pos="3005" w:val="left" w:leader="none"/>
          <w:tab w:pos="3006" w:val="left" w:leader="none"/>
        </w:tabs>
        <w:spacing w:line="240" w:lineRule="auto" w:before="48" w:after="0"/>
        <w:ind w:left="3006" w:right="0" w:hanging="721"/>
        <w:jc w:val="left"/>
      </w:pPr>
      <w:bookmarkStart w:name="_bookmark11" w:id="18"/>
      <w:bookmarkEnd w:id="18"/>
      <w:r>
        <w:rPr>
          <w:b w:val="0"/>
        </w:rPr>
      </w:r>
      <w:bookmarkStart w:name="_bookmark11" w:id="19"/>
      <w:bookmarkEnd w:id="19"/>
      <w:r>
        <w:rPr/>
        <w:t>M</w:t>
      </w:r>
      <w:r>
        <w:rPr/>
        <w:t>ARCO TEÓRICO</w:t>
      </w:r>
      <w:r>
        <w:rPr>
          <w:spacing w:val="-16"/>
        </w:rPr>
        <w:t> </w:t>
      </w:r>
      <w:r>
        <w:rPr/>
        <w:t>CONCEPTUAL</w:t>
      </w:r>
    </w:p>
    <w:p>
      <w:pPr>
        <w:pStyle w:val="BodyText"/>
        <w:rPr>
          <w:b/>
          <w:sz w:val="28"/>
        </w:rPr>
      </w:pPr>
    </w:p>
    <w:p>
      <w:pPr>
        <w:pStyle w:val="BodyText"/>
        <w:rPr>
          <w:b/>
          <w:sz w:val="28"/>
        </w:rPr>
      </w:pPr>
    </w:p>
    <w:p>
      <w:pPr>
        <w:pStyle w:val="BodyText"/>
        <w:spacing w:before="9"/>
        <w:rPr>
          <w:b/>
          <w:sz w:val="22"/>
        </w:rPr>
      </w:pPr>
    </w:p>
    <w:p>
      <w:pPr>
        <w:pStyle w:val="BodyText"/>
        <w:spacing w:line="360" w:lineRule="auto"/>
        <w:ind w:left="119" w:right="119"/>
        <w:jc w:val="both"/>
      </w:pPr>
      <w:r>
        <w:rPr/>
        <w:t>Para la realización de este trabajo, se hace necesario del conocimiento de una serie de conceptos o definiciones teóricas, que se relacionan con gran parte de la terminología que se presenta, en este trabajo final de obtención del título.</w:t>
      </w:r>
    </w:p>
    <w:p>
      <w:pPr>
        <w:pStyle w:val="BodyText"/>
      </w:pPr>
    </w:p>
    <w:p>
      <w:pPr>
        <w:pStyle w:val="BodyText"/>
        <w:spacing w:line="362" w:lineRule="auto" w:before="140"/>
        <w:ind w:left="119" w:right="117"/>
        <w:jc w:val="both"/>
      </w:pPr>
      <w:r>
        <w:rPr/>
        <w:t>Según Baca (2013), un </w:t>
      </w:r>
      <w:r>
        <w:rPr>
          <w:b/>
        </w:rPr>
        <w:t>proyecto de inversión</w:t>
      </w:r>
      <w:r>
        <w:rPr/>
        <w:t>, puede concebirse como la idea de algo mejor (FIRA, 2012). También, es el planteamiento de una solución inteligente a un problema, que tiende, entre otras cosas, a solucionar una necesidad humana, siempre y cuando, exista materia </w:t>
      </w:r>
      <w:r>
        <w:rPr>
          <w:spacing w:val="-2"/>
        </w:rPr>
        <w:t>prima, </w:t>
      </w:r>
      <w:r>
        <w:rPr/>
        <w:t>insumos y un sujeto que los realice o lo haga.</w:t>
      </w:r>
    </w:p>
    <w:p>
      <w:pPr>
        <w:pStyle w:val="BodyText"/>
        <w:spacing w:before="5"/>
        <w:rPr>
          <w:sz w:val="35"/>
        </w:rPr>
      </w:pPr>
    </w:p>
    <w:p>
      <w:pPr>
        <w:pStyle w:val="BodyText"/>
        <w:spacing w:line="360" w:lineRule="auto"/>
        <w:ind w:left="119" w:right="110"/>
        <w:jc w:val="both"/>
      </w:pPr>
      <w:r>
        <w:rPr/>
        <w:t>El mismo autor, </w:t>
      </w:r>
      <w:r>
        <w:rPr>
          <w:spacing w:val="-3"/>
        </w:rPr>
        <w:t>afirma </w:t>
      </w:r>
      <w:r>
        <w:rPr/>
        <w:t>que por </w:t>
      </w:r>
      <w:r>
        <w:rPr>
          <w:b/>
        </w:rPr>
        <w:t>insumo </w:t>
      </w:r>
      <w:r>
        <w:rPr/>
        <w:t>debe entenderse </w:t>
      </w:r>
      <w:r>
        <w:rPr>
          <w:spacing w:val="-4"/>
        </w:rPr>
        <w:t>como </w:t>
      </w:r>
      <w:r>
        <w:rPr/>
        <w:t>todo aquel recurso material o cosa, que sirve para transformar a la materia </w:t>
      </w:r>
      <w:r>
        <w:rPr>
          <w:spacing w:val="-2"/>
        </w:rPr>
        <w:t>prima. </w:t>
      </w:r>
      <w:r>
        <w:rPr/>
        <w:t>Asimismo, </w:t>
      </w:r>
      <w:r>
        <w:rPr>
          <w:b/>
        </w:rPr>
        <w:t>materia prima </w:t>
      </w:r>
      <w:r>
        <w:rPr/>
        <w:t>es aquella sujeta a ser transformada, mediante la utilización de una serie de insumos, que posteriormente se convertirán en </w:t>
      </w:r>
      <w:r>
        <w:rPr>
          <w:b/>
        </w:rPr>
        <w:t>costos fijos </w:t>
      </w:r>
      <w:r>
        <w:rPr/>
        <w:t>y </w:t>
      </w:r>
      <w:r>
        <w:rPr>
          <w:b/>
        </w:rPr>
        <w:t>costos variables</w:t>
      </w:r>
      <w:r>
        <w:rPr/>
        <w:t>, cuya sumatoria resulta el costo total (Rebollar,</w:t>
      </w:r>
      <w:r>
        <w:rPr>
          <w:spacing w:val="-19"/>
        </w:rPr>
        <w:t> </w:t>
      </w:r>
      <w:r>
        <w:rPr/>
        <w:t>2011).</w:t>
      </w:r>
    </w:p>
    <w:p>
      <w:pPr>
        <w:pStyle w:val="BodyText"/>
      </w:pPr>
    </w:p>
    <w:p>
      <w:pPr>
        <w:pStyle w:val="BodyText"/>
        <w:spacing w:line="360" w:lineRule="auto" w:before="140"/>
        <w:ind w:left="119" w:right="113"/>
        <w:jc w:val="both"/>
      </w:pPr>
      <w:r>
        <w:rPr/>
        <w:t>Rodríguez </w:t>
      </w:r>
      <w:r>
        <w:rPr>
          <w:i/>
        </w:rPr>
        <w:t>et al</w:t>
      </w:r>
      <w:r>
        <w:rPr/>
        <w:t>. (2008), asumen que la </w:t>
      </w:r>
      <w:r>
        <w:rPr>
          <w:b/>
        </w:rPr>
        <w:t>evaluación de un proyecto </w:t>
      </w:r>
      <w:r>
        <w:rPr/>
        <w:t>de inversión significa disponer de todo un conjunto de antecedentes justificatorios, mismos que permiten tomar la decisión de inversión y ejecución del proyecto.</w:t>
      </w:r>
    </w:p>
    <w:p>
      <w:pPr>
        <w:pStyle w:val="BodyText"/>
      </w:pPr>
    </w:p>
    <w:p>
      <w:pPr>
        <w:pStyle w:val="BodyText"/>
        <w:spacing w:line="360" w:lineRule="auto" w:before="140"/>
        <w:ind w:left="119" w:right="111"/>
        <w:jc w:val="both"/>
      </w:pPr>
      <w:r>
        <w:rPr/>
        <w:t>Por su parte, Díaz y Aguilera (2010), mencionan que la </w:t>
      </w:r>
      <w:r>
        <w:rPr>
          <w:b/>
        </w:rPr>
        <w:t>tasa de descuento, </w:t>
      </w:r>
      <w:r>
        <w:rPr/>
        <w:t>en su caso</w:t>
      </w:r>
      <w:r>
        <w:rPr>
          <w:b/>
        </w:rPr>
        <w:t>, </w:t>
      </w:r>
      <w:r>
        <w:rPr/>
        <w:t>tasa de actualización, tasa de costo de oportunidad del capital o tasa de rentabilidad mínima aceptable (TREMA), en cualquier tipo de inversión, sirve para traer, en su valor presente y a su equivalente en el tiempo, una serie de flujos de efectivo que se espera se obtengan en el futuro.</w:t>
      </w:r>
    </w:p>
    <w:p>
      <w:pPr>
        <w:pStyle w:val="BodyText"/>
        <w:spacing w:before="8"/>
        <w:rPr>
          <w:sz w:val="35"/>
        </w:rPr>
      </w:pPr>
    </w:p>
    <w:p>
      <w:pPr>
        <w:pStyle w:val="BodyText"/>
        <w:spacing w:line="362" w:lineRule="auto"/>
        <w:ind w:left="119" w:right="114"/>
        <w:jc w:val="both"/>
      </w:pPr>
      <w:r>
        <w:rPr/>
        <w:t>Weston y Brigham (1994), dicen que el </w:t>
      </w:r>
      <w:r>
        <w:rPr>
          <w:b/>
        </w:rPr>
        <w:t>Valor Actual Neto</w:t>
      </w:r>
      <w:r>
        <w:rPr/>
        <w:t>, es un indicador de evaluación de inversiones, que se espera se realicen en el futuro u horizonte del</w:t>
      </w:r>
    </w:p>
    <w:p>
      <w:pPr>
        <w:spacing w:after="0" w:line="362" w:lineRule="auto"/>
        <w:jc w:val="both"/>
        <w:sectPr>
          <w:pgSz w:w="12240" w:h="15840"/>
          <w:pgMar w:header="0" w:footer="1180" w:top="1360" w:bottom="1380" w:left="1580" w:right="1300"/>
        </w:sectPr>
      </w:pPr>
    </w:p>
    <w:p>
      <w:pPr>
        <w:pStyle w:val="BodyText"/>
        <w:spacing w:line="360" w:lineRule="auto" w:before="52"/>
        <w:ind w:left="119" w:right="112"/>
        <w:jc w:val="both"/>
      </w:pPr>
      <w:r>
        <w:rPr/>
        <w:t>proyecto, pero que representa la suma actual actualizada de una corriente de fondos monetarios que produce una inversión. En otras palabras, el </w:t>
      </w:r>
      <w:r>
        <w:rPr>
          <w:b/>
          <w:spacing w:val="-3"/>
        </w:rPr>
        <w:t>VAN </w:t>
      </w:r>
      <w:r>
        <w:rPr/>
        <w:t>es la rentabilidad del proyecto en términos monetarios, expresado a su valor actual, mediante la utilización de una tasa de descuento o tasa de actualización. Ellos mismos dicen que la </w:t>
      </w:r>
      <w:r>
        <w:rPr>
          <w:b/>
        </w:rPr>
        <w:t>TIR </w:t>
      </w:r>
      <w:r>
        <w:rPr/>
        <w:t>es una tasa de rentabilidad financiera que expresa la forma en cómo los flujos monetarios descontados se van reinvirtiendo a la tasa interna de retorno. En sí, la </w:t>
      </w:r>
      <w:r>
        <w:rPr>
          <w:b/>
        </w:rPr>
        <w:t>TIR </w:t>
      </w:r>
      <w:r>
        <w:rPr/>
        <w:t>es la tasa que hace el VAN igual a</w:t>
      </w:r>
      <w:r>
        <w:rPr>
          <w:spacing w:val="-17"/>
        </w:rPr>
        <w:t> </w:t>
      </w:r>
      <w:r>
        <w:rPr/>
        <w:t>cero.</w:t>
      </w:r>
    </w:p>
    <w:p>
      <w:pPr>
        <w:pStyle w:val="BodyText"/>
      </w:pPr>
    </w:p>
    <w:p>
      <w:pPr>
        <w:pStyle w:val="BodyText"/>
        <w:spacing w:line="362" w:lineRule="auto" w:before="140"/>
        <w:ind w:left="119" w:right="126"/>
        <w:jc w:val="both"/>
      </w:pPr>
      <w:r>
        <w:rPr/>
        <w:t>Sapag (2011) menciona que el </w:t>
      </w:r>
      <w:r>
        <w:rPr>
          <w:b/>
        </w:rPr>
        <w:t>horizonte de un proyecto</w:t>
      </w:r>
      <w:r>
        <w:rPr/>
        <w:t>, es el periodo de tiempo (medido, generalmente en años), bajo el cual se ha proyecto que dure la ejecución del mismo.</w:t>
      </w:r>
    </w:p>
    <w:p>
      <w:pPr>
        <w:spacing w:after="0" w:line="362" w:lineRule="auto"/>
        <w:jc w:val="both"/>
        <w:sectPr>
          <w:pgSz w:w="12240" w:h="15840"/>
          <w:pgMar w:header="0" w:footer="1180" w:top="1360" w:bottom="1380" w:left="1580" w:right="1300"/>
        </w:sectPr>
      </w:pPr>
    </w:p>
    <w:p>
      <w:pPr>
        <w:pStyle w:val="Heading1"/>
        <w:numPr>
          <w:ilvl w:val="1"/>
          <w:numId w:val="4"/>
        </w:numPr>
        <w:tabs>
          <w:tab w:pos="3385" w:val="left" w:leader="none"/>
          <w:tab w:pos="3386" w:val="left" w:leader="none"/>
        </w:tabs>
        <w:spacing w:line="240" w:lineRule="auto" w:before="48" w:after="0"/>
        <w:ind w:left="3385" w:right="0" w:hanging="721"/>
        <w:jc w:val="left"/>
      </w:pPr>
      <w:bookmarkStart w:name="_bookmark12" w:id="20"/>
      <w:bookmarkEnd w:id="20"/>
      <w:r>
        <w:rPr>
          <w:b w:val="0"/>
        </w:rPr>
      </w:r>
      <w:bookmarkStart w:name="_bookmark12" w:id="21"/>
      <w:bookmarkEnd w:id="21"/>
      <w:r>
        <w:rPr/>
        <w:t>R</w:t>
      </w:r>
      <w:r>
        <w:rPr/>
        <w:t>EVISIÓN DE</w:t>
      </w:r>
      <w:r>
        <w:rPr>
          <w:spacing w:val="-12"/>
        </w:rPr>
        <w:t> </w:t>
      </w:r>
      <w:r>
        <w:rPr/>
        <w:t>LITERATURA</w:t>
      </w:r>
    </w:p>
    <w:p>
      <w:pPr>
        <w:pStyle w:val="BodyText"/>
        <w:rPr>
          <w:b/>
          <w:sz w:val="28"/>
        </w:rPr>
      </w:pPr>
    </w:p>
    <w:p>
      <w:pPr>
        <w:pStyle w:val="Heading2"/>
        <w:spacing w:before="176"/>
        <w:ind w:left="480" w:right="182"/>
        <w:jc w:val="left"/>
      </w:pPr>
      <w:bookmarkStart w:name="_bookmark13" w:id="22"/>
      <w:bookmarkEnd w:id="22"/>
      <w:r>
        <w:rPr>
          <w:b w:val="0"/>
        </w:rPr>
      </w:r>
      <w:r>
        <w:rPr/>
        <w:t>3.1 Sistemas de producción de bovinos</w:t>
      </w:r>
    </w:p>
    <w:p>
      <w:pPr>
        <w:pStyle w:val="BodyText"/>
        <w:spacing w:before="3"/>
        <w:rPr>
          <w:b/>
          <w:sz w:val="33"/>
        </w:rPr>
      </w:pPr>
    </w:p>
    <w:p>
      <w:pPr>
        <w:pStyle w:val="Heading3"/>
      </w:pPr>
      <w:bookmarkStart w:name="_bookmark14" w:id="23"/>
      <w:bookmarkEnd w:id="23"/>
      <w:r>
        <w:rPr>
          <w:b w:val="0"/>
        </w:rPr>
      </w:r>
      <w:r>
        <w:rPr/>
        <w:t>La ganadería en México</w:t>
      </w:r>
    </w:p>
    <w:p>
      <w:pPr>
        <w:pStyle w:val="BodyText"/>
        <w:rPr>
          <w:b/>
        </w:rPr>
      </w:pPr>
    </w:p>
    <w:p>
      <w:pPr>
        <w:pStyle w:val="BodyText"/>
        <w:rPr>
          <w:b/>
          <w:sz w:val="20"/>
        </w:rPr>
      </w:pPr>
    </w:p>
    <w:p>
      <w:pPr>
        <w:pStyle w:val="BodyText"/>
        <w:spacing w:line="360" w:lineRule="auto"/>
        <w:ind w:left="119" w:right="119"/>
        <w:jc w:val="both"/>
      </w:pPr>
      <w:r>
        <w:rPr/>
        <w:t>México posee una extensión territorial de aproximadamente 197 millones de hectáreas. De ese total, 11% se destina a la agricultura, 60% a la ganadería, 23% a uso forestal y 6% a otros usos. En este marco, la ganadería es la principal actividad y representa el principal uso de suelo. Aproximadamente 25% del territorio cuenta con clima árido, el 20% templado, el 15% es tropical seco y el 12% tropical húmedo. Esta gran variedad de climas deriva en una amplia diversidad de recursos genéticos animales y vegetales (SAGARPA, 2006).</w:t>
      </w:r>
    </w:p>
    <w:p>
      <w:pPr>
        <w:pStyle w:val="BodyText"/>
        <w:spacing w:before="6"/>
        <w:rPr>
          <w:sz w:val="31"/>
        </w:rPr>
      </w:pPr>
    </w:p>
    <w:p>
      <w:pPr>
        <w:pStyle w:val="BodyText"/>
        <w:spacing w:line="360" w:lineRule="auto"/>
        <w:ind w:left="119" w:right="125"/>
        <w:jc w:val="both"/>
      </w:pPr>
      <w:r>
        <w:rPr/>
        <w:t>Asimismo, la ganadería ha mostrado cambios con la introducción de distintas razas de bovinos, lo que ha ocasionado una gran diversidad de genotipos en el país. Sin embargo, los programas gubernamentales, enfocados a impulsar los niveles de productividad y competitividad, no han logrado las metas propuestas, pues el país no es autosuficiente en producción de carne y leche y, depende de las importaciones para cubrir la demanda interna de estos productos (SAGARPA, 2003).</w:t>
      </w:r>
    </w:p>
    <w:p>
      <w:pPr>
        <w:pStyle w:val="BodyText"/>
        <w:spacing w:before="6"/>
        <w:rPr>
          <w:sz w:val="31"/>
        </w:rPr>
      </w:pPr>
    </w:p>
    <w:p>
      <w:pPr>
        <w:pStyle w:val="BodyText"/>
        <w:spacing w:line="360" w:lineRule="auto"/>
        <w:ind w:left="119" w:right="115"/>
        <w:jc w:val="both"/>
      </w:pPr>
      <w:r>
        <w:rPr/>
        <w:t>El sector pecuario es importante en todas las subregiones por diferentes razones tanto de carácter económico como social, debido a que la actividad genera grandes cantidades de carne y de leche, además de empleo y, por tanto, dentro del sector pecuario, es una actividad económica importante para el desarrollo local  (FAO, 2015).</w:t>
      </w:r>
    </w:p>
    <w:p>
      <w:pPr>
        <w:pStyle w:val="BodyText"/>
        <w:spacing w:before="6"/>
        <w:rPr>
          <w:sz w:val="31"/>
        </w:rPr>
      </w:pPr>
    </w:p>
    <w:p>
      <w:pPr>
        <w:pStyle w:val="BodyText"/>
        <w:spacing w:line="360" w:lineRule="auto"/>
        <w:ind w:left="119" w:right="110"/>
        <w:jc w:val="both"/>
      </w:pPr>
      <w:r>
        <w:rPr/>
        <w:t>Actualmente, este sector se encuentra en un estado de incertidumbre por la apertura del Tratado de Libre Comercio con los Estados Unidos de Norteamérica, con la consecuente entrada de productos de importación sin cuotas arancelarias y la menor competitividad que tienen la carne y la leche, por los mayores costos de </w:t>
      </w:r>
      <w:r>
        <w:rPr>
          <w:spacing w:val="63"/>
        </w:rPr>
        <w:t> </w:t>
      </w:r>
      <w:r>
        <w:rPr/>
        <w:t>producción,</w:t>
      </w:r>
    </w:p>
    <w:p>
      <w:pPr>
        <w:spacing w:after="0" w:line="360" w:lineRule="auto"/>
        <w:jc w:val="both"/>
        <w:sectPr>
          <w:pgSz w:w="12240" w:h="15840"/>
          <w:pgMar w:header="0" w:footer="1180" w:top="1360" w:bottom="1380" w:left="1580" w:right="1300"/>
        </w:sectPr>
      </w:pPr>
    </w:p>
    <w:p>
      <w:pPr>
        <w:pStyle w:val="BodyText"/>
        <w:spacing w:line="362" w:lineRule="auto" w:before="52"/>
        <w:ind w:left="119" w:right="118"/>
        <w:jc w:val="both"/>
      </w:pPr>
      <w:r>
        <w:rPr/>
        <w:t>sobre todo en la época de secas y los menores subsidios otorgados a  los productores (Del Valle-Rivera </w:t>
      </w:r>
      <w:r>
        <w:rPr>
          <w:i/>
        </w:rPr>
        <w:t>et al., </w:t>
      </w:r>
      <w:r>
        <w:rPr/>
        <w:t>1997).</w:t>
      </w:r>
    </w:p>
    <w:p>
      <w:pPr>
        <w:pStyle w:val="BodyText"/>
        <w:spacing w:before="10"/>
        <w:rPr>
          <w:sz w:val="30"/>
        </w:rPr>
      </w:pPr>
    </w:p>
    <w:p>
      <w:pPr>
        <w:pStyle w:val="Heading3"/>
        <w:spacing w:before="1"/>
      </w:pPr>
      <w:bookmarkStart w:name="_bookmark15" w:id="24"/>
      <w:bookmarkEnd w:id="24"/>
      <w:r>
        <w:rPr>
          <w:b w:val="0"/>
        </w:rPr>
      </w:r>
      <w:r>
        <w:rPr/>
        <w:t>Importancia de la ganadería en México</w:t>
      </w:r>
    </w:p>
    <w:p>
      <w:pPr>
        <w:pStyle w:val="BodyText"/>
        <w:rPr>
          <w:b/>
        </w:rPr>
      </w:pPr>
    </w:p>
    <w:p>
      <w:pPr>
        <w:pStyle w:val="BodyText"/>
        <w:spacing w:before="7"/>
        <w:rPr>
          <w:b/>
          <w:sz w:val="19"/>
        </w:rPr>
      </w:pPr>
    </w:p>
    <w:p>
      <w:pPr>
        <w:pStyle w:val="BodyText"/>
        <w:spacing w:line="360" w:lineRule="auto"/>
        <w:ind w:left="119" w:right="119"/>
        <w:jc w:val="both"/>
      </w:pPr>
      <w:r>
        <w:rPr/>
        <w:t>Se estima que la ganadería en México, se desarrolla sobre aproximadamente 110 millones de ha, que representan aproximadamente 60% de la superficie del territorio nacional. Los sistemas de producción, bien pueden ser altamente tecnificados e integrados o sistemas de producción tradicionales con nulo acceso a nuevas tecnologías (Ruíz </w:t>
      </w:r>
      <w:r>
        <w:rPr>
          <w:i/>
        </w:rPr>
        <w:t>et al</w:t>
      </w:r>
      <w:r>
        <w:rPr/>
        <w:t>., 2004).</w:t>
      </w:r>
    </w:p>
    <w:p>
      <w:pPr>
        <w:pStyle w:val="BodyText"/>
        <w:spacing w:before="6"/>
        <w:rPr>
          <w:sz w:val="31"/>
        </w:rPr>
      </w:pPr>
    </w:p>
    <w:p>
      <w:pPr>
        <w:pStyle w:val="BodyText"/>
        <w:spacing w:line="360" w:lineRule="auto" w:before="1"/>
        <w:ind w:left="119" w:right="116"/>
        <w:jc w:val="both"/>
      </w:pPr>
      <w:r>
        <w:rPr/>
        <w:t>En función de lo anterior, se observa que a nivel nacional, el territorio mexicano comprende una superficie de 197 millones de hectáreas, 10% son empleadas en el uso agrícola, 13% en pastizales, 44.3% matorrales, 14% selva, 14.8% de bosque y 1.2% de cuerpos de agua (Galina</w:t>
      </w:r>
      <w:r>
        <w:rPr>
          <w:i/>
        </w:rPr>
        <w:t>et al</w:t>
      </w:r>
      <w:r>
        <w:rPr/>
        <w:t>., 1988).</w:t>
      </w:r>
    </w:p>
    <w:p>
      <w:pPr>
        <w:pStyle w:val="BodyText"/>
        <w:spacing w:before="6"/>
        <w:rPr>
          <w:sz w:val="31"/>
        </w:rPr>
      </w:pPr>
    </w:p>
    <w:p>
      <w:pPr>
        <w:pStyle w:val="BodyText"/>
        <w:spacing w:line="360" w:lineRule="auto"/>
        <w:ind w:left="119" w:right="111"/>
        <w:jc w:val="both"/>
      </w:pPr>
      <w:r>
        <w:rPr/>
        <w:t>La ganadería bovina de carne, es una actividad de gran importancia que ha sobresalido dentro del sector pecuario del país, al contribuir en una forma determinante en la oferta de productos de origen animal. Sin embargo, por lo mismo, ha concentrado de esta manera la mayor parte de recursos naturales y financieros dedicados a la explotación pecuaria (De la Fuente, 1989).</w:t>
      </w:r>
    </w:p>
    <w:p>
      <w:pPr>
        <w:pStyle w:val="BodyText"/>
        <w:spacing w:before="6"/>
        <w:rPr>
          <w:sz w:val="31"/>
        </w:rPr>
      </w:pPr>
    </w:p>
    <w:p>
      <w:pPr>
        <w:pStyle w:val="Heading3"/>
        <w:numPr>
          <w:ilvl w:val="2"/>
          <w:numId w:val="8"/>
        </w:numPr>
        <w:tabs>
          <w:tab w:pos="791" w:val="left" w:leader="none"/>
        </w:tabs>
        <w:spacing w:line="240" w:lineRule="auto" w:before="0" w:after="0"/>
        <w:ind w:left="790" w:right="0" w:hanging="671"/>
        <w:jc w:val="both"/>
      </w:pPr>
      <w:bookmarkStart w:name="_bookmark16" w:id="25"/>
      <w:bookmarkEnd w:id="25"/>
      <w:r>
        <w:rPr>
          <w:b w:val="0"/>
        </w:rPr>
      </w:r>
      <w:bookmarkStart w:name="_bookmark16" w:id="26"/>
      <w:bookmarkEnd w:id="26"/>
      <w:r>
        <w:rPr/>
        <w:t>S</w:t>
      </w:r>
      <w:r>
        <w:rPr/>
        <w:t>istemas de producción de ganado bovino en</w:t>
      </w:r>
      <w:r>
        <w:rPr>
          <w:spacing w:val="-34"/>
        </w:rPr>
        <w:t> </w:t>
      </w:r>
      <w:r>
        <w:rPr/>
        <w:t>México</w:t>
      </w:r>
    </w:p>
    <w:p>
      <w:pPr>
        <w:pStyle w:val="BodyText"/>
        <w:rPr>
          <w:b/>
        </w:rPr>
      </w:pPr>
    </w:p>
    <w:p>
      <w:pPr>
        <w:pStyle w:val="BodyText"/>
        <w:spacing w:before="7"/>
        <w:rPr>
          <w:b/>
          <w:sz w:val="19"/>
        </w:rPr>
      </w:pPr>
    </w:p>
    <w:p>
      <w:pPr>
        <w:pStyle w:val="BodyText"/>
        <w:spacing w:line="360" w:lineRule="auto"/>
        <w:ind w:left="119" w:right="111"/>
        <w:jc w:val="both"/>
      </w:pPr>
      <w:r>
        <w:rPr/>
        <w:t>La producción de carne y leche de bovino, son actividades pecuarias de mayor importancia y extendidas en el medio rural, pues sin excepción, se realizan en todas las regiones agroecológicas del país aun cuando sus condiciones climáticas no permitan la práctica de otras actividades productivas (SAGARPA, 2009). Los sistemas de producción de ganado bovino existentes en México, se caracterizan por dos tipos de </w:t>
      </w:r>
      <w:r>
        <w:rPr>
          <w:spacing w:val="-3"/>
        </w:rPr>
        <w:t>manejo </w:t>
      </w:r>
      <w:r>
        <w:rPr/>
        <w:t>característicos; el sistema intensivo, el extensivo y el mixto, en función de las características de </w:t>
      </w:r>
      <w:r>
        <w:rPr>
          <w:spacing w:val="-3"/>
        </w:rPr>
        <w:t>manejo </w:t>
      </w:r>
      <w:r>
        <w:rPr/>
        <w:t>general que se</w:t>
      </w:r>
      <w:r>
        <w:rPr>
          <w:spacing w:val="-5"/>
        </w:rPr>
        <w:t> </w:t>
      </w:r>
      <w:r>
        <w:rPr/>
        <w:t>realice.</w:t>
      </w:r>
    </w:p>
    <w:p>
      <w:pPr>
        <w:spacing w:after="0" w:line="360" w:lineRule="auto"/>
        <w:jc w:val="both"/>
        <w:sectPr>
          <w:pgSz w:w="12240" w:h="15840"/>
          <w:pgMar w:header="0" w:footer="1180" w:top="1360" w:bottom="1380" w:left="1580" w:right="1300"/>
        </w:sectPr>
      </w:pPr>
    </w:p>
    <w:p>
      <w:pPr>
        <w:pStyle w:val="BodyText"/>
        <w:spacing w:line="360" w:lineRule="auto" w:before="52"/>
        <w:ind w:left="119" w:right="122"/>
        <w:jc w:val="both"/>
      </w:pPr>
      <w:r>
        <w:rPr/>
        <w:t>El sistema extensivo, se caracteriza por el uso de grandes superficies para el pastoreo, normalmente aprovechando condiciones naturales de las diversas zonas ecológicas. Este tipo de explotación predomina en la región árida y tropical, caracterizada por la dificultad para la producción de forraje, la mayoría de productores cuentan con bajos recursos. Es un sistema que demanda grandes extensiones con pastizales y presenta algunas desventajas, ya que a comparación con otros sistemas de producción, la ganancia de peso o producción de leche disminuyen considerablemente (Soto y Reynoso,</w:t>
      </w:r>
      <w:r>
        <w:rPr>
          <w:spacing w:val="-22"/>
        </w:rPr>
        <w:t> </w:t>
      </w:r>
      <w:r>
        <w:rPr/>
        <w:t>2008).</w:t>
      </w:r>
    </w:p>
    <w:p>
      <w:pPr>
        <w:pStyle w:val="BodyText"/>
        <w:spacing w:before="6"/>
        <w:rPr>
          <w:sz w:val="31"/>
        </w:rPr>
      </w:pPr>
    </w:p>
    <w:p>
      <w:pPr>
        <w:pStyle w:val="BodyText"/>
        <w:spacing w:line="360" w:lineRule="auto"/>
        <w:ind w:left="119" w:right="122"/>
        <w:jc w:val="both"/>
      </w:pPr>
      <w:r>
        <w:rPr/>
        <w:t>El sistema intensivo, se caracteriza por que se desarrolla, principalmente, en la zona norte y en el altiplano central de México y por la obtención de leche y carne de manera intensiva, debido a la reducida disponibilidad de tierra para el cultivo de forrajes y de mano de obra. El sistema se caracteriza además por el elevado uso de infraestructura, maquinaria y normalmente tienen acceso a nuevas tecnologías y asesoría técnica, que junto con diversas estrategias de conservación de forrajes (henificados y ensilados), fortalecen el sistema productivo.</w:t>
      </w:r>
    </w:p>
    <w:p>
      <w:pPr>
        <w:pStyle w:val="BodyText"/>
        <w:spacing w:before="6"/>
        <w:rPr>
          <w:sz w:val="31"/>
        </w:rPr>
      </w:pPr>
    </w:p>
    <w:p>
      <w:pPr>
        <w:pStyle w:val="BodyText"/>
        <w:spacing w:line="360" w:lineRule="auto"/>
        <w:ind w:left="119" w:right="111"/>
        <w:jc w:val="both"/>
      </w:pPr>
      <w:r>
        <w:rPr/>
        <w:t>Finalmente, el sistema mixto, doble utilidad o de doble propósito, es característico de zonas tropicales y por la presencia de ganado para producción de  carne  y leche. Este sistema presenta una marcada estacionalidad (periodo de lluvias y periodo de estiaje). El ganado se encuentra principalmente en agostaderos, las condiciones para la producción son de alta rusticidad (Macedo </w:t>
      </w:r>
      <w:r>
        <w:rPr>
          <w:i/>
        </w:rPr>
        <w:t>et al., </w:t>
      </w:r>
      <w:r>
        <w:rPr/>
        <w:t>2003).</w:t>
      </w:r>
    </w:p>
    <w:p>
      <w:pPr>
        <w:pStyle w:val="BodyText"/>
        <w:spacing w:before="2"/>
        <w:rPr>
          <w:sz w:val="31"/>
        </w:rPr>
      </w:pPr>
    </w:p>
    <w:p>
      <w:pPr>
        <w:pStyle w:val="Heading3"/>
      </w:pPr>
      <w:bookmarkStart w:name="_bookmark17" w:id="27"/>
      <w:bookmarkEnd w:id="27"/>
      <w:r>
        <w:rPr>
          <w:b w:val="0"/>
        </w:rPr>
      </w:r>
      <w:r>
        <w:rPr/>
        <w:t>Sistemas de producción de leche</w:t>
      </w:r>
    </w:p>
    <w:p>
      <w:pPr>
        <w:pStyle w:val="BodyText"/>
        <w:rPr>
          <w:b/>
        </w:rPr>
      </w:pPr>
    </w:p>
    <w:p>
      <w:pPr>
        <w:pStyle w:val="BodyText"/>
        <w:rPr>
          <w:b/>
          <w:sz w:val="20"/>
        </w:rPr>
      </w:pPr>
    </w:p>
    <w:p>
      <w:pPr>
        <w:pStyle w:val="BodyText"/>
        <w:spacing w:line="360" w:lineRule="auto"/>
        <w:ind w:left="119" w:right="111"/>
        <w:jc w:val="both"/>
      </w:pPr>
      <w:r>
        <w:rPr/>
        <w:t>Los bovinos son capaces de adaptarse a una gran variedad de condiciones ambientales y la especie </w:t>
      </w:r>
      <w:r>
        <w:rPr>
          <w:spacing w:val="-3"/>
        </w:rPr>
        <w:t>más </w:t>
      </w:r>
      <w:r>
        <w:rPr/>
        <w:t>utilizada en la producción de leche y de carne. Debido a esta gran diversidad de condiciones, existen también varios sistemas, de producción. La producción animal, basada en la explotación comercial de </w:t>
      </w:r>
      <w:r>
        <w:rPr>
          <w:spacing w:val="3"/>
        </w:rPr>
        <w:t>leche </w:t>
      </w:r>
      <w:r>
        <w:rPr/>
        <w:t>y carne, es la </w:t>
      </w:r>
      <w:r>
        <w:rPr>
          <w:spacing w:val="-3"/>
        </w:rPr>
        <w:t>más </w:t>
      </w:r>
      <w:r>
        <w:rPr/>
        <w:t>difundida y, por lo tanto se pueden encontrar varias razas especializadas en función de la orientación de la producción (FAO,</w:t>
      </w:r>
      <w:r>
        <w:rPr>
          <w:spacing w:val="-31"/>
        </w:rPr>
        <w:t> </w:t>
      </w:r>
      <w:r>
        <w:rPr/>
        <w:t>2015).</w:t>
      </w:r>
    </w:p>
    <w:p>
      <w:pPr>
        <w:spacing w:after="0" w:line="360" w:lineRule="auto"/>
        <w:jc w:val="both"/>
        <w:sectPr>
          <w:pgSz w:w="12240" w:h="15840"/>
          <w:pgMar w:header="0" w:footer="1180" w:top="1360" w:bottom="1380" w:left="1580" w:right="1300"/>
        </w:sectPr>
      </w:pPr>
    </w:p>
    <w:p>
      <w:pPr>
        <w:pStyle w:val="BodyText"/>
        <w:spacing w:line="360" w:lineRule="auto" w:before="52"/>
        <w:ind w:left="119" w:right="122"/>
        <w:jc w:val="both"/>
      </w:pPr>
      <w:r>
        <w:rPr/>
        <w:t>La producción de leche en México, se realiza en sistemas que varían desde los altamente tecnificados, hasta los de subsistencia dentro de la misma región. Estos sistemas son básicamente cuatro:</w:t>
      </w:r>
    </w:p>
    <w:p>
      <w:pPr>
        <w:pStyle w:val="BodyText"/>
        <w:spacing w:before="6"/>
        <w:rPr>
          <w:sz w:val="31"/>
        </w:rPr>
      </w:pPr>
    </w:p>
    <w:p>
      <w:pPr>
        <w:pStyle w:val="Heading4"/>
        <w:spacing w:before="1"/>
        <w:rPr>
          <w:i/>
        </w:rPr>
      </w:pPr>
      <w:r>
        <w:rPr>
          <w:i/>
        </w:rPr>
        <w:t>Sistema de producción especializado</w:t>
      </w:r>
    </w:p>
    <w:p>
      <w:pPr>
        <w:pStyle w:val="BodyText"/>
        <w:rPr>
          <w:b/>
          <w:i/>
        </w:rPr>
      </w:pPr>
    </w:p>
    <w:p>
      <w:pPr>
        <w:pStyle w:val="BodyText"/>
        <w:spacing w:before="2"/>
        <w:rPr>
          <w:b/>
          <w:i/>
          <w:sz w:val="19"/>
        </w:rPr>
      </w:pPr>
    </w:p>
    <w:p>
      <w:pPr>
        <w:pStyle w:val="BodyText"/>
        <w:spacing w:line="360" w:lineRule="auto"/>
        <w:ind w:left="119" w:right="111"/>
        <w:jc w:val="both"/>
      </w:pPr>
      <w:r>
        <w:rPr/>
        <w:t>Cuentan con ganado especializado en la producción de leche y en confinamiento, principalmente de la raza Holstein, Pardo Suizo y Jersey, entre otras. Tienen tecnología altamente especializada y, predomina el manejo de los animales en estabulación. Los animales se alimentan con forrajes conservados y balanceados comerciales. El proceso de ordeña es mecanizado y la leche se destina a las principales plantas procesadoras y transformadoras del país. Se desarrolla principalmente en el altiplano y las zonas áridas y semiáridas del norte de México (Osorio, 2010).</w:t>
      </w:r>
    </w:p>
    <w:p>
      <w:pPr>
        <w:pStyle w:val="BodyText"/>
        <w:spacing w:before="6"/>
        <w:rPr>
          <w:sz w:val="31"/>
        </w:rPr>
      </w:pPr>
    </w:p>
    <w:p>
      <w:pPr>
        <w:pStyle w:val="Heading4"/>
        <w:rPr>
          <w:i/>
        </w:rPr>
      </w:pPr>
      <w:r>
        <w:rPr>
          <w:i/>
        </w:rPr>
        <w:t>Sistema de producción semiespecializado</w:t>
      </w:r>
    </w:p>
    <w:p>
      <w:pPr>
        <w:pStyle w:val="BodyText"/>
        <w:rPr>
          <w:b/>
          <w:i/>
        </w:rPr>
      </w:pPr>
    </w:p>
    <w:p>
      <w:pPr>
        <w:pStyle w:val="BodyText"/>
        <w:spacing w:before="7"/>
        <w:rPr>
          <w:b/>
          <w:i/>
          <w:sz w:val="19"/>
        </w:rPr>
      </w:pPr>
    </w:p>
    <w:p>
      <w:pPr>
        <w:pStyle w:val="BodyText"/>
        <w:spacing w:line="360" w:lineRule="auto"/>
        <w:ind w:left="119" w:right="117"/>
        <w:jc w:val="both"/>
      </w:pPr>
      <w:r>
        <w:rPr/>
        <w:t>En este sistema se observa la presencia de razas Holstein y Pardo Suizo principalmente. Mantienen a los animales en semiestabulación o semiconfinamiento. Es decir, pasan una parte del día en corrales y la otra en pastoreo. El ordeño lo realizan de forma manual o con máquinas sencillas. Pocos productores cuentan con el equipo necesario para almacenar y enfriar la leche. La alimentación es principalmente a base de pastoreo además de forrajes y alimento concentrado.</w:t>
      </w:r>
    </w:p>
    <w:p>
      <w:pPr>
        <w:pStyle w:val="BodyText"/>
        <w:spacing w:before="6"/>
        <w:rPr>
          <w:sz w:val="31"/>
        </w:rPr>
      </w:pPr>
    </w:p>
    <w:p>
      <w:pPr>
        <w:pStyle w:val="Heading4"/>
        <w:spacing w:before="1"/>
        <w:rPr>
          <w:i/>
        </w:rPr>
      </w:pPr>
      <w:r>
        <w:rPr>
          <w:i/>
        </w:rPr>
        <w:t>Sistema de producción familiar o de traspatio</w:t>
      </w:r>
    </w:p>
    <w:p>
      <w:pPr>
        <w:pStyle w:val="BodyText"/>
        <w:rPr>
          <w:b/>
          <w:i/>
        </w:rPr>
      </w:pPr>
    </w:p>
    <w:p>
      <w:pPr>
        <w:pStyle w:val="BodyText"/>
        <w:spacing w:before="2"/>
        <w:rPr>
          <w:b/>
          <w:i/>
          <w:sz w:val="19"/>
        </w:rPr>
      </w:pPr>
    </w:p>
    <w:p>
      <w:pPr>
        <w:pStyle w:val="BodyText"/>
        <w:spacing w:line="360" w:lineRule="auto"/>
        <w:ind w:left="119" w:right="114"/>
        <w:jc w:val="both"/>
      </w:pPr>
      <w:r>
        <w:rPr/>
        <w:t>En este sistema el ganado se explota en pequeñas superficies de terreno, principalmente en las mismas viviendas de los productores (por eso se le llama de traspatio). Pueden tener a los animales en corrales o en pastoreo dependiendo de  las condiciones de sus campos de cultivo y de la UP en general. Los hatos son de entre uno y 50 animales. </w:t>
      </w:r>
      <w:r>
        <w:rPr>
          <w:spacing w:val="-4"/>
        </w:rPr>
        <w:t>El </w:t>
      </w:r>
      <w:r>
        <w:rPr/>
        <w:t>ganado es producto de la cruza de las razas Holstein, Suizo Americano, Jersey y Criollo. Las instalaciones son rudimentarias y  </w:t>
      </w:r>
      <w:r>
        <w:rPr>
          <w:spacing w:val="34"/>
        </w:rPr>
        <w:t> </w:t>
      </w:r>
      <w:r>
        <w:rPr/>
        <w:t>predomina</w:t>
      </w:r>
    </w:p>
    <w:p>
      <w:pPr>
        <w:spacing w:after="0" w:line="360" w:lineRule="auto"/>
        <w:jc w:val="both"/>
        <w:sectPr>
          <w:pgSz w:w="12240" w:h="15840"/>
          <w:pgMar w:header="0" w:footer="1180" w:top="1360" w:bottom="1380" w:left="1580" w:right="1300"/>
        </w:sectPr>
      </w:pPr>
    </w:p>
    <w:p>
      <w:pPr>
        <w:pStyle w:val="BodyText"/>
        <w:spacing w:line="362" w:lineRule="auto" w:before="52"/>
        <w:ind w:left="119" w:right="114"/>
        <w:jc w:val="both"/>
      </w:pPr>
      <w:r>
        <w:rPr/>
        <w:t>el ordeño manual. La leche que producen se destina para el autoconsumo familiar o es vendida a consumidores en la misma comunidad (SAGARPA, 2003).</w:t>
      </w:r>
    </w:p>
    <w:p>
      <w:pPr>
        <w:pStyle w:val="BodyText"/>
        <w:spacing w:before="4"/>
        <w:rPr>
          <w:sz w:val="31"/>
        </w:rPr>
      </w:pPr>
    </w:p>
    <w:p>
      <w:pPr>
        <w:pStyle w:val="BodyText"/>
        <w:spacing w:line="360" w:lineRule="auto"/>
        <w:ind w:left="119" w:right="126"/>
        <w:jc w:val="both"/>
      </w:pPr>
      <w:r>
        <w:rPr/>
        <w:t>La ganadería familiar es especialmente importante desde el punto de vista social por la gran cantidad de productores rurales involucrados y de población que consigue su sustento en ella. Cabe mencionar que, como actividad familiar caracterizada como ganadería de traspatio, se encuentra presente en las diferentes regiones ganaderas del país (Cavallotti y Palacio</w:t>
      </w:r>
      <w:r>
        <w:rPr>
          <w:i/>
        </w:rPr>
        <w:t>, </w:t>
      </w:r>
      <w:r>
        <w:rPr/>
        <w:t>2003).</w:t>
      </w:r>
    </w:p>
    <w:p>
      <w:pPr>
        <w:pStyle w:val="BodyText"/>
        <w:spacing w:before="6"/>
        <w:rPr>
          <w:sz w:val="31"/>
        </w:rPr>
      </w:pPr>
    </w:p>
    <w:p>
      <w:pPr>
        <w:pStyle w:val="BodyText"/>
        <w:spacing w:line="360" w:lineRule="auto"/>
        <w:ind w:left="119" w:right="113"/>
        <w:jc w:val="both"/>
      </w:pPr>
      <w:r>
        <w:rPr/>
        <w:t>Más del 80 por ciento de la leche producida en los países en desarrollo procede de los productores a pequeña escala y, permite y garantiza seguridad alimentaria y representa una fuente de empleo e ingresos para millones de familias en zonas rurales. Asimismo, el sistema puede variar, considerablemente, según el lugar, la zona agroecológica y las condiciones socioeconómicas (FAO, 2015).</w:t>
      </w:r>
    </w:p>
    <w:p>
      <w:pPr>
        <w:pStyle w:val="BodyText"/>
        <w:spacing w:before="6"/>
        <w:rPr>
          <w:sz w:val="31"/>
        </w:rPr>
      </w:pPr>
    </w:p>
    <w:p>
      <w:pPr>
        <w:pStyle w:val="BodyText"/>
        <w:spacing w:line="360" w:lineRule="auto"/>
        <w:ind w:left="119" w:right="117"/>
        <w:jc w:val="both"/>
      </w:pPr>
      <w:r>
        <w:rPr/>
        <w:t>La producción de leche en pequeña escala, es un vivo ejemplo en México, pues representa el 79% de las unidades especializadas en la producción de leche y aporta el 37% de la producción láctea de México. Es una actividad económicamente viable, porque aporta un ingreso por día igual o superior al que podrían obtener las familias productoras fuera de sus comunidades; ingreso que en su mayoría es complementado con otras fuentes (Fadul Pacheco et al., 2014).</w:t>
      </w:r>
    </w:p>
    <w:p>
      <w:pPr>
        <w:pStyle w:val="BodyText"/>
        <w:spacing w:before="6"/>
        <w:rPr>
          <w:sz w:val="31"/>
        </w:rPr>
      </w:pPr>
    </w:p>
    <w:p>
      <w:pPr>
        <w:pStyle w:val="BodyText"/>
        <w:spacing w:line="360" w:lineRule="auto"/>
        <w:ind w:left="119" w:right="122"/>
        <w:jc w:val="both"/>
      </w:pPr>
      <w:r>
        <w:rPr/>
        <w:t>Este tipo de explotación lechera se ubica en las zonas áridas, semiáridas y templadas del país, predominando en la zona central de México. Se caracteriza por pequeñas explotaciones que fluctúan entre tres y treinta vacas, que normalmente manejan los integrantes de la familia, utilizan sistemas tradicionales de producción, aprovechando eficientemente los esquilmos de la agricultura como: pajas de avena, pajas de trigo, rastrojos de maíz, sorgo entre otros. En los últimos años se ha difundido e incrementado la producción de leche en pequeña escala con praderas artificiales o inducidas, trayendo beneficios sumamente importantes para el productor (García-Martínez, et al.,</w:t>
      </w:r>
      <w:r>
        <w:rPr>
          <w:spacing w:val="-15"/>
        </w:rPr>
        <w:t> </w:t>
      </w:r>
      <w:r>
        <w:rPr/>
        <w:t>2015).</w:t>
      </w:r>
    </w:p>
    <w:p>
      <w:pPr>
        <w:spacing w:after="0" w:line="360" w:lineRule="auto"/>
        <w:jc w:val="both"/>
        <w:sectPr>
          <w:footerReference w:type="default" r:id="rId9"/>
          <w:pgSz w:w="12240" w:h="15840"/>
          <w:pgMar w:footer="1180" w:header="0" w:top="1360" w:bottom="1380" w:left="1580" w:right="1300"/>
        </w:sectPr>
      </w:pPr>
    </w:p>
    <w:p>
      <w:pPr>
        <w:pStyle w:val="BodyText"/>
        <w:spacing w:line="360" w:lineRule="auto" w:before="52"/>
        <w:ind w:left="119" w:right="111"/>
        <w:jc w:val="both"/>
      </w:pPr>
      <w:r>
        <w:rPr/>
        <w:t>Las vacas también se pastorean en praderas nativas y, en menor medida, en praderas cultivadas; como complementos los productores utilizan maíz en grano y subproductos agroindustriales, y en menor cantidad, alimentos comerciales. Otro elemento que distingue este sistema productivo es su bajo nivel tecnológico, porque los productores realizan pocas prácticas reproductivas y de mejoramiento genético y, carecen de registros de producción y las instalaciones son rústicas. Aunque predomina el sistema de ordeño manual, en los años recientes se ha incorporado el ordeño mecánico y la práctica de dos ordeños al día. Las actividades se realizan generalmente por mano de obra familiar, bajo un sistema tradicional de producción (Espinosa et al</w:t>
      </w:r>
      <w:r>
        <w:rPr>
          <w:i/>
        </w:rPr>
        <w:t>., </w:t>
      </w:r>
      <w:r>
        <w:rPr/>
        <w:t>2011).</w:t>
      </w:r>
    </w:p>
    <w:p>
      <w:pPr>
        <w:pStyle w:val="BodyText"/>
        <w:spacing w:before="6"/>
        <w:rPr>
          <w:sz w:val="31"/>
        </w:rPr>
      </w:pPr>
    </w:p>
    <w:p>
      <w:pPr>
        <w:pStyle w:val="BodyText"/>
        <w:spacing w:line="360" w:lineRule="auto" w:before="1"/>
        <w:ind w:left="119" w:right="120"/>
        <w:jc w:val="both"/>
      </w:pPr>
      <w:r>
        <w:rPr/>
        <w:t>La venta de leche proporciona ingresos complementarios para la familia, que desempeña otras actividades como albañilería y comercio. El autoconsumo es importante; se considera que la familia consume como leche cruda entre tres y cinco por ciento de lo que produce. Así, la actividad es cultural y nutricionalmente fundamental en la alimentación del productor y su familia, porque en ocasiones carecen del ingreso para adquirir leche comercial (Bennett et al</w:t>
      </w:r>
      <w:r>
        <w:rPr>
          <w:i/>
        </w:rPr>
        <w:t>., </w:t>
      </w:r>
      <w:r>
        <w:rPr/>
        <w:t>2006).</w:t>
      </w:r>
    </w:p>
    <w:p>
      <w:pPr>
        <w:pStyle w:val="BodyText"/>
        <w:spacing w:before="6"/>
        <w:rPr>
          <w:sz w:val="31"/>
        </w:rPr>
      </w:pPr>
    </w:p>
    <w:p>
      <w:pPr>
        <w:pStyle w:val="BodyText"/>
        <w:spacing w:line="360" w:lineRule="auto"/>
        <w:ind w:left="119" w:right="116"/>
        <w:jc w:val="both"/>
      </w:pPr>
      <w:r>
        <w:rPr/>
        <w:t>El excedente se consume por las crías, aunque la mayor parte, se vende a consumidores locales, sin tratamiento previo de enfriamiento o pasteurización; también se comercializa por intermediarios, quienes la recolectan de la unidad de producción, y la llevan a diferentes puntos o ciudades, donde la venden a agroindustrias locales como panaderías, procesadoras de lácteos y queserías artesanales. El actor sobresaliente de la cadena comercial es el intermediario, quien se lleva hasta el 32% de los beneficios económicos netos por la venta de la leche (Espinosa et al</w:t>
      </w:r>
      <w:r>
        <w:rPr>
          <w:i/>
        </w:rPr>
        <w:t>., </w:t>
      </w:r>
      <w:r>
        <w:rPr/>
        <w:t>2011).</w:t>
      </w:r>
    </w:p>
    <w:p>
      <w:pPr>
        <w:pStyle w:val="BodyText"/>
        <w:spacing w:before="1"/>
        <w:rPr>
          <w:sz w:val="31"/>
        </w:rPr>
      </w:pPr>
    </w:p>
    <w:p>
      <w:pPr>
        <w:pStyle w:val="BodyText"/>
        <w:spacing w:line="362" w:lineRule="auto" w:before="1"/>
        <w:ind w:left="119" w:right="122"/>
        <w:jc w:val="both"/>
      </w:pPr>
      <w:r>
        <w:rPr/>
        <w:t>La lechería familiar, presenta ventajas sociales como la accesibilidad a alimentos de origen animal de calidad tanto de la población rural como urbana; contribuye a las estrategias de vida de las familias campesinas y genera empleos. Por otra parte, con la producción de leche, se da un valor agregado al maíz, que se produce en la misma</w:t>
      </w:r>
    </w:p>
    <w:p>
      <w:pPr>
        <w:spacing w:after="0" w:line="362" w:lineRule="auto"/>
        <w:jc w:val="both"/>
        <w:sectPr>
          <w:footerReference w:type="default" r:id="rId10"/>
          <w:pgSz w:w="12240" w:h="15840"/>
          <w:pgMar w:footer="1180" w:header="0" w:top="1360" w:bottom="1380" w:left="1580" w:right="1300"/>
          <w:pgNumType w:start="31"/>
        </w:sectPr>
      </w:pPr>
    </w:p>
    <w:p>
      <w:pPr>
        <w:pStyle w:val="BodyText"/>
        <w:spacing w:line="362" w:lineRule="auto" w:before="52"/>
        <w:ind w:left="119" w:right="126"/>
        <w:jc w:val="both"/>
      </w:pPr>
      <w:r>
        <w:rPr/>
        <w:t>UP. Asimismo, es una actividad agropecuaria que proporciona liquidez diaria o semanal al productor y complementa sus ingresos.</w:t>
      </w:r>
    </w:p>
    <w:p>
      <w:pPr>
        <w:pStyle w:val="BodyText"/>
        <w:spacing w:before="6"/>
        <w:rPr>
          <w:sz w:val="30"/>
        </w:rPr>
      </w:pPr>
    </w:p>
    <w:p>
      <w:pPr>
        <w:pStyle w:val="Heading3"/>
      </w:pPr>
      <w:r>
        <w:rPr/>
        <w:t>Limitaciones</w:t>
      </w:r>
    </w:p>
    <w:p>
      <w:pPr>
        <w:pStyle w:val="BodyText"/>
        <w:spacing w:before="8"/>
        <w:rPr>
          <w:b/>
          <w:sz w:val="21"/>
        </w:rPr>
      </w:pPr>
    </w:p>
    <w:p>
      <w:pPr>
        <w:pStyle w:val="ListParagraph"/>
        <w:numPr>
          <w:ilvl w:val="3"/>
          <w:numId w:val="8"/>
        </w:numPr>
        <w:tabs>
          <w:tab w:pos="841" w:val="left" w:leader="none"/>
        </w:tabs>
        <w:spacing w:line="357" w:lineRule="auto" w:before="0" w:after="0"/>
        <w:ind w:left="840" w:right="118" w:hanging="360"/>
        <w:jc w:val="both"/>
        <w:rPr>
          <w:sz w:val="24"/>
        </w:rPr>
      </w:pPr>
      <w:r>
        <w:rPr>
          <w:sz w:val="24"/>
        </w:rPr>
        <w:t>Disponibilidad de agua y electricidad: el agua es necesaria no sólo para que las vacas la ingieran, sino también por el valor añadido de la higiene durante  la elaboración de subproductos como queso o yogurt, que a menudo  da interés a la lechería en pequeña</w:t>
      </w:r>
      <w:r>
        <w:rPr>
          <w:spacing w:val="-13"/>
          <w:sz w:val="24"/>
        </w:rPr>
        <w:t> </w:t>
      </w:r>
      <w:r>
        <w:rPr>
          <w:sz w:val="24"/>
        </w:rPr>
        <w:t>escala.</w:t>
      </w:r>
    </w:p>
    <w:p>
      <w:pPr>
        <w:pStyle w:val="ListParagraph"/>
        <w:numPr>
          <w:ilvl w:val="3"/>
          <w:numId w:val="8"/>
        </w:numPr>
        <w:tabs>
          <w:tab w:pos="908" w:val="left" w:leader="none"/>
        </w:tabs>
        <w:spacing w:line="357" w:lineRule="auto" w:before="3" w:after="0"/>
        <w:ind w:left="840" w:right="119" w:hanging="360"/>
        <w:jc w:val="both"/>
        <w:rPr>
          <w:sz w:val="24"/>
        </w:rPr>
      </w:pPr>
      <w:r>
        <w:rPr>
          <w:sz w:val="24"/>
        </w:rPr>
        <w:t>Conocimientos de zootecnia, en particular de nutrición. Para los pequeños productores que tienen animales lecheros, la alimentación de éstos suele representar entre 60% y 70% del costo de la producción de la</w:t>
      </w:r>
      <w:r>
        <w:rPr>
          <w:spacing w:val="-32"/>
          <w:sz w:val="24"/>
        </w:rPr>
        <w:t> </w:t>
      </w:r>
      <w:r>
        <w:rPr>
          <w:sz w:val="24"/>
        </w:rPr>
        <w:t>leche.</w:t>
      </w:r>
    </w:p>
    <w:p>
      <w:pPr>
        <w:pStyle w:val="ListParagraph"/>
        <w:numPr>
          <w:ilvl w:val="3"/>
          <w:numId w:val="8"/>
        </w:numPr>
        <w:tabs>
          <w:tab w:pos="841" w:val="left" w:leader="none"/>
        </w:tabs>
        <w:spacing w:line="355" w:lineRule="auto" w:before="3" w:after="0"/>
        <w:ind w:left="840" w:right="111" w:hanging="360"/>
        <w:jc w:val="both"/>
        <w:rPr>
          <w:sz w:val="24"/>
        </w:rPr>
      </w:pPr>
      <w:r>
        <w:rPr>
          <w:sz w:val="24"/>
        </w:rPr>
        <w:t>Acceso a servicios de apoyo, como el suministro de piensos, extensión de sanidad animal e inseminación</w:t>
      </w:r>
      <w:r>
        <w:rPr>
          <w:spacing w:val="-15"/>
          <w:sz w:val="24"/>
        </w:rPr>
        <w:t> </w:t>
      </w:r>
      <w:r>
        <w:rPr>
          <w:sz w:val="24"/>
        </w:rPr>
        <w:t>artificial.</w:t>
      </w:r>
    </w:p>
    <w:p>
      <w:pPr>
        <w:pStyle w:val="ListParagraph"/>
        <w:numPr>
          <w:ilvl w:val="3"/>
          <w:numId w:val="8"/>
        </w:numPr>
        <w:tabs>
          <w:tab w:pos="841" w:val="left" w:leader="none"/>
        </w:tabs>
        <w:spacing w:line="357" w:lineRule="auto" w:before="6" w:after="0"/>
        <w:ind w:left="840" w:right="111" w:hanging="360"/>
        <w:jc w:val="both"/>
        <w:rPr>
          <w:sz w:val="24"/>
        </w:rPr>
      </w:pPr>
      <w:r>
        <w:rPr>
          <w:sz w:val="24"/>
        </w:rPr>
        <w:t>Acceso a tecnologías adaptadas y conocidas de producción y elaboración: las novedades tecnológicas recientes incluyen envasado y sistemas de pasterización de bajo costo, con gran demanda en los países en desarrollo productores de</w:t>
      </w:r>
      <w:r>
        <w:rPr>
          <w:spacing w:val="-7"/>
          <w:sz w:val="24"/>
        </w:rPr>
        <w:t> </w:t>
      </w:r>
      <w:r>
        <w:rPr>
          <w:sz w:val="24"/>
        </w:rPr>
        <w:t>leche.</w:t>
      </w:r>
    </w:p>
    <w:p>
      <w:pPr>
        <w:pStyle w:val="BodyText"/>
      </w:pPr>
    </w:p>
    <w:p>
      <w:pPr>
        <w:pStyle w:val="BodyText"/>
      </w:pPr>
    </w:p>
    <w:p>
      <w:pPr>
        <w:pStyle w:val="BodyText"/>
        <w:spacing w:before="1"/>
        <w:rPr>
          <w:sz w:val="20"/>
        </w:rPr>
      </w:pPr>
    </w:p>
    <w:p>
      <w:pPr>
        <w:pStyle w:val="BodyText"/>
        <w:spacing w:line="360" w:lineRule="auto"/>
        <w:ind w:left="119" w:right="110"/>
        <w:jc w:val="both"/>
      </w:pPr>
      <w:r>
        <w:rPr/>
        <w:t>Es evidente que en algunos casos, el costo de la producción y el nivel de la infraestructura básica necesaria, impiden que sea competitivo producir leche. La medida de la competitividad también debe contemplar otros factores de mucho peso, como las preferencias del mercado local (por ejemplo, por la leche fresca). Con frecuencia los productores no saben lo que requiere el mercado y no tienen tiempo ni capacidad para investigar la demanda del mismo. Los mediadores o intermediarios, debido a su función, a menudo no gozan de prestigio y se les considera un elemento innecesario en las cadenas de suministro de la leche (Bennett et al</w:t>
      </w:r>
      <w:r>
        <w:rPr>
          <w:i/>
        </w:rPr>
        <w:t>., </w:t>
      </w:r>
      <w:r>
        <w:rPr/>
        <w:t>2006).</w:t>
      </w:r>
    </w:p>
    <w:p>
      <w:pPr>
        <w:pStyle w:val="BodyText"/>
        <w:spacing w:before="11"/>
        <w:rPr>
          <w:sz w:val="31"/>
        </w:rPr>
      </w:pPr>
    </w:p>
    <w:p>
      <w:pPr>
        <w:pStyle w:val="BodyText"/>
        <w:spacing w:line="360" w:lineRule="auto"/>
        <w:ind w:left="119" w:right="111"/>
        <w:jc w:val="both"/>
      </w:pPr>
      <w:r>
        <w:rPr/>
        <w:t>No obstante, en las cadenas informales predominantes, estos desempeñan una función clave porque conectan al productor con el consumidor. Los intermediarios, a menudo, proporcionan crédito y ahorros al agricultor, en este caso, al productor de</w:t>
      </w:r>
    </w:p>
    <w:p>
      <w:pPr>
        <w:spacing w:after="0" w:line="360" w:lineRule="auto"/>
        <w:jc w:val="both"/>
        <w:sectPr>
          <w:pgSz w:w="12240" w:h="15840"/>
          <w:pgMar w:header="0" w:footer="1180" w:top="1360" w:bottom="1380" w:left="1580" w:right="1300"/>
        </w:sectPr>
      </w:pPr>
    </w:p>
    <w:p>
      <w:pPr>
        <w:pStyle w:val="BodyText"/>
        <w:spacing w:line="362" w:lineRule="auto" w:before="52"/>
        <w:ind w:left="119" w:right="126"/>
        <w:jc w:val="both"/>
      </w:pPr>
      <w:r>
        <w:rPr/>
        <w:t>leche, aunque el costo de estos servicios, sobretodo, de los préstamos a la palabra, son demasiado caros, es motivo de preocupación.</w:t>
      </w:r>
    </w:p>
    <w:p>
      <w:pPr>
        <w:pStyle w:val="BodyText"/>
        <w:spacing w:before="4"/>
        <w:rPr>
          <w:sz w:val="31"/>
        </w:rPr>
      </w:pPr>
    </w:p>
    <w:p>
      <w:pPr>
        <w:pStyle w:val="BodyText"/>
        <w:spacing w:line="360" w:lineRule="auto"/>
        <w:ind w:left="119" w:right="113"/>
        <w:jc w:val="both"/>
      </w:pPr>
      <w:r>
        <w:rPr/>
        <w:t>Sin embargo, y no obstante la gran demanda que existe por la leche y los productos lácteos, la apertura comercial, particularmente a través del Tratado de Libre  Comercio de América del Norte (TLCAN) con Estados Unidos y Canadá, representa un futuro altamente competitivo, pues la producción de leche y los productos lácteos enfrentan los </w:t>
      </w:r>
      <w:r>
        <w:rPr>
          <w:spacing w:val="-2"/>
        </w:rPr>
        <w:t>mismos </w:t>
      </w:r>
      <w:r>
        <w:rPr/>
        <w:t>escenarios del maíz, de </w:t>
      </w:r>
      <w:r>
        <w:rPr>
          <w:spacing w:val="-3"/>
        </w:rPr>
        <w:t>forma </w:t>
      </w:r>
      <w:r>
        <w:rPr/>
        <w:t>que el país puede ver su producción láctea grandemente desplazada por productos de importación de bajo precio al consumidor (Espinoza-Ortega et al.,</w:t>
      </w:r>
      <w:r>
        <w:rPr>
          <w:spacing w:val="-18"/>
        </w:rPr>
        <w:t> </w:t>
      </w:r>
      <w:r>
        <w:rPr/>
        <w:t>2001).</w:t>
      </w:r>
    </w:p>
    <w:p>
      <w:pPr>
        <w:pStyle w:val="BodyText"/>
        <w:rPr>
          <w:sz w:val="32"/>
        </w:rPr>
      </w:pPr>
    </w:p>
    <w:p>
      <w:pPr>
        <w:pStyle w:val="Heading4"/>
        <w:rPr>
          <w:i/>
        </w:rPr>
      </w:pPr>
      <w:r>
        <w:rPr>
          <w:i/>
        </w:rPr>
        <w:t>2.3.2.4. Sistema de producción de doble propósito</w:t>
      </w:r>
    </w:p>
    <w:p>
      <w:pPr>
        <w:pStyle w:val="BodyText"/>
        <w:rPr>
          <w:b/>
          <w:i/>
        </w:rPr>
      </w:pPr>
    </w:p>
    <w:p>
      <w:pPr>
        <w:pStyle w:val="BodyText"/>
        <w:spacing w:before="2"/>
        <w:rPr>
          <w:b/>
          <w:i/>
          <w:sz w:val="19"/>
        </w:rPr>
      </w:pPr>
    </w:p>
    <w:p>
      <w:pPr>
        <w:pStyle w:val="BodyText"/>
        <w:spacing w:line="360" w:lineRule="auto"/>
        <w:ind w:left="119" w:right="120"/>
        <w:jc w:val="both"/>
      </w:pPr>
      <w:r>
        <w:rPr/>
        <w:t>El sistema doble propósito (DP) hoy por hoy se está constituyendo en una alternativa muy viable para producir carne y leche sin la necesidad de una gran infraestructura para lograr tal fin. Son muchas las ventajas en comparación con sistemas de lechería especializada o el sistema de cría a toda leche, a fin de cuenta, genera mayores ingresos por concepto de la venta de leche y al finalizar la lactancia la posterior venta de la cría destetada.</w:t>
      </w:r>
    </w:p>
    <w:p>
      <w:pPr>
        <w:pStyle w:val="BodyText"/>
        <w:spacing w:before="6"/>
        <w:rPr>
          <w:sz w:val="31"/>
        </w:rPr>
      </w:pPr>
    </w:p>
    <w:p>
      <w:pPr>
        <w:pStyle w:val="BodyText"/>
        <w:spacing w:line="360" w:lineRule="auto"/>
        <w:ind w:left="119" w:right="116"/>
        <w:jc w:val="both"/>
      </w:pPr>
      <w:r>
        <w:rPr/>
        <w:t>En las razas doble propósito, se caracteriza por su tendencia a la producción de carne como de leche dado que su rusticidad las hacen adaptarse a una gran  variedad de climas, estos sistemas tienen estructuras u organizaciones </w:t>
      </w:r>
      <w:r>
        <w:rPr>
          <w:spacing w:val="-3"/>
        </w:rPr>
        <w:t>muy </w:t>
      </w:r>
      <w:r>
        <w:rPr/>
        <w:t>diversas que asociadas a la diversidad ambiental y fundamental conforman un fenómeno complejo dinámico, que sin embargo le hacen sustentables y competitivos, en comparación a los sistemas especializados (Camargo,</w:t>
      </w:r>
      <w:r>
        <w:rPr>
          <w:spacing w:val="-29"/>
        </w:rPr>
        <w:t> </w:t>
      </w:r>
      <w:r>
        <w:rPr/>
        <w:t>2000).</w:t>
      </w:r>
    </w:p>
    <w:p>
      <w:pPr>
        <w:pStyle w:val="BodyText"/>
        <w:spacing w:before="6"/>
        <w:rPr>
          <w:sz w:val="31"/>
        </w:rPr>
      </w:pPr>
    </w:p>
    <w:p>
      <w:pPr>
        <w:pStyle w:val="BodyText"/>
        <w:spacing w:line="360" w:lineRule="auto"/>
        <w:ind w:left="119" w:right="117"/>
        <w:jc w:val="both"/>
      </w:pPr>
      <w:r>
        <w:rPr/>
        <w:t>Este sistema se desarrolla, principalmente, en las regiones tropicales de México, aunque también se pueden encontrar en regiones de clima árido, semiárido y templado.</w:t>
      </w:r>
    </w:p>
    <w:p>
      <w:pPr>
        <w:spacing w:after="0" w:line="360" w:lineRule="auto"/>
        <w:jc w:val="both"/>
        <w:sectPr>
          <w:pgSz w:w="12240" w:h="15840"/>
          <w:pgMar w:header="0" w:footer="1180" w:top="1360" w:bottom="1380" w:left="1580" w:right="1300"/>
        </w:sectPr>
      </w:pPr>
    </w:p>
    <w:p>
      <w:pPr>
        <w:pStyle w:val="BodyText"/>
        <w:spacing w:line="360" w:lineRule="auto" w:before="52"/>
        <w:ind w:left="119" w:right="111"/>
        <w:jc w:val="both"/>
      </w:pPr>
      <w:r>
        <w:rPr/>
        <w:t>Utilizan las razas </w:t>
      </w:r>
      <w:r>
        <w:rPr>
          <w:i/>
        </w:rPr>
        <w:t>BosIndicus </w:t>
      </w:r>
      <w:r>
        <w:rPr/>
        <w:t>(Gyr, Nelore y Guzerat) o sus cruzas con </w:t>
      </w:r>
      <w:r>
        <w:rPr>
          <w:i/>
        </w:rPr>
        <w:t>Bos Taurus </w:t>
      </w:r>
      <w:r>
        <w:rPr/>
        <w:t>como Pardo Suizo, Holstein y Simmental. Se le llama de doble propósito porque con el ganado de estas explotaciones se produce carne y leche. La alimentación se basa en el pastoreo y la ordeña se realiza, generalmente, de forma manual. La leche que aquí se produce se comercializa, directamente con el consumidor, a intermediarios (boteros) para su redistribución al consumidor final o a queseros de la región (Ortega y Ward</w:t>
      </w:r>
      <w:r>
        <w:rPr>
          <w:i/>
        </w:rPr>
        <w:t>, </w:t>
      </w:r>
      <w:r>
        <w:rPr/>
        <w:t>2005).</w:t>
      </w:r>
    </w:p>
    <w:p>
      <w:pPr>
        <w:spacing w:after="0" w:line="360" w:lineRule="auto"/>
        <w:jc w:val="both"/>
        <w:sectPr>
          <w:pgSz w:w="12240" w:h="15840"/>
          <w:pgMar w:header="0" w:footer="1180" w:top="1360" w:bottom="1380" w:left="1580" w:right="1300"/>
        </w:sectPr>
      </w:pPr>
    </w:p>
    <w:p>
      <w:pPr>
        <w:pStyle w:val="BodyText"/>
        <w:spacing w:line="360" w:lineRule="auto" w:before="52"/>
        <w:ind w:left="119" w:right="114"/>
        <w:jc w:val="both"/>
      </w:pPr>
      <w:r>
        <w:rPr/>
        <w:t>El sistema, tiene dos objetivos fundamentales: la producción de leche en la que el ordeño, comúnmente se realiza de manera manual y con el apoyo del becerro para facilitar su descenso y, la producción de carne, mediante la cría de becerros al destete (Suárez </w:t>
      </w:r>
      <w:r>
        <w:rPr>
          <w:i/>
        </w:rPr>
        <w:t>et al., </w:t>
      </w:r>
      <w:r>
        <w:rPr/>
        <w:t>2012).</w:t>
      </w:r>
    </w:p>
    <w:p>
      <w:pPr>
        <w:pStyle w:val="BodyText"/>
        <w:spacing w:before="6"/>
        <w:rPr>
          <w:sz w:val="31"/>
        </w:rPr>
      </w:pPr>
    </w:p>
    <w:p>
      <w:pPr>
        <w:pStyle w:val="BodyText"/>
        <w:spacing w:line="360" w:lineRule="auto"/>
        <w:ind w:left="119" w:right="115"/>
        <w:jc w:val="both"/>
      </w:pPr>
      <w:r>
        <w:rPr/>
        <w:t>En México, este sistema de producción cobra especial importancia ya que el área tropical de México abarca 51.3 millones de hectáreas, equivalentes al 26.2 % del territorio nacional. De esta superficie 19 millones de hectáreas se dedican a la producción pecuaria, donde pastorean, aproximadamente, 12 millones de bovinos (40% del inventario nacional), que producen el 28% y 39% de la leche y carne respectivamente, que se consume en México.</w:t>
      </w:r>
    </w:p>
    <w:p>
      <w:pPr>
        <w:pStyle w:val="BodyText"/>
        <w:spacing w:before="6"/>
        <w:rPr>
          <w:sz w:val="31"/>
        </w:rPr>
      </w:pPr>
    </w:p>
    <w:p>
      <w:pPr>
        <w:pStyle w:val="BodyText"/>
        <w:spacing w:line="360" w:lineRule="auto" w:before="1"/>
        <w:ind w:left="119" w:right="116"/>
        <w:jc w:val="both"/>
      </w:pPr>
      <w:r>
        <w:rPr/>
        <w:t>El </w:t>
      </w:r>
      <w:r>
        <w:rPr>
          <w:spacing w:val="-3"/>
        </w:rPr>
        <w:t>manejo </w:t>
      </w:r>
      <w:r>
        <w:rPr/>
        <w:t>del ganado y la alimentación se basa en al pastoreo directo de gramíneas o pastos cultivados y ocasionalmente suministran complementos alimenticios. La principal ventaja de este modelo es los bajos costos por concepto de alimentación, sin embargo, la fluctuación de la producción de leche es alta dado que depende del pastoreo (trópico húmedo y subhúmedo), de que el productor aprovecha la época </w:t>
      </w:r>
      <w:r>
        <w:rPr>
          <w:spacing w:val="-3"/>
        </w:rPr>
        <w:t>más </w:t>
      </w:r>
      <w:r>
        <w:rPr/>
        <w:t>favorable del año (mayor cantidad de pasto) para ordeñar las vacas, y de que el uso de alimentos concentrados y forrajes de corte es marginal. En general producen en condiciones de gran rusticidad desde el punto de vista del uso de tecnologías y sus rendimientos son débiles (Cavallotti y Palacio,</w:t>
      </w:r>
      <w:r>
        <w:rPr>
          <w:spacing w:val="-22"/>
        </w:rPr>
        <w:t> </w:t>
      </w:r>
      <w:r>
        <w:rPr/>
        <w:t>2003).</w:t>
      </w:r>
    </w:p>
    <w:p>
      <w:pPr>
        <w:pStyle w:val="BodyText"/>
        <w:spacing w:before="6"/>
        <w:rPr>
          <w:sz w:val="31"/>
        </w:rPr>
      </w:pPr>
    </w:p>
    <w:p>
      <w:pPr>
        <w:pStyle w:val="BodyText"/>
        <w:spacing w:line="360" w:lineRule="auto"/>
        <w:ind w:left="119" w:right="126"/>
        <w:jc w:val="both"/>
      </w:pPr>
      <w:r>
        <w:rPr/>
        <w:t>Las principales regiones productoras de leche en el trópico mexicano son Veracruz, la Huasteca, Chiapas y Tabasco (Martínez-Castro </w:t>
      </w:r>
      <w:r>
        <w:rPr>
          <w:i/>
        </w:rPr>
        <w:t>et al.,</w:t>
      </w:r>
      <w:r>
        <w:rPr>
          <w:i/>
          <w:spacing w:val="-22"/>
        </w:rPr>
        <w:t> </w:t>
      </w:r>
      <w:r>
        <w:rPr/>
        <w:t>2012).</w:t>
      </w:r>
    </w:p>
    <w:p>
      <w:pPr>
        <w:pStyle w:val="BodyText"/>
        <w:spacing w:before="6"/>
        <w:rPr>
          <w:sz w:val="31"/>
        </w:rPr>
      </w:pPr>
    </w:p>
    <w:p>
      <w:pPr>
        <w:pStyle w:val="Heading3"/>
      </w:pPr>
      <w:bookmarkStart w:name="_bookmark18" w:id="28"/>
      <w:bookmarkEnd w:id="28"/>
      <w:r>
        <w:rPr>
          <w:b w:val="0"/>
        </w:rPr>
      </w:r>
      <w:r>
        <w:rPr/>
        <w:t>La ganadería en el sur del Estado de México</w:t>
      </w:r>
    </w:p>
    <w:p>
      <w:pPr>
        <w:pStyle w:val="BodyText"/>
        <w:rPr>
          <w:b/>
        </w:rPr>
      </w:pPr>
    </w:p>
    <w:p>
      <w:pPr>
        <w:pStyle w:val="BodyText"/>
        <w:spacing w:before="7"/>
        <w:rPr>
          <w:b/>
          <w:sz w:val="19"/>
        </w:rPr>
      </w:pPr>
    </w:p>
    <w:p>
      <w:pPr>
        <w:pStyle w:val="BodyText"/>
        <w:spacing w:line="360" w:lineRule="auto"/>
        <w:ind w:left="119" w:right="113"/>
        <w:jc w:val="both"/>
      </w:pPr>
      <w:r>
        <w:rPr/>
        <w:t>La superficie total del Estado de México es 2.2 millones hectáreas, de las cuales 80% se constituye por áreas ejidales y comunales y de la superficie restante se le asigna  a la propiedad privada. El Estado de México posee un área agrícola de riego de 105,383 hectáreas y 552,243 hectáreas son de temporal (SAGARPA,</w:t>
      </w:r>
      <w:r>
        <w:rPr>
          <w:spacing w:val="-36"/>
        </w:rPr>
        <w:t> </w:t>
      </w:r>
      <w:r>
        <w:rPr/>
        <w:t>2009).</w:t>
      </w:r>
    </w:p>
    <w:p>
      <w:pPr>
        <w:spacing w:after="0" w:line="360" w:lineRule="auto"/>
        <w:jc w:val="both"/>
        <w:sectPr>
          <w:pgSz w:w="12240" w:h="15840"/>
          <w:pgMar w:header="0" w:footer="1180" w:top="1360" w:bottom="1380" w:left="1580" w:right="1300"/>
        </w:sectPr>
      </w:pPr>
    </w:p>
    <w:p>
      <w:pPr>
        <w:pStyle w:val="BodyText"/>
        <w:spacing w:line="360" w:lineRule="auto" w:before="52"/>
        <w:ind w:left="119" w:right="113"/>
        <w:jc w:val="both"/>
      </w:pPr>
      <w:r>
        <w:rPr/>
        <w:t>La Agricultura del Estado de México, se caracteriza porque la mayoría de la  superficie de cultivo es de temporal, principalmente enfocada al monocultivo del maíz, presentado minifundismo como consecuencia de la alta densidad de habitantes. A su vez, la ganadería presenta una polarización marcada entre la fracción reducida de ganaderos quienes combinan la actividad ganadera con la agricultura (SAGARPA,</w:t>
      </w:r>
      <w:r>
        <w:rPr>
          <w:spacing w:val="-13"/>
        </w:rPr>
        <w:t> </w:t>
      </w:r>
      <w:r>
        <w:rPr/>
        <w:t>2009).</w:t>
      </w:r>
    </w:p>
    <w:p>
      <w:pPr>
        <w:pStyle w:val="BodyText"/>
        <w:spacing w:before="6"/>
        <w:rPr>
          <w:sz w:val="31"/>
        </w:rPr>
      </w:pPr>
    </w:p>
    <w:p>
      <w:pPr>
        <w:pStyle w:val="BodyText"/>
        <w:spacing w:line="360" w:lineRule="auto"/>
        <w:ind w:left="119" w:right="115"/>
        <w:jc w:val="both"/>
      </w:pPr>
      <w:r>
        <w:rPr/>
        <w:t>La producción de la ganadería bovina de carne presenta desequilibrios similares a  los de la agricultura, pero además la presencia en la gran mayoría de pequeños productores de factores de deficiencia en el uso de insumos, recursos económicos y malos canales de comercialización (Hernández </w:t>
      </w:r>
      <w:r>
        <w:rPr>
          <w:i/>
        </w:rPr>
        <w:t>et al.</w:t>
      </w:r>
      <w:r>
        <w:rPr/>
        <w:t>,</w:t>
      </w:r>
      <w:r>
        <w:rPr>
          <w:spacing w:val="-13"/>
        </w:rPr>
        <w:t> </w:t>
      </w:r>
      <w:r>
        <w:rPr/>
        <w:t>2011</w:t>
      </w:r>
      <w:r>
        <w:rPr>
          <w:i/>
        </w:rPr>
        <w:t>)</w:t>
      </w:r>
      <w:r>
        <w:rPr/>
        <w:t>.</w:t>
      </w:r>
    </w:p>
    <w:p>
      <w:pPr>
        <w:pStyle w:val="BodyText"/>
        <w:spacing w:before="6"/>
        <w:rPr>
          <w:sz w:val="31"/>
        </w:rPr>
      </w:pPr>
    </w:p>
    <w:p>
      <w:pPr>
        <w:pStyle w:val="BodyText"/>
        <w:spacing w:line="360" w:lineRule="auto" w:before="1"/>
        <w:ind w:left="119" w:right="121"/>
        <w:jc w:val="both"/>
      </w:pPr>
      <w:r>
        <w:rPr/>
        <w:t>El sur del Estado de México, se considera como una región eminentemente  ganadera ya que, históricamente, ha concentrado el mayor inventario de ganado bovino productor de carne, esta actividad económica se caracteriza por la existencia de una topografía accidentada y con suelos pobres en nutrientes y carente de riego, con praderas naturales o inducidas cuyo </w:t>
      </w:r>
      <w:r>
        <w:rPr>
          <w:spacing w:val="-3"/>
        </w:rPr>
        <w:t>manejo </w:t>
      </w:r>
      <w:r>
        <w:rPr/>
        <w:t>y restauración es mínimo y  procesos acelerados de desertificación, sobre todo en los municipios al sureste de la región. En este proceso de sobre pastoreo y </w:t>
      </w:r>
      <w:r>
        <w:rPr>
          <w:spacing w:val="-3"/>
        </w:rPr>
        <w:t>mal manejo </w:t>
      </w:r>
      <w:r>
        <w:rPr/>
        <w:t>de las praderas,  son factores desencadenantes de la desertificación en 70% de la zona (COTECOCA, 1999).</w:t>
      </w:r>
    </w:p>
    <w:p>
      <w:pPr>
        <w:pStyle w:val="BodyText"/>
        <w:spacing w:before="1"/>
        <w:rPr>
          <w:sz w:val="31"/>
        </w:rPr>
      </w:pPr>
    </w:p>
    <w:p>
      <w:pPr>
        <w:pStyle w:val="BodyText"/>
        <w:spacing w:line="360" w:lineRule="auto"/>
        <w:ind w:left="119" w:right="117"/>
        <w:jc w:val="both"/>
      </w:pPr>
      <w:r>
        <w:rPr/>
        <w:t>La extensión territorial del Estado de México es 22,357 km</w:t>
      </w:r>
      <w:r>
        <w:rPr>
          <w:position w:val="8"/>
          <w:sz w:val="16"/>
        </w:rPr>
        <w:t>2</w:t>
      </w:r>
      <w:r>
        <w:rPr/>
        <w:t>; dentro de la cual, se destinan alrededor de 1.3 millones de hectáreas a las actividades agropecuarias, se desarrollan en el 58% del territorio estatal (386 mil hectáreas), mientras que la agricultura ocupa 40.2% de la superficie total, sobresaliendo el área destinada a maíz para producción de grano y de forraje, ocupando más del 67% de la superficie cultivable del Estado; el primero se siembra en una superficie de 580 mil hectáreas, mientras que el cultivo de pastos ocupa más de 85 mil hectáreas y alfalfa en 15.7 mil hectáreas. La producción de grano participa en la generación del 32.54% del ingreso del subsector (Pineda et al., 2009).</w:t>
      </w:r>
    </w:p>
    <w:p>
      <w:pPr>
        <w:spacing w:after="0" w:line="360" w:lineRule="auto"/>
        <w:jc w:val="both"/>
        <w:sectPr>
          <w:pgSz w:w="12240" w:h="15840"/>
          <w:pgMar w:header="0" w:footer="1180" w:top="1360" w:bottom="1380" w:left="1580" w:right="1300"/>
        </w:sectPr>
      </w:pPr>
    </w:p>
    <w:p>
      <w:pPr>
        <w:pStyle w:val="BodyText"/>
        <w:spacing w:line="360" w:lineRule="auto" w:before="52"/>
        <w:ind w:left="119" w:right="124"/>
        <w:jc w:val="both"/>
      </w:pPr>
      <w:r>
        <w:rPr/>
        <w:t>No obstante lo anterior, existen factores que limitan el desarrollo del agro en el Estado, entre los que destacan factores estructurales: descapitalización y falta de financiamiento, fragmentación de la propiedad rural, falta de capacitación y ausencia de organización, carencia </w:t>
      </w:r>
      <w:r>
        <w:rPr>
          <w:spacing w:val="3"/>
        </w:rPr>
        <w:t>de </w:t>
      </w:r>
      <w:r>
        <w:rPr/>
        <w:t>información tecnológica y dificultades para la comercialización y factores coyunturales </w:t>
      </w:r>
      <w:r>
        <w:rPr>
          <w:spacing w:val="-3"/>
        </w:rPr>
        <w:t>como </w:t>
      </w:r>
      <w:r>
        <w:rPr/>
        <w:t>bajo nivel tecnológico, mientras que no se tiene establecido un vínculo real entre las instituciones de investigación y los usuarios de las tecnologías (SAGARPA,</w:t>
      </w:r>
      <w:r>
        <w:rPr>
          <w:spacing w:val="-15"/>
        </w:rPr>
        <w:t> </w:t>
      </w:r>
      <w:r>
        <w:rPr/>
        <w:t>2006).</w:t>
      </w:r>
    </w:p>
    <w:p>
      <w:pPr>
        <w:pStyle w:val="BodyText"/>
        <w:spacing w:before="6"/>
        <w:rPr>
          <w:sz w:val="31"/>
        </w:rPr>
      </w:pPr>
    </w:p>
    <w:p>
      <w:pPr>
        <w:pStyle w:val="BodyText"/>
        <w:spacing w:line="360" w:lineRule="auto"/>
        <w:ind w:left="119" w:right="125"/>
        <w:jc w:val="both"/>
      </w:pPr>
      <w:r>
        <w:rPr/>
        <w:t>La entidad participa con 2.5% de la carne del país ocupando el décimo quinto sitio. Sin embargo, no deja de ser importante para la economía de los productores, cuya cadena nacional generó en el 2011, 1, 800,000 toneladas de carne en canal (FR, 2012). Esto indica que durante ese mismo año, se generaron $43,542.1 toneladas en la entidad (SEDAGRO-GEM, 2015).</w:t>
      </w:r>
    </w:p>
    <w:p>
      <w:pPr>
        <w:pStyle w:val="BodyText"/>
        <w:spacing w:before="6"/>
        <w:rPr>
          <w:sz w:val="31"/>
        </w:rPr>
      </w:pPr>
    </w:p>
    <w:p>
      <w:pPr>
        <w:pStyle w:val="BodyText"/>
        <w:spacing w:line="360" w:lineRule="auto"/>
        <w:ind w:left="119" w:right="113"/>
        <w:jc w:val="both"/>
      </w:pPr>
      <w:r>
        <w:rPr/>
        <w:t>La ganadería del tipo extensiva, para producción de doble propósito (carne y leche), y en menor cantidad, de caprinos, se desarrolla en el sur </w:t>
      </w:r>
      <w:r>
        <w:rPr>
          <w:spacing w:val="4"/>
        </w:rPr>
        <w:t>del </w:t>
      </w:r>
      <w:r>
        <w:rPr/>
        <w:t>Estado, en las regiones de Tejupilco y Valle de Bravo. En el Centro Norte, predominan las explotaciones de tipo intensivo y semi-intensivo, para la producción y engorda de carne de bovino, ovinos. La leche de bovino se obtiene en las llamadas cuencas lecheras del norte, Valle de México y Valle de Toluca. La zona oriente de la entidad se caracteriza por la producción de leche de vaca en explotaciones intensivas (SAGARPA,</w:t>
      </w:r>
      <w:r>
        <w:rPr>
          <w:spacing w:val="-31"/>
        </w:rPr>
        <w:t> </w:t>
      </w:r>
      <w:r>
        <w:rPr/>
        <w:t>2006).</w:t>
      </w:r>
    </w:p>
    <w:p>
      <w:pPr>
        <w:pStyle w:val="BodyText"/>
        <w:spacing w:before="6"/>
        <w:rPr>
          <w:sz w:val="31"/>
        </w:rPr>
      </w:pPr>
    </w:p>
    <w:p>
      <w:pPr>
        <w:pStyle w:val="BodyText"/>
        <w:spacing w:line="360" w:lineRule="auto"/>
        <w:ind w:left="119" w:right="111"/>
        <w:jc w:val="both"/>
      </w:pPr>
      <w:r>
        <w:rPr/>
        <w:t>Los principales sistemas de producción de leche incluyen los de leche en pequeña escala a nivel de valle (Arriaga-Jordán </w:t>
      </w:r>
      <w:r>
        <w:rPr>
          <w:i/>
        </w:rPr>
        <w:t>et al., </w:t>
      </w:r>
      <w:r>
        <w:rPr/>
        <w:t>2002), mientras que en el sur de la entidad el sistema se caracteriza por un sistema de doble propósito, mismo que utilizan elevadas cantidades de concentrado comercial (Albarrán-Portillo </w:t>
      </w:r>
      <w:r>
        <w:rPr>
          <w:i/>
        </w:rPr>
        <w:t>et al., </w:t>
      </w:r>
      <w:r>
        <w:rPr/>
        <w:t>2008; Hernández-Morales, 2008), principalmente en la época de secas.</w:t>
      </w:r>
    </w:p>
    <w:p>
      <w:pPr>
        <w:pStyle w:val="BodyText"/>
        <w:spacing w:before="6"/>
        <w:rPr>
          <w:sz w:val="31"/>
        </w:rPr>
      </w:pPr>
    </w:p>
    <w:p>
      <w:pPr>
        <w:pStyle w:val="BodyText"/>
        <w:spacing w:line="360" w:lineRule="auto"/>
        <w:ind w:left="119" w:right="125"/>
        <w:jc w:val="both"/>
      </w:pPr>
      <w:r>
        <w:rPr/>
        <w:t>El ganado presente en estos sistemas de producción son razas europeas de Cebú encastados con razas europeas para producción de carne y para la producción de leche, incluso se observa ganado Holstein puro (Hernández-Morales, 2008).</w:t>
      </w:r>
    </w:p>
    <w:p>
      <w:pPr>
        <w:spacing w:after="0" w:line="360" w:lineRule="auto"/>
        <w:jc w:val="both"/>
        <w:sectPr>
          <w:pgSz w:w="12240" w:h="15840"/>
          <w:pgMar w:header="0" w:footer="1180" w:top="1360" w:bottom="1380" w:left="1580" w:right="1300"/>
        </w:sectPr>
      </w:pPr>
    </w:p>
    <w:p>
      <w:pPr>
        <w:pStyle w:val="BodyText"/>
        <w:spacing w:line="360" w:lineRule="auto" w:before="52"/>
        <w:ind w:left="119" w:right="111"/>
        <w:jc w:val="both"/>
      </w:pPr>
      <w:r>
        <w:rPr/>
        <w:t>La alimentación </w:t>
      </w:r>
      <w:r>
        <w:rPr>
          <w:spacing w:val="-3"/>
        </w:rPr>
        <w:t>se </w:t>
      </w:r>
      <w:r>
        <w:rPr/>
        <w:t>define por la producción de forrajes en dos épocas bien definidas. Por un lado el periodo seco, en el cual se incrementa el uso de insumos externos (concentrados comerciales) y el periodo de lluvias, caracterizado por el incremento  en la producción de forrajes en la misma explotación que hace que disminuya considerablemente el uso de concentrados comerciales (Albarrán-Portillo </w:t>
      </w:r>
      <w:r>
        <w:rPr>
          <w:i/>
        </w:rPr>
        <w:t>et al., </w:t>
      </w:r>
      <w:r>
        <w:rPr/>
        <w:t>2008).</w:t>
      </w:r>
    </w:p>
    <w:p>
      <w:pPr>
        <w:pStyle w:val="BodyText"/>
      </w:pPr>
    </w:p>
    <w:p>
      <w:pPr>
        <w:pStyle w:val="Heading1"/>
        <w:numPr>
          <w:ilvl w:val="1"/>
          <w:numId w:val="4"/>
        </w:numPr>
        <w:tabs>
          <w:tab w:pos="3308" w:val="left" w:leader="none"/>
          <w:tab w:pos="3309" w:val="left" w:leader="none"/>
        </w:tabs>
        <w:spacing w:line="240" w:lineRule="auto" w:before="203" w:after="0"/>
        <w:ind w:left="3308" w:right="0" w:hanging="721"/>
        <w:jc w:val="left"/>
      </w:pPr>
      <w:bookmarkStart w:name="_bookmark19" w:id="29"/>
      <w:bookmarkEnd w:id="29"/>
      <w:r>
        <w:rPr>
          <w:b w:val="0"/>
        </w:rPr>
      </w:r>
      <w:bookmarkStart w:name="_bookmark19" w:id="30"/>
      <w:bookmarkEnd w:id="30"/>
      <w:r>
        <w:rPr/>
        <w:t>R</w:t>
      </w:r>
      <w:r>
        <w:rPr/>
        <w:t>ESULTADOS Y</w:t>
      </w:r>
      <w:r>
        <w:rPr>
          <w:spacing w:val="-16"/>
        </w:rPr>
        <w:t> </w:t>
      </w:r>
      <w:r>
        <w:rPr/>
        <w:t>DISCUSIÓN</w:t>
      </w:r>
    </w:p>
    <w:p>
      <w:pPr>
        <w:pStyle w:val="BodyText"/>
        <w:rPr>
          <w:b/>
          <w:sz w:val="28"/>
        </w:rPr>
      </w:pPr>
    </w:p>
    <w:p>
      <w:pPr>
        <w:pStyle w:val="Heading2"/>
        <w:spacing w:before="176"/>
      </w:pPr>
      <w:bookmarkStart w:name="_bookmark20" w:id="31"/>
      <w:bookmarkEnd w:id="31"/>
      <w:r>
        <w:rPr>
          <w:b w:val="0"/>
        </w:rPr>
      </w:r>
      <w:r>
        <w:rPr/>
        <w:t>4.1 ESTUDIO DE MERCADO</w:t>
      </w:r>
    </w:p>
    <w:p>
      <w:pPr>
        <w:pStyle w:val="BodyText"/>
        <w:rPr>
          <w:b/>
          <w:sz w:val="26"/>
        </w:rPr>
      </w:pPr>
    </w:p>
    <w:p>
      <w:pPr>
        <w:pStyle w:val="BodyText"/>
        <w:spacing w:line="360" w:lineRule="auto" w:before="184"/>
        <w:ind w:left="119" w:right="114"/>
        <w:jc w:val="both"/>
      </w:pPr>
      <w:r>
        <w:rPr/>
        <w:t>El objetivo de todo estudio de mercado, es determinar si existe una demanda insatisfecha y potencial insatisfecha, así como definir todas las fuerzas que determinan a que compradores y vendedores,del producto en referencia, encuentren un solo precio, que es el precio de equilibrio del mercado de referencia, entre otros (Rebollar y Jaramillo, 2012; Baca, 2013; Peña </w:t>
      </w:r>
      <w:r>
        <w:rPr>
          <w:i/>
        </w:rPr>
        <w:t>et al</w:t>
      </w:r>
      <w:r>
        <w:rPr/>
        <w:t>., 2015).</w:t>
      </w:r>
    </w:p>
    <w:p>
      <w:pPr>
        <w:pStyle w:val="BodyText"/>
      </w:pPr>
    </w:p>
    <w:p>
      <w:pPr>
        <w:pStyle w:val="Heading2"/>
        <w:spacing w:before="1"/>
      </w:pPr>
      <w:bookmarkStart w:name="_bookmark21" w:id="32"/>
      <w:bookmarkEnd w:id="32"/>
      <w:r>
        <w:rPr>
          <w:b w:val="0"/>
        </w:rPr>
      </w:r>
      <w:r>
        <w:rPr/>
        <w:t>Análisis de la demanda</w:t>
      </w:r>
    </w:p>
    <w:p>
      <w:pPr>
        <w:pStyle w:val="BodyText"/>
        <w:rPr>
          <w:b/>
          <w:sz w:val="26"/>
        </w:rPr>
      </w:pPr>
    </w:p>
    <w:p>
      <w:pPr>
        <w:pStyle w:val="BodyText"/>
        <w:spacing w:before="3"/>
        <w:rPr>
          <w:b/>
          <w:sz w:val="22"/>
        </w:rPr>
      </w:pPr>
    </w:p>
    <w:p>
      <w:pPr>
        <w:pStyle w:val="BodyText"/>
        <w:spacing w:line="360" w:lineRule="auto"/>
        <w:ind w:left="119" w:right="111"/>
        <w:jc w:val="both"/>
      </w:pPr>
      <w:r>
        <w:rPr/>
        <w:t>Es el primer componente del estudio de mercado. La demanda, debe entenderse como distintas cantidades de un bien, producto o servicio que los consumidores estás dispuestos a comprar o adquirir, en un periodo de tiempo y a precios determinados, cuando el consumidor adquiere ese producto o servicio, entonces la demanda se convierte en consumo o demanda en consumo, en su caso, demanda efectiva (Rebollar y Jaramillo, 2012; Baca,</w:t>
      </w:r>
      <w:r>
        <w:rPr>
          <w:spacing w:val="-12"/>
        </w:rPr>
        <w:t> </w:t>
      </w:r>
      <w:r>
        <w:rPr/>
        <w:t>2013).</w:t>
      </w:r>
    </w:p>
    <w:p>
      <w:pPr>
        <w:pStyle w:val="BodyText"/>
      </w:pPr>
    </w:p>
    <w:p>
      <w:pPr>
        <w:pStyle w:val="BodyText"/>
        <w:spacing w:line="360" w:lineRule="auto" w:before="139"/>
        <w:ind w:left="119" w:right="110"/>
        <w:jc w:val="both"/>
      </w:pPr>
      <w:r>
        <w:rPr/>
        <w:t>La cantidad demandada la determina el precio del producto, en tanto que la demanda puede disminuir o aumentar, </w:t>
      </w:r>
      <w:r>
        <w:rPr>
          <w:spacing w:val="-3"/>
        </w:rPr>
        <w:t>si </w:t>
      </w:r>
      <w:r>
        <w:rPr/>
        <w:t>y sólo si algunos otros factores permanecen sin cambios, lo cual obedece a la Ley de la Demanda (Baca, 2013). Esos otros factores son: el ingreso percápita de los consumidores locales, regionales o nacionales, la población  en  seres  humanos,  precio  de  productos  sustitutos  (carne  de  pollo) </w:t>
      </w:r>
      <w:r>
        <w:rPr>
          <w:spacing w:val="54"/>
        </w:rPr>
        <w:t> </w:t>
      </w:r>
      <w:r>
        <w:rPr/>
        <w:t>y</w:t>
      </w:r>
    </w:p>
    <w:p>
      <w:pPr>
        <w:spacing w:after="0" w:line="360" w:lineRule="auto"/>
        <w:jc w:val="both"/>
        <w:sectPr>
          <w:pgSz w:w="12240" w:h="15840"/>
          <w:pgMar w:header="0" w:footer="1180" w:top="1360" w:bottom="1380" w:left="1580" w:right="1300"/>
        </w:sectPr>
      </w:pPr>
    </w:p>
    <w:p>
      <w:pPr>
        <w:pStyle w:val="BodyText"/>
        <w:spacing w:line="360" w:lineRule="auto" w:before="52"/>
        <w:ind w:left="179" w:right="171"/>
        <w:jc w:val="both"/>
      </w:pPr>
      <w:r>
        <w:rPr/>
        <w:t>complementarios en el consumo (arroz, frijol, tortilla, principalmente), gustos y preferencias del consumidor, gestión empresarial, compras de pánico, gastos de promoción, principalmente. Sin embargo, para fines de este proyecto, como demanda, se considerará, por un lado, al </w:t>
      </w:r>
      <w:r>
        <w:rPr>
          <w:spacing w:val="-3"/>
        </w:rPr>
        <w:t>consumo </w:t>
      </w:r>
      <w:r>
        <w:rPr/>
        <w:t>nacional aparente (CNA), que es la producción nacional + importaciones – exportaciones y servirá como referente a la situación prevaleciente a la zona de</w:t>
      </w:r>
      <w:r>
        <w:rPr>
          <w:spacing w:val="-14"/>
        </w:rPr>
        <w:t> </w:t>
      </w:r>
      <w:r>
        <w:rPr/>
        <w:t>estudio.</w:t>
      </w:r>
    </w:p>
    <w:p>
      <w:pPr>
        <w:pStyle w:val="BodyText"/>
      </w:pPr>
    </w:p>
    <w:p>
      <w:pPr>
        <w:pStyle w:val="BodyText"/>
        <w:spacing w:line="360" w:lineRule="auto" w:before="140"/>
        <w:ind w:left="179" w:right="182"/>
        <w:jc w:val="both"/>
      </w:pPr>
      <w:r>
        <w:rPr/>
        <w:t>Para el periodo 2009-2013, el CNA (Cuadro 1) de carne de bovino en canal, fue creciente, equivalente a una TCMA</w:t>
      </w:r>
      <w:r>
        <w:rPr>
          <w:position w:val="8"/>
          <w:sz w:val="16"/>
        </w:rPr>
        <w:t>1 </w:t>
      </w:r>
      <w:r>
        <w:rPr/>
        <w:t>(Tasa de Crecimiento Media Anual) de 0.6 %, menor que el crecimiento en la producción y con un ritmo positivo, principalmente, en exportaciones. El CNA se explicó por una alta participación relativa de la producción (poco más del 90 %) e importaciones que no fueron significativas.</w:t>
      </w:r>
    </w:p>
    <w:p>
      <w:pPr>
        <w:pStyle w:val="BodyText"/>
      </w:pPr>
    </w:p>
    <w:p>
      <w:pPr>
        <w:pStyle w:val="BodyText"/>
        <w:spacing w:line="360" w:lineRule="auto" w:before="144" w:after="7"/>
        <w:ind w:left="890" w:right="185" w:hanging="711"/>
      </w:pPr>
      <w:r>
        <w:rPr/>
        <w:t>Cuadro 1. México. Consumo nacional aparente de carne en canal de bovinos. Cifras en toneladas.</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7"/>
        <w:gridCol w:w="1519"/>
        <w:gridCol w:w="1647"/>
        <w:gridCol w:w="1834"/>
        <w:gridCol w:w="1383"/>
        <w:gridCol w:w="965"/>
        <w:gridCol w:w="1062"/>
      </w:tblGrid>
      <w:tr>
        <w:trPr>
          <w:trHeight w:val="422" w:hRule="exact"/>
        </w:trPr>
        <w:tc>
          <w:tcPr>
            <w:tcW w:w="857" w:type="dxa"/>
            <w:tcBorders>
              <w:left w:val="nil"/>
              <w:right w:val="nil"/>
            </w:tcBorders>
          </w:tcPr>
          <w:p>
            <w:pPr>
              <w:pStyle w:val="TableParagraph"/>
              <w:spacing w:line="272" w:lineRule="exact" w:before="0"/>
              <w:ind w:left="71"/>
              <w:jc w:val="left"/>
              <w:rPr>
                <w:sz w:val="24"/>
              </w:rPr>
            </w:pPr>
            <w:r>
              <w:rPr>
                <w:sz w:val="24"/>
              </w:rPr>
              <w:t>Año</w:t>
            </w:r>
          </w:p>
        </w:tc>
        <w:tc>
          <w:tcPr>
            <w:tcW w:w="1519" w:type="dxa"/>
            <w:tcBorders>
              <w:left w:val="nil"/>
              <w:right w:val="nil"/>
            </w:tcBorders>
          </w:tcPr>
          <w:p>
            <w:pPr>
              <w:pStyle w:val="TableParagraph"/>
              <w:spacing w:line="272" w:lineRule="exact" w:before="0"/>
              <w:ind w:right="66"/>
              <w:rPr>
                <w:sz w:val="24"/>
              </w:rPr>
            </w:pPr>
            <w:r>
              <w:rPr>
                <w:w w:val="95"/>
                <w:sz w:val="24"/>
              </w:rPr>
              <w:t>Producción</w:t>
            </w:r>
          </w:p>
        </w:tc>
        <w:tc>
          <w:tcPr>
            <w:tcW w:w="1647" w:type="dxa"/>
            <w:tcBorders>
              <w:left w:val="nil"/>
              <w:right w:val="nil"/>
            </w:tcBorders>
          </w:tcPr>
          <w:p>
            <w:pPr>
              <w:pStyle w:val="TableParagraph"/>
              <w:spacing w:line="272" w:lineRule="exact" w:before="0"/>
              <w:ind w:right="65"/>
              <w:rPr>
                <w:sz w:val="24"/>
              </w:rPr>
            </w:pPr>
            <w:r>
              <w:rPr>
                <w:sz w:val="24"/>
              </w:rPr>
              <w:t>Importaciones</w:t>
            </w:r>
          </w:p>
        </w:tc>
        <w:tc>
          <w:tcPr>
            <w:tcW w:w="1834" w:type="dxa"/>
            <w:tcBorders>
              <w:left w:val="nil"/>
              <w:right w:val="nil"/>
            </w:tcBorders>
          </w:tcPr>
          <w:p>
            <w:pPr>
              <w:pStyle w:val="TableParagraph"/>
              <w:spacing w:line="272" w:lineRule="exact" w:before="0"/>
              <w:ind w:right="239"/>
              <w:rPr>
                <w:sz w:val="24"/>
              </w:rPr>
            </w:pPr>
            <w:r>
              <w:rPr>
                <w:sz w:val="24"/>
              </w:rPr>
              <w:t>Exportaciones</w:t>
            </w:r>
          </w:p>
        </w:tc>
        <w:tc>
          <w:tcPr>
            <w:tcW w:w="1383" w:type="dxa"/>
            <w:tcBorders>
              <w:left w:val="nil"/>
              <w:right w:val="nil"/>
            </w:tcBorders>
          </w:tcPr>
          <w:p>
            <w:pPr>
              <w:pStyle w:val="TableParagraph"/>
              <w:spacing w:line="272" w:lineRule="exact" w:before="0"/>
              <w:ind w:right="76"/>
              <w:rPr>
                <w:sz w:val="24"/>
              </w:rPr>
            </w:pPr>
            <w:r>
              <w:rPr>
                <w:sz w:val="24"/>
              </w:rPr>
              <w:t>CNA (t)</w:t>
            </w:r>
          </w:p>
        </w:tc>
        <w:tc>
          <w:tcPr>
            <w:tcW w:w="965" w:type="dxa"/>
            <w:tcBorders>
              <w:left w:val="nil"/>
              <w:right w:val="nil"/>
            </w:tcBorders>
          </w:tcPr>
          <w:p>
            <w:pPr>
              <w:pStyle w:val="TableParagraph"/>
              <w:spacing w:line="272" w:lineRule="exact" w:before="0"/>
              <w:ind w:right="104"/>
              <w:rPr>
                <w:sz w:val="24"/>
              </w:rPr>
            </w:pPr>
            <w:r>
              <w:rPr>
                <w:sz w:val="24"/>
              </w:rPr>
              <w:t>% Prod</w:t>
            </w:r>
          </w:p>
        </w:tc>
        <w:tc>
          <w:tcPr>
            <w:tcW w:w="1062" w:type="dxa"/>
            <w:tcBorders>
              <w:left w:val="nil"/>
              <w:right w:val="nil"/>
            </w:tcBorders>
          </w:tcPr>
          <w:p>
            <w:pPr>
              <w:pStyle w:val="TableParagraph"/>
              <w:spacing w:line="272" w:lineRule="exact" w:before="0"/>
              <w:ind w:right="67"/>
              <w:rPr>
                <w:sz w:val="24"/>
              </w:rPr>
            </w:pPr>
            <w:r>
              <w:rPr>
                <w:sz w:val="24"/>
              </w:rPr>
              <w:t>% Impor</w:t>
            </w:r>
          </w:p>
        </w:tc>
      </w:tr>
      <w:tr>
        <w:trPr>
          <w:trHeight w:val="360" w:hRule="exact"/>
        </w:trPr>
        <w:tc>
          <w:tcPr>
            <w:tcW w:w="857" w:type="dxa"/>
            <w:tcBorders>
              <w:left w:val="nil"/>
              <w:bottom w:val="nil"/>
              <w:right w:val="nil"/>
            </w:tcBorders>
          </w:tcPr>
          <w:p>
            <w:pPr>
              <w:pStyle w:val="TableParagraph"/>
              <w:spacing w:line="272" w:lineRule="exact" w:before="0"/>
              <w:ind w:left="71"/>
              <w:jc w:val="left"/>
              <w:rPr>
                <w:sz w:val="24"/>
              </w:rPr>
            </w:pPr>
            <w:r>
              <w:rPr>
                <w:sz w:val="24"/>
              </w:rPr>
              <w:t>2009</w:t>
            </w:r>
          </w:p>
        </w:tc>
        <w:tc>
          <w:tcPr>
            <w:tcW w:w="1519" w:type="dxa"/>
            <w:tcBorders>
              <w:left w:val="nil"/>
              <w:bottom w:val="nil"/>
              <w:right w:val="nil"/>
            </w:tcBorders>
          </w:tcPr>
          <w:p>
            <w:pPr>
              <w:pStyle w:val="TableParagraph"/>
              <w:spacing w:line="272" w:lineRule="exact" w:before="0"/>
              <w:ind w:right="66"/>
              <w:rPr>
                <w:sz w:val="24"/>
              </w:rPr>
            </w:pPr>
            <w:r>
              <w:rPr>
                <w:sz w:val="24"/>
              </w:rPr>
              <w:t>1,704,985</w:t>
            </w:r>
          </w:p>
        </w:tc>
        <w:tc>
          <w:tcPr>
            <w:tcW w:w="1647" w:type="dxa"/>
            <w:tcBorders>
              <w:left w:val="nil"/>
              <w:bottom w:val="nil"/>
              <w:right w:val="nil"/>
            </w:tcBorders>
          </w:tcPr>
          <w:p>
            <w:pPr>
              <w:pStyle w:val="TableParagraph"/>
              <w:spacing w:line="272" w:lineRule="exact" w:before="0"/>
              <w:ind w:right="68"/>
              <w:rPr>
                <w:sz w:val="24"/>
              </w:rPr>
            </w:pPr>
            <w:r>
              <w:rPr>
                <w:sz w:val="24"/>
              </w:rPr>
              <w:t>227,700</w:t>
            </w:r>
          </w:p>
        </w:tc>
        <w:tc>
          <w:tcPr>
            <w:tcW w:w="1834" w:type="dxa"/>
            <w:tcBorders>
              <w:left w:val="nil"/>
              <w:bottom w:val="nil"/>
              <w:right w:val="nil"/>
            </w:tcBorders>
          </w:tcPr>
          <w:p>
            <w:pPr>
              <w:pStyle w:val="TableParagraph"/>
              <w:spacing w:line="272" w:lineRule="exact" w:before="0"/>
              <w:ind w:right="239"/>
              <w:rPr>
                <w:sz w:val="24"/>
              </w:rPr>
            </w:pPr>
            <w:r>
              <w:rPr>
                <w:sz w:val="24"/>
              </w:rPr>
              <w:t>35,000</w:t>
            </w:r>
          </w:p>
        </w:tc>
        <w:tc>
          <w:tcPr>
            <w:tcW w:w="1383" w:type="dxa"/>
            <w:tcBorders>
              <w:left w:val="nil"/>
              <w:bottom w:val="nil"/>
              <w:right w:val="nil"/>
            </w:tcBorders>
          </w:tcPr>
          <w:p>
            <w:pPr>
              <w:pStyle w:val="TableParagraph"/>
              <w:spacing w:line="272" w:lineRule="exact" w:before="0"/>
              <w:ind w:right="71"/>
              <w:rPr>
                <w:sz w:val="24"/>
              </w:rPr>
            </w:pPr>
            <w:r>
              <w:rPr>
                <w:sz w:val="24"/>
              </w:rPr>
              <w:t>1,897,685</w:t>
            </w:r>
          </w:p>
        </w:tc>
        <w:tc>
          <w:tcPr>
            <w:tcW w:w="965" w:type="dxa"/>
            <w:tcBorders>
              <w:left w:val="nil"/>
              <w:bottom w:val="nil"/>
              <w:right w:val="nil"/>
            </w:tcBorders>
          </w:tcPr>
          <w:p>
            <w:pPr>
              <w:pStyle w:val="TableParagraph"/>
              <w:spacing w:line="272" w:lineRule="exact" w:before="0"/>
              <w:ind w:right="100"/>
              <w:rPr>
                <w:sz w:val="24"/>
              </w:rPr>
            </w:pPr>
            <w:r>
              <w:rPr>
                <w:sz w:val="24"/>
              </w:rPr>
              <w:t>89.8*</w:t>
            </w:r>
          </w:p>
        </w:tc>
        <w:tc>
          <w:tcPr>
            <w:tcW w:w="1062" w:type="dxa"/>
            <w:tcBorders>
              <w:left w:val="nil"/>
              <w:bottom w:val="nil"/>
              <w:right w:val="nil"/>
            </w:tcBorders>
          </w:tcPr>
          <w:p>
            <w:pPr>
              <w:pStyle w:val="TableParagraph"/>
              <w:spacing w:line="272" w:lineRule="exact" w:before="0"/>
              <w:ind w:right="62"/>
              <w:rPr>
                <w:sz w:val="24"/>
              </w:rPr>
            </w:pPr>
            <w:r>
              <w:rPr>
                <w:sz w:val="24"/>
              </w:rPr>
              <w:t>12.0</w:t>
            </w:r>
          </w:p>
        </w:tc>
      </w:tr>
      <w:tr>
        <w:trPr>
          <w:trHeight w:val="415" w:hRule="exact"/>
        </w:trPr>
        <w:tc>
          <w:tcPr>
            <w:tcW w:w="857" w:type="dxa"/>
            <w:tcBorders>
              <w:top w:val="nil"/>
              <w:left w:val="nil"/>
              <w:bottom w:val="nil"/>
              <w:right w:val="nil"/>
            </w:tcBorders>
          </w:tcPr>
          <w:p>
            <w:pPr>
              <w:pStyle w:val="TableParagraph"/>
              <w:spacing w:before="58"/>
              <w:ind w:left="71"/>
              <w:jc w:val="left"/>
              <w:rPr>
                <w:sz w:val="24"/>
              </w:rPr>
            </w:pPr>
            <w:r>
              <w:rPr>
                <w:sz w:val="24"/>
              </w:rPr>
              <w:t>2010</w:t>
            </w:r>
          </w:p>
        </w:tc>
        <w:tc>
          <w:tcPr>
            <w:tcW w:w="1519" w:type="dxa"/>
            <w:tcBorders>
              <w:top w:val="nil"/>
              <w:left w:val="nil"/>
              <w:bottom w:val="nil"/>
              <w:right w:val="nil"/>
            </w:tcBorders>
          </w:tcPr>
          <w:p>
            <w:pPr>
              <w:pStyle w:val="TableParagraph"/>
              <w:spacing w:before="58"/>
              <w:ind w:right="66"/>
              <w:rPr>
                <w:sz w:val="24"/>
              </w:rPr>
            </w:pPr>
            <w:r>
              <w:rPr>
                <w:sz w:val="24"/>
              </w:rPr>
              <w:t>1,744,737</w:t>
            </w:r>
          </w:p>
        </w:tc>
        <w:tc>
          <w:tcPr>
            <w:tcW w:w="1647" w:type="dxa"/>
            <w:tcBorders>
              <w:top w:val="nil"/>
              <w:left w:val="nil"/>
              <w:bottom w:val="nil"/>
              <w:right w:val="nil"/>
            </w:tcBorders>
          </w:tcPr>
          <w:p>
            <w:pPr>
              <w:pStyle w:val="TableParagraph"/>
              <w:spacing w:before="58"/>
              <w:ind w:right="68"/>
              <w:rPr>
                <w:sz w:val="24"/>
              </w:rPr>
            </w:pPr>
            <w:r>
              <w:rPr>
                <w:sz w:val="24"/>
              </w:rPr>
              <w:t>210,800</w:t>
            </w:r>
          </w:p>
        </w:tc>
        <w:tc>
          <w:tcPr>
            <w:tcW w:w="1834" w:type="dxa"/>
            <w:tcBorders>
              <w:top w:val="nil"/>
              <w:left w:val="nil"/>
              <w:bottom w:val="nil"/>
              <w:right w:val="nil"/>
            </w:tcBorders>
          </w:tcPr>
          <w:p>
            <w:pPr>
              <w:pStyle w:val="TableParagraph"/>
              <w:spacing w:before="58"/>
              <w:ind w:right="239"/>
              <w:rPr>
                <w:sz w:val="24"/>
              </w:rPr>
            </w:pPr>
            <w:r>
              <w:rPr>
                <w:sz w:val="24"/>
              </w:rPr>
              <w:t>72,300</w:t>
            </w:r>
          </w:p>
        </w:tc>
        <w:tc>
          <w:tcPr>
            <w:tcW w:w="1383" w:type="dxa"/>
            <w:tcBorders>
              <w:top w:val="nil"/>
              <w:left w:val="nil"/>
              <w:bottom w:val="nil"/>
              <w:right w:val="nil"/>
            </w:tcBorders>
          </w:tcPr>
          <w:p>
            <w:pPr>
              <w:pStyle w:val="TableParagraph"/>
              <w:spacing w:before="58"/>
              <w:ind w:right="71"/>
              <w:rPr>
                <w:sz w:val="24"/>
              </w:rPr>
            </w:pPr>
            <w:r>
              <w:rPr>
                <w:sz w:val="24"/>
              </w:rPr>
              <w:t>1,883,237</w:t>
            </w:r>
          </w:p>
        </w:tc>
        <w:tc>
          <w:tcPr>
            <w:tcW w:w="965" w:type="dxa"/>
            <w:tcBorders>
              <w:top w:val="nil"/>
              <w:left w:val="nil"/>
              <w:bottom w:val="nil"/>
              <w:right w:val="nil"/>
            </w:tcBorders>
          </w:tcPr>
          <w:p>
            <w:pPr>
              <w:pStyle w:val="TableParagraph"/>
              <w:spacing w:before="58"/>
              <w:ind w:right="99"/>
              <w:rPr>
                <w:sz w:val="24"/>
              </w:rPr>
            </w:pPr>
            <w:r>
              <w:rPr>
                <w:sz w:val="24"/>
              </w:rPr>
              <w:t>92.6</w:t>
            </w:r>
          </w:p>
        </w:tc>
        <w:tc>
          <w:tcPr>
            <w:tcW w:w="1062" w:type="dxa"/>
            <w:tcBorders>
              <w:top w:val="nil"/>
              <w:left w:val="nil"/>
              <w:bottom w:val="nil"/>
              <w:right w:val="nil"/>
            </w:tcBorders>
          </w:tcPr>
          <w:p>
            <w:pPr>
              <w:pStyle w:val="TableParagraph"/>
              <w:spacing w:before="58"/>
              <w:ind w:right="62"/>
              <w:rPr>
                <w:sz w:val="24"/>
              </w:rPr>
            </w:pPr>
            <w:r>
              <w:rPr>
                <w:sz w:val="24"/>
              </w:rPr>
              <w:t>11.2</w:t>
            </w:r>
          </w:p>
        </w:tc>
      </w:tr>
      <w:tr>
        <w:trPr>
          <w:trHeight w:val="413" w:hRule="exact"/>
        </w:trPr>
        <w:tc>
          <w:tcPr>
            <w:tcW w:w="857" w:type="dxa"/>
            <w:tcBorders>
              <w:top w:val="nil"/>
              <w:left w:val="nil"/>
              <w:bottom w:val="nil"/>
              <w:right w:val="nil"/>
            </w:tcBorders>
          </w:tcPr>
          <w:p>
            <w:pPr>
              <w:pStyle w:val="TableParagraph"/>
              <w:ind w:left="71"/>
              <w:jc w:val="left"/>
              <w:rPr>
                <w:sz w:val="24"/>
              </w:rPr>
            </w:pPr>
            <w:r>
              <w:rPr>
                <w:sz w:val="24"/>
              </w:rPr>
              <w:t>2011</w:t>
            </w:r>
          </w:p>
        </w:tc>
        <w:tc>
          <w:tcPr>
            <w:tcW w:w="1519" w:type="dxa"/>
            <w:tcBorders>
              <w:top w:val="nil"/>
              <w:left w:val="nil"/>
              <w:bottom w:val="nil"/>
              <w:right w:val="nil"/>
            </w:tcBorders>
          </w:tcPr>
          <w:p>
            <w:pPr>
              <w:pStyle w:val="TableParagraph"/>
              <w:ind w:right="66"/>
              <w:rPr>
                <w:sz w:val="24"/>
              </w:rPr>
            </w:pPr>
            <w:r>
              <w:rPr>
                <w:sz w:val="24"/>
              </w:rPr>
              <w:t>1,803,932</w:t>
            </w:r>
          </w:p>
        </w:tc>
        <w:tc>
          <w:tcPr>
            <w:tcW w:w="1647" w:type="dxa"/>
            <w:tcBorders>
              <w:top w:val="nil"/>
              <w:left w:val="nil"/>
              <w:bottom w:val="nil"/>
              <w:right w:val="nil"/>
            </w:tcBorders>
          </w:tcPr>
          <w:p>
            <w:pPr>
              <w:pStyle w:val="TableParagraph"/>
              <w:ind w:right="68"/>
              <w:rPr>
                <w:sz w:val="24"/>
              </w:rPr>
            </w:pPr>
            <w:r>
              <w:rPr>
                <w:sz w:val="24"/>
              </w:rPr>
              <w:t>186,600</w:t>
            </w:r>
          </w:p>
        </w:tc>
        <w:tc>
          <w:tcPr>
            <w:tcW w:w="1834" w:type="dxa"/>
            <w:tcBorders>
              <w:top w:val="nil"/>
              <w:left w:val="nil"/>
              <w:bottom w:val="nil"/>
              <w:right w:val="nil"/>
            </w:tcBorders>
          </w:tcPr>
          <w:p>
            <w:pPr>
              <w:pStyle w:val="TableParagraph"/>
              <w:ind w:right="239"/>
              <w:rPr>
                <w:sz w:val="24"/>
              </w:rPr>
            </w:pPr>
            <w:r>
              <w:rPr>
                <w:sz w:val="24"/>
              </w:rPr>
              <w:t>104,500</w:t>
            </w:r>
          </w:p>
        </w:tc>
        <w:tc>
          <w:tcPr>
            <w:tcW w:w="1383" w:type="dxa"/>
            <w:tcBorders>
              <w:top w:val="nil"/>
              <w:left w:val="nil"/>
              <w:bottom w:val="nil"/>
              <w:right w:val="nil"/>
            </w:tcBorders>
          </w:tcPr>
          <w:p>
            <w:pPr>
              <w:pStyle w:val="TableParagraph"/>
              <w:ind w:right="71"/>
              <w:rPr>
                <w:sz w:val="24"/>
              </w:rPr>
            </w:pPr>
            <w:r>
              <w:rPr>
                <w:sz w:val="24"/>
              </w:rPr>
              <w:t>1,886,032</w:t>
            </w:r>
          </w:p>
        </w:tc>
        <w:tc>
          <w:tcPr>
            <w:tcW w:w="965" w:type="dxa"/>
            <w:tcBorders>
              <w:top w:val="nil"/>
              <w:left w:val="nil"/>
              <w:bottom w:val="nil"/>
              <w:right w:val="nil"/>
            </w:tcBorders>
          </w:tcPr>
          <w:p>
            <w:pPr>
              <w:pStyle w:val="TableParagraph"/>
              <w:ind w:right="99"/>
              <w:rPr>
                <w:sz w:val="24"/>
              </w:rPr>
            </w:pPr>
            <w:r>
              <w:rPr>
                <w:sz w:val="24"/>
              </w:rPr>
              <w:t>95.6</w:t>
            </w:r>
          </w:p>
        </w:tc>
        <w:tc>
          <w:tcPr>
            <w:tcW w:w="1062" w:type="dxa"/>
            <w:tcBorders>
              <w:top w:val="nil"/>
              <w:left w:val="nil"/>
              <w:bottom w:val="nil"/>
              <w:right w:val="nil"/>
            </w:tcBorders>
          </w:tcPr>
          <w:p>
            <w:pPr>
              <w:pStyle w:val="TableParagraph"/>
              <w:ind w:right="62"/>
              <w:rPr>
                <w:sz w:val="24"/>
              </w:rPr>
            </w:pPr>
            <w:r>
              <w:rPr>
                <w:w w:val="95"/>
                <w:sz w:val="24"/>
              </w:rPr>
              <w:t>9.9</w:t>
            </w:r>
          </w:p>
        </w:tc>
      </w:tr>
      <w:tr>
        <w:trPr>
          <w:trHeight w:val="413" w:hRule="exact"/>
        </w:trPr>
        <w:tc>
          <w:tcPr>
            <w:tcW w:w="857" w:type="dxa"/>
            <w:tcBorders>
              <w:top w:val="nil"/>
              <w:left w:val="nil"/>
              <w:bottom w:val="nil"/>
              <w:right w:val="nil"/>
            </w:tcBorders>
          </w:tcPr>
          <w:p>
            <w:pPr>
              <w:pStyle w:val="TableParagraph"/>
              <w:spacing w:before="56"/>
              <w:ind w:left="71"/>
              <w:jc w:val="left"/>
              <w:rPr>
                <w:sz w:val="24"/>
              </w:rPr>
            </w:pPr>
            <w:r>
              <w:rPr>
                <w:sz w:val="24"/>
              </w:rPr>
              <w:t>2012</w:t>
            </w:r>
          </w:p>
        </w:tc>
        <w:tc>
          <w:tcPr>
            <w:tcW w:w="1519" w:type="dxa"/>
            <w:tcBorders>
              <w:top w:val="nil"/>
              <w:left w:val="nil"/>
              <w:bottom w:val="nil"/>
              <w:right w:val="nil"/>
            </w:tcBorders>
          </w:tcPr>
          <w:p>
            <w:pPr>
              <w:pStyle w:val="TableParagraph"/>
              <w:spacing w:before="56"/>
              <w:ind w:right="66"/>
              <w:rPr>
                <w:sz w:val="24"/>
              </w:rPr>
            </w:pPr>
            <w:r>
              <w:rPr>
                <w:sz w:val="24"/>
              </w:rPr>
              <w:t>1,820,547</w:t>
            </w:r>
          </w:p>
        </w:tc>
        <w:tc>
          <w:tcPr>
            <w:tcW w:w="1647" w:type="dxa"/>
            <w:tcBorders>
              <w:top w:val="nil"/>
              <w:left w:val="nil"/>
              <w:bottom w:val="nil"/>
              <w:right w:val="nil"/>
            </w:tcBorders>
          </w:tcPr>
          <w:p>
            <w:pPr>
              <w:pStyle w:val="TableParagraph"/>
              <w:spacing w:before="56"/>
              <w:ind w:right="68"/>
              <w:rPr>
                <w:sz w:val="24"/>
              </w:rPr>
            </w:pPr>
            <w:r>
              <w:rPr>
                <w:sz w:val="24"/>
              </w:rPr>
              <w:t>152,100</w:t>
            </w:r>
          </w:p>
        </w:tc>
        <w:tc>
          <w:tcPr>
            <w:tcW w:w="1834" w:type="dxa"/>
            <w:tcBorders>
              <w:top w:val="nil"/>
              <w:left w:val="nil"/>
              <w:bottom w:val="nil"/>
              <w:right w:val="nil"/>
            </w:tcBorders>
          </w:tcPr>
          <w:p>
            <w:pPr>
              <w:pStyle w:val="TableParagraph"/>
              <w:spacing w:before="56"/>
              <w:ind w:right="239"/>
              <w:rPr>
                <w:sz w:val="24"/>
              </w:rPr>
            </w:pPr>
            <w:r>
              <w:rPr>
                <w:sz w:val="24"/>
              </w:rPr>
              <w:t>141,600</w:t>
            </w:r>
          </w:p>
        </w:tc>
        <w:tc>
          <w:tcPr>
            <w:tcW w:w="1383" w:type="dxa"/>
            <w:tcBorders>
              <w:top w:val="nil"/>
              <w:left w:val="nil"/>
              <w:bottom w:val="nil"/>
              <w:right w:val="nil"/>
            </w:tcBorders>
          </w:tcPr>
          <w:p>
            <w:pPr>
              <w:pStyle w:val="TableParagraph"/>
              <w:spacing w:before="56"/>
              <w:ind w:right="71"/>
              <w:rPr>
                <w:sz w:val="24"/>
              </w:rPr>
            </w:pPr>
            <w:r>
              <w:rPr>
                <w:sz w:val="24"/>
              </w:rPr>
              <w:t>1,831,047</w:t>
            </w:r>
          </w:p>
        </w:tc>
        <w:tc>
          <w:tcPr>
            <w:tcW w:w="965" w:type="dxa"/>
            <w:tcBorders>
              <w:top w:val="nil"/>
              <w:left w:val="nil"/>
              <w:bottom w:val="nil"/>
              <w:right w:val="nil"/>
            </w:tcBorders>
          </w:tcPr>
          <w:p>
            <w:pPr>
              <w:pStyle w:val="TableParagraph"/>
              <w:spacing w:before="56"/>
              <w:ind w:right="99"/>
              <w:rPr>
                <w:sz w:val="24"/>
              </w:rPr>
            </w:pPr>
            <w:r>
              <w:rPr>
                <w:sz w:val="24"/>
              </w:rPr>
              <w:t>99.4</w:t>
            </w:r>
          </w:p>
        </w:tc>
        <w:tc>
          <w:tcPr>
            <w:tcW w:w="1062" w:type="dxa"/>
            <w:tcBorders>
              <w:top w:val="nil"/>
              <w:left w:val="nil"/>
              <w:bottom w:val="nil"/>
              <w:right w:val="nil"/>
            </w:tcBorders>
          </w:tcPr>
          <w:p>
            <w:pPr>
              <w:pStyle w:val="TableParagraph"/>
              <w:spacing w:before="56"/>
              <w:ind w:right="62"/>
              <w:rPr>
                <w:sz w:val="24"/>
              </w:rPr>
            </w:pPr>
            <w:r>
              <w:rPr>
                <w:w w:val="95"/>
                <w:sz w:val="24"/>
              </w:rPr>
              <w:t>8.3</w:t>
            </w:r>
          </w:p>
        </w:tc>
      </w:tr>
      <w:tr>
        <w:trPr>
          <w:trHeight w:val="482" w:hRule="exact"/>
        </w:trPr>
        <w:tc>
          <w:tcPr>
            <w:tcW w:w="857" w:type="dxa"/>
            <w:tcBorders>
              <w:top w:val="nil"/>
              <w:left w:val="nil"/>
              <w:right w:val="nil"/>
            </w:tcBorders>
          </w:tcPr>
          <w:p>
            <w:pPr>
              <w:pStyle w:val="TableParagraph"/>
              <w:ind w:left="71"/>
              <w:jc w:val="left"/>
              <w:rPr>
                <w:sz w:val="24"/>
              </w:rPr>
            </w:pPr>
            <w:r>
              <w:rPr>
                <w:sz w:val="24"/>
              </w:rPr>
              <w:t>2013</w:t>
            </w:r>
          </w:p>
        </w:tc>
        <w:tc>
          <w:tcPr>
            <w:tcW w:w="1519" w:type="dxa"/>
            <w:tcBorders>
              <w:top w:val="nil"/>
              <w:left w:val="nil"/>
              <w:right w:val="nil"/>
            </w:tcBorders>
          </w:tcPr>
          <w:p>
            <w:pPr>
              <w:pStyle w:val="TableParagraph"/>
              <w:ind w:right="66"/>
              <w:rPr>
                <w:sz w:val="24"/>
              </w:rPr>
            </w:pPr>
            <w:r>
              <w:rPr>
                <w:sz w:val="24"/>
              </w:rPr>
              <w:t>1,898,133</w:t>
            </w:r>
          </w:p>
        </w:tc>
        <w:tc>
          <w:tcPr>
            <w:tcW w:w="1647" w:type="dxa"/>
            <w:tcBorders>
              <w:top w:val="nil"/>
              <w:left w:val="nil"/>
              <w:right w:val="nil"/>
            </w:tcBorders>
          </w:tcPr>
          <w:p>
            <w:pPr>
              <w:pStyle w:val="TableParagraph"/>
              <w:ind w:right="68"/>
              <w:rPr>
                <w:sz w:val="24"/>
              </w:rPr>
            </w:pPr>
            <w:r>
              <w:rPr>
                <w:sz w:val="24"/>
              </w:rPr>
              <w:t>163,400</w:t>
            </w:r>
          </w:p>
        </w:tc>
        <w:tc>
          <w:tcPr>
            <w:tcW w:w="1834" w:type="dxa"/>
            <w:tcBorders>
              <w:top w:val="nil"/>
              <w:left w:val="nil"/>
              <w:right w:val="nil"/>
            </w:tcBorders>
          </w:tcPr>
          <w:p>
            <w:pPr>
              <w:pStyle w:val="TableParagraph"/>
              <w:ind w:right="239"/>
              <w:rPr>
                <w:sz w:val="24"/>
              </w:rPr>
            </w:pPr>
            <w:r>
              <w:rPr>
                <w:sz w:val="24"/>
              </w:rPr>
              <w:t>117,100</w:t>
            </w:r>
          </w:p>
        </w:tc>
        <w:tc>
          <w:tcPr>
            <w:tcW w:w="1383" w:type="dxa"/>
            <w:tcBorders>
              <w:top w:val="nil"/>
              <w:left w:val="nil"/>
              <w:right w:val="nil"/>
            </w:tcBorders>
          </w:tcPr>
          <w:p>
            <w:pPr>
              <w:pStyle w:val="TableParagraph"/>
              <w:ind w:right="71"/>
              <w:rPr>
                <w:sz w:val="24"/>
              </w:rPr>
            </w:pPr>
            <w:r>
              <w:rPr>
                <w:sz w:val="24"/>
              </w:rPr>
              <w:t>1,944,433</w:t>
            </w:r>
          </w:p>
        </w:tc>
        <w:tc>
          <w:tcPr>
            <w:tcW w:w="965" w:type="dxa"/>
            <w:tcBorders>
              <w:top w:val="nil"/>
              <w:left w:val="nil"/>
              <w:right w:val="nil"/>
            </w:tcBorders>
          </w:tcPr>
          <w:p>
            <w:pPr>
              <w:pStyle w:val="TableParagraph"/>
              <w:ind w:right="99"/>
              <w:rPr>
                <w:sz w:val="24"/>
              </w:rPr>
            </w:pPr>
            <w:r>
              <w:rPr>
                <w:sz w:val="24"/>
              </w:rPr>
              <w:t>97.6</w:t>
            </w:r>
          </w:p>
        </w:tc>
        <w:tc>
          <w:tcPr>
            <w:tcW w:w="1062" w:type="dxa"/>
            <w:tcBorders>
              <w:top w:val="nil"/>
              <w:left w:val="nil"/>
              <w:right w:val="nil"/>
            </w:tcBorders>
          </w:tcPr>
          <w:p>
            <w:pPr>
              <w:pStyle w:val="TableParagraph"/>
              <w:ind w:right="62"/>
              <w:rPr>
                <w:sz w:val="24"/>
              </w:rPr>
            </w:pPr>
            <w:r>
              <w:rPr>
                <w:w w:val="95"/>
                <w:sz w:val="24"/>
              </w:rPr>
              <w:t>8.4</w:t>
            </w:r>
          </w:p>
        </w:tc>
      </w:tr>
    </w:tbl>
    <w:p>
      <w:pPr>
        <w:spacing w:line="225" w:lineRule="exact" w:before="0"/>
        <w:ind w:left="179" w:right="185" w:firstLine="0"/>
        <w:jc w:val="left"/>
        <w:rPr>
          <w:sz w:val="20"/>
        </w:rPr>
      </w:pPr>
      <w:r>
        <w:rPr>
          <w:sz w:val="20"/>
        </w:rPr>
        <w:t>SIAP, 2014. *89.8 % = (1,704,985 / 1,897685) x 100.</w:t>
      </w:r>
    </w:p>
    <w:p>
      <w:pPr>
        <w:pStyle w:val="BodyText"/>
        <w:rPr>
          <w:sz w:val="20"/>
        </w:rPr>
      </w:pPr>
    </w:p>
    <w:p>
      <w:pPr>
        <w:pStyle w:val="BodyText"/>
        <w:spacing w:before="2"/>
        <w:rPr>
          <w:sz w:val="20"/>
        </w:rPr>
      </w:pPr>
    </w:p>
    <w:p>
      <w:pPr>
        <w:pStyle w:val="BodyText"/>
        <w:spacing w:line="360" w:lineRule="auto"/>
        <w:ind w:left="179" w:right="185"/>
      </w:pPr>
      <w:r>
        <w:rPr/>
        <w:t>Al ajustar la masa de datos del CNA del Cuadro 1, al modelo estadístico (Baca, 2013):</w:t>
      </w:r>
    </w:p>
    <w:p>
      <w:pPr>
        <w:spacing w:after="0" w:line="360" w:lineRule="auto"/>
        <w:sectPr>
          <w:footerReference w:type="default" r:id="rId11"/>
          <w:pgSz w:w="12240" w:h="15840"/>
          <w:pgMar w:footer="1180" w:header="0" w:top="1360" w:bottom="1380" w:left="1520" w:right="1240"/>
        </w:sectPr>
      </w:pPr>
    </w:p>
    <w:p>
      <w:pPr>
        <w:pStyle w:val="BodyText"/>
      </w:pPr>
    </w:p>
    <w:p>
      <w:pPr>
        <w:pStyle w:val="BodyText"/>
        <w:spacing w:before="149"/>
        <w:ind w:left="179" w:right="-16"/>
      </w:pPr>
      <w:r>
        <w:rPr/>
        <w:t>Donde:</w:t>
      </w:r>
    </w:p>
    <w:p>
      <w:pPr>
        <w:spacing w:before="4"/>
        <w:ind w:left="179" w:right="0" w:firstLine="0"/>
        <w:jc w:val="left"/>
        <w:rPr>
          <w:rFonts w:ascii="Cambria Math" w:eastAsia="Cambria Math"/>
          <w:sz w:val="24"/>
        </w:rPr>
      </w:pPr>
      <w:r>
        <w:rPr/>
        <w:br w:type="column"/>
      </w:r>
      <w:r>
        <w:rPr>
          <w:rFonts w:ascii="Cambria Math" w:eastAsia="Cambria Math"/>
          <w:sz w:val="24"/>
        </w:rPr>
        <w:t>��� = 𝛽</w:t>
      </w:r>
      <w:r>
        <w:rPr>
          <w:rFonts w:ascii="Cambria Math" w:eastAsia="Cambria Math"/>
          <w:position w:val="-4"/>
          <w:sz w:val="16"/>
        </w:rPr>
        <w:t>0      </w:t>
      </w:r>
      <w:r>
        <w:rPr>
          <w:rFonts w:ascii="Cambria Math" w:eastAsia="Cambria Math"/>
          <w:sz w:val="24"/>
        </w:rPr>
        <w:t>+  𝛽</w:t>
      </w:r>
      <w:r>
        <w:rPr>
          <w:rFonts w:ascii="Cambria Math" w:eastAsia="Cambria Math"/>
          <w:position w:val="-4"/>
          <w:sz w:val="16"/>
        </w:rPr>
        <w:t>1</w:t>
      </w:r>
      <w:r>
        <w:rPr>
          <w:rFonts w:ascii="Cambria Math" w:eastAsia="Cambria Math"/>
          <w:sz w:val="24"/>
        </w:rPr>
        <w:t>𝑋</w:t>
      </w:r>
      <w:r>
        <w:rPr>
          <w:rFonts w:ascii="Cambria Math" w:eastAsia="Cambria Math"/>
          <w:position w:val="-4"/>
          <w:sz w:val="16"/>
        </w:rPr>
        <w:t>1    </w:t>
      </w:r>
      <w:r>
        <w:rPr>
          <w:rFonts w:ascii="Cambria Math" w:eastAsia="Cambria Math"/>
          <w:sz w:val="24"/>
        </w:rPr>
        <w:t>+  𝜀</w:t>
      </w:r>
    </w:p>
    <w:p>
      <w:pPr>
        <w:spacing w:after="0"/>
        <w:jc w:val="left"/>
        <w:rPr>
          <w:rFonts w:ascii="Cambria Math" w:eastAsia="Cambria Math"/>
          <w:sz w:val="24"/>
        </w:rPr>
        <w:sectPr>
          <w:type w:val="continuous"/>
          <w:pgSz w:w="12240" w:h="15840"/>
          <w:pgMar w:top="1500" w:bottom="280" w:left="1520" w:right="1240"/>
          <w:cols w:num="2" w:equalWidth="0">
            <w:col w:w="957" w:space="2429"/>
            <w:col w:w="6094"/>
          </w:cols>
        </w:sectPr>
      </w:pPr>
    </w:p>
    <w:p>
      <w:pPr>
        <w:pStyle w:val="BodyText"/>
        <w:rPr>
          <w:rFonts w:ascii="Cambria Math"/>
          <w:sz w:val="20"/>
        </w:rPr>
      </w:pPr>
    </w:p>
    <w:p>
      <w:pPr>
        <w:pStyle w:val="BodyText"/>
        <w:spacing w:before="11"/>
        <w:rPr>
          <w:rFonts w:ascii="Cambria Math"/>
          <w:sz w:val="20"/>
        </w:rPr>
      </w:pPr>
    </w:p>
    <w:p>
      <w:pPr>
        <w:pStyle w:val="BodyText"/>
        <w:spacing w:before="69"/>
        <w:ind w:left="179" w:right="185"/>
      </w:pPr>
      <w:r>
        <w:rPr>
          <w:position w:val="2"/>
        </w:rPr>
        <w:t>Β</w:t>
      </w:r>
      <w:r>
        <w:rPr>
          <w:sz w:val="16"/>
        </w:rPr>
        <w:t>i </w:t>
      </w:r>
      <w:r>
        <w:rPr>
          <w:position w:val="2"/>
        </w:rPr>
        <w:t>= parámetros del modelo; i = 0, 1.</w:t>
      </w:r>
    </w:p>
    <w:p>
      <w:pPr>
        <w:pStyle w:val="BodyText"/>
        <w:spacing w:before="138"/>
        <w:ind w:left="179" w:right="185"/>
      </w:pPr>
      <w:r>
        <w:rPr>
          <w:position w:val="2"/>
        </w:rPr>
        <w:t>X</w:t>
      </w:r>
      <w:r>
        <w:rPr>
          <w:sz w:val="16"/>
        </w:rPr>
        <w:t>1 </w:t>
      </w:r>
      <w:r>
        <w:rPr>
          <w:position w:val="2"/>
        </w:rPr>
        <w:t>= variable independiente, referente al tiempo.</w:t>
      </w:r>
    </w:p>
    <w:p>
      <w:pPr>
        <w:pStyle w:val="BodyText"/>
      </w:pPr>
    </w:p>
    <w:p>
      <w:pPr>
        <w:spacing w:line="241" w:lineRule="exact" w:before="80"/>
        <w:ind w:left="179" w:right="185" w:firstLine="0"/>
        <w:jc w:val="left"/>
        <w:rPr>
          <w:rFonts w:ascii="Times New Roman" w:hAnsi="Times New Roman" w:eastAsia="Times New Roman"/>
          <w:sz w:val="20"/>
        </w:rPr>
      </w:pPr>
      <w:r>
        <w:rPr/>
        <w:pict>
          <v:line style="position:absolute;mso-position-horizontal-relative:page;mso-position-vertical-relative:paragraph;z-index:-111568" from="151.490005pt,13.651349pt" to="160.370005pt,13.651349pt" stroked="true" strokeweight=".72003pt" strokecolor="#000000">
            <w10:wrap type="none"/>
          </v:line>
        </w:pict>
      </w:r>
      <w:r>
        <w:rPr/>
        <w:pict>
          <v:shape style="position:absolute;margin-left:134.690002pt;margin-top:5.06839pt;width:12.45pt;height:6pt;mso-position-horizontal-relative:page;mso-position-vertical-relative:paragraph;z-index:-111544" type="#_x0000_t202" filled="false" stroked="false">
            <v:textbox inset="0,0,0,0">
              <w:txbxContent>
                <w:p>
                  <w:pPr>
                    <w:spacing w:line="120" w:lineRule="exact" w:before="0"/>
                    <w:ind w:left="0" w:right="-82" w:firstLine="0"/>
                    <w:jc w:val="left"/>
                    <w:rPr>
                      <w:rFonts w:ascii="Cambria Math" w:hAnsi="Cambria Math" w:eastAsia="Cambria Math"/>
                      <w:sz w:val="12"/>
                    </w:rPr>
                  </w:pPr>
                  <w:r>
                    <w:rPr>
                      <w:rFonts w:ascii="Cambria Math" w:hAnsi="Cambria Math" w:eastAsia="Cambria Math"/>
                      <w:spacing w:val="1"/>
                      <w:w w:val="123"/>
                      <w:sz w:val="12"/>
                    </w:rPr>
                    <w:t>𝑛</w:t>
                  </w:r>
                  <w:r>
                    <w:rPr>
                      <w:rFonts w:ascii="Cambria Math" w:hAnsi="Cambria Math" w:eastAsia="Cambria Math"/>
                      <w:spacing w:val="1"/>
                      <w:w w:val="99"/>
                      <w:sz w:val="12"/>
                    </w:rPr>
                    <w:t>−</w:t>
                  </w:r>
                  <w:r>
                    <w:rPr>
                      <w:rFonts w:ascii="Cambria Math" w:hAnsi="Cambria Math" w:eastAsia="Cambria Math"/>
                      <w:w w:val="107"/>
                      <w:sz w:val="12"/>
                    </w:rPr>
                    <w:t>1</w:t>
                  </w:r>
                </w:p>
              </w:txbxContent>
            </v:textbox>
            <w10:wrap type="none"/>
          </v:shape>
        </w:pict>
      </w:r>
      <w:r>
        <w:rPr>
          <w:rFonts w:ascii="Times New Roman" w:hAnsi="Times New Roman" w:eastAsia="Times New Roman"/>
          <w:w w:val="110"/>
          <w:position w:val="7"/>
          <w:sz w:val="13"/>
        </w:rPr>
        <w:t>1</w:t>
      </w:r>
      <w:r>
        <w:rPr>
          <w:rFonts w:ascii="Cambria Math" w:hAnsi="Cambria Math" w:eastAsia="Cambria Math"/>
          <w:w w:val="110"/>
          <w:sz w:val="20"/>
        </w:rPr>
        <w:t>���� = ( √</w:t>
      </w:r>
      <w:r>
        <w:rPr>
          <w:rFonts w:ascii="Cambria Math" w:hAnsi="Cambria Math" w:eastAsia="Cambria Math"/>
          <w:w w:val="110"/>
          <w:position w:val="12"/>
          <w:sz w:val="14"/>
        </w:rPr>
        <w:t>𝑉𝑓 </w:t>
      </w:r>
      <w:r>
        <w:rPr>
          <w:rFonts w:ascii="Cambria Math" w:hAnsi="Cambria Math" w:eastAsia="Cambria Math"/>
          <w:w w:val="110"/>
          <w:sz w:val="20"/>
        </w:rPr>
        <w:t>− 1) </w:t>
      </w:r>
      <w:r>
        <w:rPr>
          <w:rFonts w:ascii="Cambria Math" w:hAnsi="Cambria Math" w:eastAsia="Cambria Math"/>
          <w:w w:val="110"/>
          <w:position w:val="1"/>
          <w:sz w:val="20"/>
        </w:rPr>
        <w:t>(</w:t>
      </w:r>
      <w:r>
        <w:rPr>
          <w:rFonts w:ascii="Cambria Math" w:hAnsi="Cambria Math" w:eastAsia="Cambria Math"/>
          <w:w w:val="110"/>
          <w:sz w:val="20"/>
        </w:rPr>
        <w:t>100</w:t>
      </w:r>
      <w:r>
        <w:rPr>
          <w:rFonts w:ascii="Cambria Math" w:hAnsi="Cambria Math" w:eastAsia="Cambria Math"/>
          <w:w w:val="110"/>
          <w:position w:val="1"/>
          <w:sz w:val="20"/>
        </w:rPr>
        <w:t>) </w:t>
      </w:r>
      <w:r>
        <w:rPr>
          <w:rFonts w:ascii="Times New Roman" w:hAnsi="Times New Roman" w:eastAsia="Times New Roman"/>
          <w:w w:val="110"/>
          <w:sz w:val="20"/>
        </w:rPr>
        <w:t>-1</w:t>
      </w:r>
    </w:p>
    <w:p>
      <w:pPr>
        <w:spacing w:line="144" w:lineRule="exact" w:before="0"/>
        <w:ind w:left="1524" w:right="185" w:firstLine="0"/>
        <w:jc w:val="left"/>
        <w:rPr>
          <w:rFonts w:ascii="Cambria Math" w:eastAsia="Cambria Math"/>
          <w:sz w:val="14"/>
        </w:rPr>
      </w:pPr>
      <w:r>
        <w:rPr>
          <w:rFonts w:ascii="Cambria Math" w:eastAsia="Cambria Math"/>
          <w:w w:val="105"/>
          <w:sz w:val="14"/>
        </w:rPr>
        <w:t>𝑉𝑖</w:t>
      </w:r>
    </w:p>
    <w:p>
      <w:pPr>
        <w:spacing w:after="0" w:line="144" w:lineRule="exact"/>
        <w:jc w:val="left"/>
        <w:rPr>
          <w:rFonts w:ascii="Cambria Math" w:eastAsia="Cambria Math"/>
          <w:sz w:val="14"/>
        </w:rPr>
        <w:sectPr>
          <w:type w:val="continuous"/>
          <w:pgSz w:w="12240" w:h="15840"/>
          <w:pgMar w:top="1500" w:bottom="280" w:left="1520" w:right="1240"/>
        </w:sectPr>
      </w:pPr>
    </w:p>
    <w:p>
      <w:pPr>
        <w:pStyle w:val="BodyText"/>
        <w:spacing w:before="52"/>
        <w:ind w:left="179" w:right="185"/>
      </w:pPr>
      <w:r>
        <w:rPr/>
        <w:t>ε = error estadístico, estocástico o aleatorio.</w:t>
      </w:r>
    </w:p>
    <w:p>
      <w:pPr>
        <w:pStyle w:val="BodyText"/>
      </w:pPr>
    </w:p>
    <w:p>
      <w:pPr>
        <w:pStyle w:val="BodyText"/>
        <w:spacing w:before="2"/>
      </w:pPr>
    </w:p>
    <w:p>
      <w:pPr>
        <w:pStyle w:val="BodyText"/>
        <w:spacing w:line="360" w:lineRule="auto"/>
        <w:ind w:left="179" w:right="185"/>
      </w:pPr>
      <w:r>
        <w:rPr/>
        <w:t>El modelo estimado que permite realizar proyecciones, a nivel nacional del CNA de carne de bovino en canal, es:</w:t>
      </w:r>
    </w:p>
    <w:p>
      <w:pPr>
        <w:pStyle w:val="BodyText"/>
      </w:pPr>
    </w:p>
    <w:p>
      <w:pPr>
        <w:spacing w:before="144"/>
        <w:ind w:left="3078" w:right="3078" w:firstLine="0"/>
        <w:jc w:val="center"/>
        <w:rPr>
          <w:i/>
          <w:sz w:val="24"/>
        </w:rPr>
      </w:pPr>
      <w:r>
        <w:rPr>
          <w:i/>
          <w:sz w:val="24"/>
        </w:rPr>
        <w:t>CNA = 1,888,486.8 + 4,130.6X</w:t>
      </w:r>
    </w:p>
    <w:p>
      <w:pPr>
        <w:pStyle w:val="BodyText"/>
        <w:rPr>
          <w:i/>
        </w:rPr>
      </w:pPr>
    </w:p>
    <w:p>
      <w:pPr>
        <w:pStyle w:val="BodyText"/>
        <w:spacing w:before="9"/>
        <w:rPr>
          <w:i/>
          <w:sz w:val="23"/>
        </w:rPr>
      </w:pPr>
    </w:p>
    <w:p>
      <w:pPr>
        <w:pStyle w:val="BodyText"/>
        <w:ind w:left="179" w:right="185"/>
      </w:pPr>
      <w:r>
        <w:rPr/>
        <w:t>Por lo que las proyecciones del CNA (Cuadro 2) al 2022, serían:</w:t>
      </w:r>
    </w:p>
    <w:p>
      <w:pPr>
        <w:pStyle w:val="BodyText"/>
        <w:spacing w:before="137"/>
        <w:ind w:left="179"/>
      </w:pPr>
      <w:r>
        <w:rPr/>
        <w:t>Cuadro 2. Proyecciones del consumo nacional aparente de carne de bovino en canal.</w:t>
      </w:r>
    </w:p>
    <w:p>
      <w:pPr>
        <w:pStyle w:val="BodyText"/>
        <w:spacing w:before="141"/>
        <w:ind w:left="890" w:right="185"/>
      </w:pPr>
      <w:r>
        <w:rPr/>
        <w:t>Cifras en toneladas.</w:t>
      </w:r>
    </w:p>
    <w:p>
      <w:pPr>
        <w:pStyle w:val="BodyText"/>
        <w:spacing w:before="3"/>
        <w:rPr>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0"/>
        <w:gridCol w:w="4898"/>
      </w:tblGrid>
      <w:tr>
        <w:trPr>
          <w:trHeight w:val="423" w:hRule="exact"/>
        </w:trPr>
        <w:tc>
          <w:tcPr>
            <w:tcW w:w="4370" w:type="dxa"/>
            <w:tcBorders>
              <w:left w:val="nil"/>
              <w:right w:val="nil"/>
            </w:tcBorders>
          </w:tcPr>
          <w:p>
            <w:pPr>
              <w:pStyle w:val="TableParagraph"/>
              <w:spacing w:line="272" w:lineRule="exact" w:before="0"/>
              <w:ind w:left="71"/>
              <w:jc w:val="left"/>
              <w:rPr>
                <w:sz w:val="24"/>
              </w:rPr>
            </w:pPr>
            <w:r>
              <w:rPr>
                <w:sz w:val="24"/>
              </w:rPr>
              <w:t>Año</w:t>
            </w:r>
          </w:p>
        </w:tc>
        <w:tc>
          <w:tcPr>
            <w:tcW w:w="4898" w:type="dxa"/>
            <w:tcBorders>
              <w:left w:val="nil"/>
              <w:right w:val="nil"/>
            </w:tcBorders>
          </w:tcPr>
          <w:p>
            <w:pPr>
              <w:pStyle w:val="TableParagraph"/>
              <w:spacing w:line="272" w:lineRule="exact" w:before="0"/>
              <w:ind w:right="72"/>
              <w:rPr>
                <w:sz w:val="24"/>
              </w:rPr>
            </w:pPr>
            <w:r>
              <w:rPr>
                <w:sz w:val="24"/>
              </w:rPr>
              <w:t>CNA (t)</w:t>
            </w:r>
          </w:p>
        </w:tc>
      </w:tr>
      <w:tr>
        <w:trPr>
          <w:trHeight w:val="358" w:hRule="exact"/>
        </w:trPr>
        <w:tc>
          <w:tcPr>
            <w:tcW w:w="4370" w:type="dxa"/>
            <w:tcBorders>
              <w:left w:val="nil"/>
              <w:bottom w:val="nil"/>
              <w:right w:val="nil"/>
            </w:tcBorders>
          </w:tcPr>
          <w:p>
            <w:pPr>
              <w:pStyle w:val="TableParagraph"/>
              <w:spacing w:line="272" w:lineRule="exact" w:before="0"/>
              <w:ind w:left="71"/>
              <w:jc w:val="left"/>
              <w:rPr>
                <w:sz w:val="24"/>
              </w:rPr>
            </w:pPr>
            <w:r>
              <w:rPr>
                <w:sz w:val="24"/>
              </w:rPr>
              <w:t>2013</w:t>
            </w:r>
          </w:p>
        </w:tc>
        <w:tc>
          <w:tcPr>
            <w:tcW w:w="4898" w:type="dxa"/>
            <w:tcBorders>
              <w:left w:val="nil"/>
              <w:bottom w:val="nil"/>
              <w:right w:val="nil"/>
            </w:tcBorders>
          </w:tcPr>
          <w:p>
            <w:pPr>
              <w:pStyle w:val="TableParagraph"/>
              <w:spacing w:line="272" w:lineRule="exact" w:before="0"/>
              <w:ind w:right="67"/>
              <w:rPr>
                <w:sz w:val="24"/>
              </w:rPr>
            </w:pPr>
            <w:r>
              <w:rPr>
                <w:sz w:val="24"/>
              </w:rPr>
              <w:t>1,953,920</w:t>
            </w:r>
          </w:p>
        </w:tc>
      </w:tr>
      <w:tr>
        <w:trPr>
          <w:trHeight w:val="415" w:hRule="exact"/>
        </w:trPr>
        <w:tc>
          <w:tcPr>
            <w:tcW w:w="4370" w:type="dxa"/>
            <w:tcBorders>
              <w:top w:val="nil"/>
              <w:left w:val="nil"/>
              <w:bottom w:val="nil"/>
              <w:right w:val="nil"/>
            </w:tcBorders>
          </w:tcPr>
          <w:p>
            <w:pPr>
              <w:pStyle w:val="TableParagraph"/>
              <w:ind w:left="71"/>
              <w:jc w:val="left"/>
              <w:rPr>
                <w:sz w:val="24"/>
              </w:rPr>
            </w:pPr>
            <w:r>
              <w:rPr>
                <w:sz w:val="24"/>
              </w:rPr>
              <w:t>2014</w:t>
            </w:r>
          </w:p>
        </w:tc>
        <w:tc>
          <w:tcPr>
            <w:tcW w:w="4898" w:type="dxa"/>
            <w:tcBorders>
              <w:top w:val="nil"/>
              <w:left w:val="nil"/>
              <w:bottom w:val="nil"/>
              <w:right w:val="nil"/>
            </w:tcBorders>
          </w:tcPr>
          <w:p>
            <w:pPr>
              <w:pStyle w:val="TableParagraph"/>
              <w:ind w:right="67"/>
              <w:rPr>
                <w:sz w:val="24"/>
              </w:rPr>
            </w:pPr>
            <w:r>
              <w:rPr>
                <w:sz w:val="24"/>
              </w:rPr>
              <w:t>1,993,952</w:t>
            </w:r>
          </w:p>
        </w:tc>
      </w:tr>
      <w:tr>
        <w:trPr>
          <w:trHeight w:val="415" w:hRule="exact"/>
        </w:trPr>
        <w:tc>
          <w:tcPr>
            <w:tcW w:w="4370" w:type="dxa"/>
            <w:tcBorders>
              <w:top w:val="nil"/>
              <w:left w:val="nil"/>
              <w:bottom w:val="nil"/>
              <w:right w:val="nil"/>
            </w:tcBorders>
          </w:tcPr>
          <w:p>
            <w:pPr>
              <w:pStyle w:val="TableParagraph"/>
              <w:spacing w:before="58"/>
              <w:ind w:left="71"/>
              <w:jc w:val="left"/>
              <w:rPr>
                <w:sz w:val="24"/>
              </w:rPr>
            </w:pPr>
            <w:r>
              <w:rPr>
                <w:sz w:val="24"/>
              </w:rPr>
              <w:t>2015</w:t>
            </w:r>
          </w:p>
        </w:tc>
        <w:tc>
          <w:tcPr>
            <w:tcW w:w="4898" w:type="dxa"/>
            <w:tcBorders>
              <w:top w:val="nil"/>
              <w:left w:val="nil"/>
              <w:bottom w:val="nil"/>
              <w:right w:val="nil"/>
            </w:tcBorders>
          </w:tcPr>
          <w:p>
            <w:pPr>
              <w:pStyle w:val="TableParagraph"/>
              <w:spacing w:before="58"/>
              <w:ind w:right="67"/>
              <w:rPr>
                <w:sz w:val="24"/>
              </w:rPr>
            </w:pPr>
            <w:r>
              <w:rPr>
                <w:sz w:val="24"/>
              </w:rPr>
              <w:t>2,034,803</w:t>
            </w:r>
          </w:p>
        </w:tc>
      </w:tr>
      <w:tr>
        <w:trPr>
          <w:trHeight w:val="413" w:hRule="exact"/>
        </w:trPr>
        <w:tc>
          <w:tcPr>
            <w:tcW w:w="4370" w:type="dxa"/>
            <w:tcBorders>
              <w:top w:val="nil"/>
              <w:left w:val="nil"/>
              <w:bottom w:val="nil"/>
              <w:right w:val="nil"/>
            </w:tcBorders>
          </w:tcPr>
          <w:p>
            <w:pPr>
              <w:pStyle w:val="TableParagraph"/>
              <w:ind w:left="71"/>
              <w:jc w:val="left"/>
              <w:rPr>
                <w:sz w:val="24"/>
              </w:rPr>
            </w:pPr>
            <w:r>
              <w:rPr>
                <w:sz w:val="24"/>
              </w:rPr>
              <w:t>2016</w:t>
            </w:r>
          </w:p>
        </w:tc>
        <w:tc>
          <w:tcPr>
            <w:tcW w:w="4898" w:type="dxa"/>
            <w:tcBorders>
              <w:top w:val="nil"/>
              <w:left w:val="nil"/>
              <w:bottom w:val="nil"/>
              <w:right w:val="nil"/>
            </w:tcBorders>
          </w:tcPr>
          <w:p>
            <w:pPr>
              <w:pStyle w:val="TableParagraph"/>
              <w:ind w:right="67"/>
              <w:rPr>
                <w:sz w:val="24"/>
              </w:rPr>
            </w:pPr>
            <w:r>
              <w:rPr>
                <w:sz w:val="24"/>
              </w:rPr>
              <w:t>2,076,492</w:t>
            </w:r>
          </w:p>
        </w:tc>
      </w:tr>
      <w:tr>
        <w:trPr>
          <w:trHeight w:val="413" w:hRule="exact"/>
        </w:trPr>
        <w:tc>
          <w:tcPr>
            <w:tcW w:w="4370" w:type="dxa"/>
            <w:tcBorders>
              <w:top w:val="nil"/>
              <w:left w:val="nil"/>
              <w:bottom w:val="nil"/>
              <w:right w:val="nil"/>
            </w:tcBorders>
          </w:tcPr>
          <w:p>
            <w:pPr>
              <w:pStyle w:val="TableParagraph"/>
              <w:spacing w:before="56"/>
              <w:ind w:left="71"/>
              <w:jc w:val="left"/>
              <w:rPr>
                <w:sz w:val="24"/>
              </w:rPr>
            </w:pPr>
            <w:r>
              <w:rPr>
                <w:sz w:val="24"/>
              </w:rPr>
              <w:t>2017</w:t>
            </w:r>
          </w:p>
        </w:tc>
        <w:tc>
          <w:tcPr>
            <w:tcW w:w="4898" w:type="dxa"/>
            <w:tcBorders>
              <w:top w:val="nil"/>
              <w:left w:val="nil"/>
              <w:bottom w:val="nil"/>
              <w:right w:val="nil"/>
            </w:tcBorders>
          </w:tcPr>
          <w:p>
            <w:pPr>
              <w:pStyle w:val="TableParagraph"/>
              <w:spacing w:before="56"/>
              <w:ind w:right="67"/>
              <w:rPr>
                <w:sz w:val="24"/>
              </w:rPr>
            </w:pPr>
            <w:r>
              <w:rPr>
                <w:sz w:val="24"/>
              </w:rPr>
              <w:t>2,119,035</w:t>
            </w:r>
          </w:p>
        </w:tc>
      </w:tr>
      <w:tr>
        <w:trPr>
          <w:trHeight w:val="415" w:hRule="exact"/>
        </w:trPr>
        <w:tc>
          <w:tcPr>
            <w:tcW w:w="4370" w:type="dxa"/>
            <w:tcBorders>
              <w:top w:val="nil"/>
              <w:left w:val="nil"/>
              <w:bottom w:val="nil"/>
              <w:right w:val="nil"/>
            </w:tcBorders>
          </w:tcPr>
          <w:p>
            <w:pPr>
              <w:pStyle w:val="TableParagraph"/>
              <w:ind w:left="71"/>
              <w:jc w:val="left"/>
              <w:rPr>
                <w:sz w:val="24"/>
              </w:rPr>
            </w:pPr>
            <w:r>
              <w:rPr>
                <w:sz w:val="24"/>
              </w:rPr>
              <w:t>2018</w:t>
            </w:r>
          </w:p>
        </w:tc>
        <w:tc>
          <w:tcPr>
            <w:tcW w:w="4898" w:type="dxa"/>
            <w:tcBorders>
              <w:top w:val="nil"/>
              <w:left w:val="nil"/>
              <w:bottom w:val="nil"/>
              <w:right w:val="nil"/>
            </w:tcBorders>
          </w:tcPr>
          <w:p>
            <w:pPr>
              <w:pStyle w:val="TableParagraph"/>
              <w:ind w:right="67"/>
              <w:rPr>
                <w:sz w:val="24"/>
              </w:rPr>
            </w:pPr>
            <w:r>
              <w:rPr>
                <w:sz w:val="24"/>
              </w:rPr>
              <w:t>2,162,450</w:t>
            </w:r>
          </w:p>
        </w:tc>
      </w:tr>
      <w:tr>
        <w:trPr>
          <w:trHeight w:val="415" w:hRule="exact"/>
        </w:trPr>
        <w:tc>
          <w:tcPr>
            <w:tcW w:w="4370" w:type="dxa"/>
            <w:tcBorders>
              <w:top w:val="nil"/>
              <w:left w:val="nil"/>
              <w:bottom w:val="nil"/>
              <w:right w:val="nil"/>
            </w:tcBorders>
          </w:tcPr>
          <w:p>
            <w:pPr>
              <w:pStyle w:val="TableParagraph"/>
              <w:spacing w:before="58"/>
              <w:ind w:left="71"/>
              <w:jc w:val="left"/>
              <w:rPr>
                <w:sz w:val="24"/>
              </w:rPr>
            </w:pPr>
            <w:r>
              <w:rPr>
                <w:sz w:val="24"/>
              </w:rPr>
              <w:t>2019</w:t>
            </w:r>
          </w:p>
        </w:tc>
        <w:tc>
          <w:tcPr>
            <w:tcW w:w="4898" w:type="dxa"/>
            <w:tcBorders>
              <w:top w:val="nil"/>
              <w:left w:val="nil"/>
              <w:bottom w:val="nil"/>
              <w:right w:val="nil"/>
            </w:tcBorders>
          </w:tcPr>
          <w:p>
            <w:pPr>
              <w:pStyle w:val="TableParagraph"/>
              <w:spacing w:before="58"/>
              <w:ind w:right="67"/>
              <w:rPr>
                <w:sz w:val="24"/>
              </w:rPr>
            </w:pPr>
            <w:r>
              <w:rPr>
                <w:sz w:val="24"/>
              </w:rPr>
              <w:t>2,206,754</w:t>
            </w:r>
          </w:p>
        </w:tc>
      </w:tr>
      <w:tr>
        <w:trPr>
          <w:trHeight w:val="413" w:hRule="exact"/>
        </w:trPr>
        <w:tc>
          <w:tcPr>
            <w:tcW w:w="4370" w:type="dxa"/>
            <w:tcBorders>
              <w:top w:val="nil"/>
              <w:left w:val="nil"/>
              <w:bottom w:val="nil"/>
              <w:right w:val="nil"/>
            </w:tcBorders>
          </w:tcPr>
          <w:p>
            <w:pPr>
              <w:pStyle w:val="TableParagraph"/>
              <w:ind w:left="71"/>
              <w:jc w:val="left"/>
              <w:rPr>
                <w:sz w:val="24"/>
              </w:rPr>
            </w:pPr>
            <w:r>
              <w:rPr>
                <w:sz w:val="24"/>
              </w:rPr>
              <w:t>2020</w:t>
            </w:r>
          </w:p>
        </w:tc>
        <w:tc>
          <w:tcPr>
            <w:tcW w:w="4898" w:type="dxa"/>
            <w:tcBorders>
              <w:top w:val="nil"/>
              <w:left w:val="nil"/>
              <w:bottom w:val="nil"/>
              <w:right w:val="nil"/>
            </w:tcBorders>
          </w:tcPr>
          <w:p>
            <w:pPr>
              <w:pStyle w:val="TableParagraph"/>
              <w:ind w:right="67"/>
              <w:rPr>
                <w:sz w:val="24"/>
              </w:rPr>
            </w:pPr>
            <w:r>
              <w:rPr>
                <w:sz w:val="24"/>
              </w:rPr>
              <w:t>2,251,966</w:t>
            </w:r>
          </w:p>
        </w:tc>
      </w:tr>
      <w:tr>
        <w:trPr>
          <w:trHeight w:val="413" w:hRule="exact"/>
        </w:trPr>
        <w:tc>
          <w:tcPr>
            <w:tcW w:w="4370" w:type="dxa"/>
            <w:tcBorders>
              <w:top w:val="nil"/>
              <w:left w:val="nil"/>
              <w:bottom w:val="nil"/>
              <w:right w:val="nil"/>
            </w:tcBorders>
          </w:tcPr>
          <w:p>
            <w:pPr>
              <w:pStyle w:val="TableParagraph"/>
              <w:spacing w:before="56"/>
              <w:ind w:left="71"/>
              <w:jc w:val="left"/>
              <w:rPr>
                <w:sz w:val="24"/>
              </w:rPr>
            </w:pPr>
            <w:r>
              <w:rPr>
                <w:sz w:val="24"/>
              </w:rPr>
              <w:t>2021</w:t>
            </w:r>
          </w:p>
        </w:tc>
        <w:tc>
          <w:tcPr>
            <w:tcW w:w="4898" w:type="dxa"/>
            <w:tcBorders>
              <w:top w:val="nil"/>
              <w:left w:val="nil"/>
              <w:bottom w:val="nil"/>
              <w:right w:val="nil"/>
            </w:tcBorders>
          </w:tcPr>
          <w:p>
            <w:pPr>
              <w:pStyle w:val="TableParagraph"/>
              <w:spacing w:before="56"/>
              <w:ind w:right="67"/>
              <w:rPr>
                <w:sz w:val="24"/>
              </w:rPr>
            </w:pPr>
            <w:r>
              <w:rPr>
                <w:sz w:val="24"/>
              </w:rPr>
              <w:t>2,298,104</w:t>
            </w:r>
          </w:p>
        </w:tc>
      </w:tr>
      <w:tr>
        <w:trPr>
          <w:trHeight w:val="482" w:hRule="exact"/>
        </w:trPr>
        <w:tc>
          <w:tcPr>
            <w:tcW w:w="4370" w:type="dxa"/>
            <w:tcBorders>
              <w:top w:val="nil"/>
              <w:left w:val="nil"/>
              <w:right w:val="nil"/>
            </w:tcBorders>
          </w:tcPr>
          <w:p>
            <w:pPr>
              <w:pStyle w:val="TableParagraph"/>
              <w:ind w:left="71"/>
              <w:jc w:val="left"/>
              <w:rPr>
                <w:sz w:val="24"/>
              </w:rPr>
            </w:pPr>
            <w:r>
              <w:rPr>
                <w:sz w:val="24"/>
              </w:rPr>
              <w:t>2022</w:t>
            </w:r>
          </w:p>
        </w:tc>
        <w:tc>
          <w:tcPr>
            <w:tcW w:w="4898" w:type="dxa"/>
            <w:tcBorders>
              <w:top w:val="nil"/>
              <w:left w:val="nil"/>
              <w:right w:val="nil"/>
            </w:tcBorders>
          </w:tcPr>
          <w:p>
            <w:pPr>
              <w:pStyle w:val="TableParagraph"/>
              <w:ind w:right="67"/>
              <w:rPr>
                <w:sz w:val="24"/>
              </w:rPr>
            </w:pPr>
            <w:r>
              <w:rPr>
                <w:sz w:val="24"/>
              </w:rPr>
              <w:t>2,345,187</w:t>
            </w:r>
          </w:p>
        </w:tc>
      </w:tr>
    </w:tbl>
    <w:p>
      <w:pPr>
        <w:spacing w:line="225" w:lineRule="exact" w:before="0"/>
        <w:ind w:left="179" w:right="0" w:firstLine="0"/>
        <w:jc w:val="both"/>
        <w:rPr>
          <w:sz w:val="20"/>
        </w:rPr>
      </w:pPr>
      <w:r>
        <w:rPr>
          <w:sz w:val="20"/>
        </w:rPr>
        <w:t>Elaboración propia.</w:t>
      </w:r>
    </w:p>
    <w:p>
      <w:pPr>
        <w:pStyle w:val="BodyText"/>
        <w:rPr>
          <w:sz w:val="20"/>
        </w:rPr>
      </w:pPr>
    </w:p>
    <w:p>
      <w:pPr>
        <w:pStyle w:val="BodyText"/>
        <w:spacing w:before="7"/>
        <w:rPr>
          <w:sz w:val="25"/>
        </w:rPr>
      </w:pPr>
    </w:p>
    <w:p>
      <w:pPr>
        <w:pStyle w:val="BodyText"/>
        <w:spacing w:line="360" w:lineRule="auto"/>
        <w:ind w:left="179" w:right="184"/>
        <w:jc w:val="both"/>
      </w:pPr>
      <w:r>
        <w:rPr/>
        <w:t>El contraste (Cuadro 3) entre oferta</w:t>
      </w:r>
      <w:r>
        <w:rPr>
          <w:position w:val="8"/>
          <w:sz w:val="16"/>
        </w:rPr>
        <w:t>2 </w:t>
      </w:r>
      <w:r>
        <w:rPr/>
        <w:t>y demanda de carne en canal de bovinos, en México, indica que existe una demanda potencial insatisfecha, esto es, de acuerdo al comportamiento nacional de la producción de carne en canal de bovino, el volumen nacional producido es y será menor al comportamiento de la demanda, lo que brinda elementos de juicio que permiten tomar decisiones de inversión y gestión de apoyos en ese sector, como puede ser decidir inversiones en engordas intensivas en corral.</w:t>
      </w:r>
    </w:p>
    <w:p>
      <w:pPr>
        <w:pStyle w:val="BodyText"/>
        <w:rPr>
          <w:sz w:val="20"/>
        </w:rPr>
      </w:pPr>
    </w:p>
    <w:p>
      <w:pPr>
        <w:pStyle w:val="BodyText"/>
        <w:spacing w:before="1"/>
        <w:rPr>
          <w:sz w:val="22"/>
        </w:rPr>
      </w:pPr>
    </w:p>
    <w:p>
      <w:pPr>
        <w:spacing w:before="85"/>
        <w:ind w:left="179" w:right="185" w:firstLine="0"/>
        <w:jc w:val="left"/>
        <w:rPr>
          <w:sz w:val="20"/>
        </w:rPr>
      </w:pPr>
      <w:r>
        <w:rPr>
          <w:rFonts w:ascii="Times New Roman" w:hAnsi="Times New Roman"/>
          <w:position w:val="7"/>
          <w:sz w:val="13"/>
        </w:rPr>
        <w:t>2</w:t>
      </w:r>
      <w:r>
        <w:rPr>
          <w:sz w:val="20"/>
        </w:rPr>
        <w:t>Hasta este momento y con fines de ilustrar el contraste, entiéndase como oferta al volumen nacional producido de carne en canal de bovino.</w:t>
      </w:r>
    </w:p>
    <w:p>
      <w:pPr>
        <w:spacing w:after="0"/>
        <w:jc w:val="left"/>
        <w:rPr>
          <w:sz w:val="20"/>
        </w:rPr>
        <w:sectPr>
          <w:footerReference w:type="default" r:id="rId12"/>
          <w:pgSz w:w="12240" w:h="15840"/>
          <w:pgMar w:footer="1171" w:header="0" w:top="1360" w:bottom="1360" w:left="1520" w:right="1240"/>
        </w:sectPr>
      </w:pPr>
    </w:p>
    <w:p>
      <w:pPr>
        <w:pStyle w:val="BodyText"/>
        <w:spacing w:line="362" w:lineRule="auto" w:before="52" w:after="4"/>
        <w:ind w:left="890" w:right="185" w:hanging="711"/>
      </w:pPr>
      <w:r>
        <w:rPr/>
        <w:t>Cuadro 3. Contraste entre oferta y demanda proyectadas de carne en canal de bovinos. Cifras en toneladas.</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0"/>
        <w:gridCol w:w="2983"/>
        <w:gridCol w:w="2602"/>
        <w:gridCol w:w="1922"/>
      </w:tblGrid>
      <w:tr>
        <w:trPr>
          <w:trHeight w:val="423" w:hRule="exact"/>
        </w:trPr>
        <w:tc>
          <w:tcPr>
            <w:tcW w:w="1760" w:type="dxa"/>
            <w:tcBorders>
              <w:left w:val="nil"/>
              <w:right w:val="nil"/>
            </w:tcBorders>
          </w:tcPr>
          <w:p>
            <w:pPr>
              <w:pStyle w:val="TableParagraph"/>
              <w:spacing w:line="272" w:lineRule="exact" w:before="0"/>
              <w:ind w:left="71"/>
              <w:jc w:val="left"/>
              <w:rPr>
                <w:sz w:val="24"/>
              </w:rPr>
            </w:pPr>
            <w:r>
              <w:rPr>
                <w:sz w:val="24"/>
              </w:rPr>
              <w:t>Año</w:t>
            </w:r>
          </w:p>
        </w:tc>
        <w:tc>
          <w:tcPr>
            <w:tcW w:w="2983" w:type="dxa"/>
            <w:tcBorders>
              <w:left w:val="nil"/>
              <w:right w:val="nil"/>
            </w:tcBorders>
          </w:tcPr>
          <w:p>
            <w:pPr>
              <w:pStyle w:val="TableParagraph"/>
              <w:spacing w:line="272" w:lineRule="exact" w:before="0"/>
              <w:ind w:right="767"/>
              <w:rPr>
                <w:sz w:val="24"/>
              </w:rPr>
            </w:pPr>
            <w:r>
              <w:rPr>
                <w:sz w:val="24"/>
              </w:rPr>
              <w:t>Demanda</w:t>
            </w:r>
          </w:p>
        </w:tc>
        <w:tc>
          <w:tcPr>
            <w:tcW w:w="2602" w:type="dxa"/>
            <w:tcBorders>
              <w:left w:val="nil"/>
              <w:right w:val="nil"/>
            </w:tcBorders>
          </w:tcPr>
          <w:p>
            <w:pPr>
              <w:pStyle w:val="TableParagraph"/>
              <w:spacing w:line="272" w:lineRule="exact" w:before="0"/>
              <w:ind w:right="767"/>
              <w:rPr>
                <w:sz w:val="24"/>
              </w:rPr>
            </w:pPr>
            <w:r>
              <w:rPr>
                <w:sz w:val="24"/>
              </w:rPr>
              <w:t>Oferta</w:t>
            </w:r>
          </w:p>
        </w:tc>
        <w:tc>
          <w:tcPr>
            <w:tcW w:w="1922" w:type="dxa"/>
            <w:tcBorders>
              <w:left w:val="nil"/>
              <w:right w:val="nil"/>
            </w:tcBorders>
          </w:tcPr>
          <w:p>
            <w:pPr>
              <w:pStyle w:val="TableParagraph"/>
              <w:spacing w:line="272" w:lineRule="exact" w:before="0"/>
              <w:ind w:right="67"/>
              <w:rPr>
                <w:sz w:val="24"/>
              </w:rPr>
            </w:pPr>
            <w:r>
              <w:rPr>
                <w:sz w:val="24"/>
              </w:rPr>
              <w:t>Diferencia</w:t>
            </w:r>
          </w:p>
        </w:tc>
      </w:tr>
      <w:tr>
        <w:trPr>
          <w:trHeight w:val="360" w:hRule="exact"/>
        </w:trPr>
        <w:tc>
          <w:tcPr>
            <w:tcW w:w="1760" w:type="dxa"/>
            <w:tcBorders>
              <w:left w:val="nil"/>
              <w:bottom w:val="nil"/>
              <w:right w:val="nil"/>
            </w:tcBorders>
          </w:tcPr>
          <w:p>
            <w:pPr>
              <w:pStyle w:val="TableParagraph"/>
              <w:spacing w:line="272" w:lineRule="exact" w:before="0"/>
              <w:ind w:left="71"/>
              <w:jc w:val="left"/>
              <w:rPr>
                <w:sz w:val="24"/>
              </w:rPr>
            </w:pPr>
            <w:r>
              <w:rPr>
                <w:sz w:val="24"/>
              </w:rPr>
              <w:t>2013</w:t>
            </w:r>
          </w:p>
        </w:tc>
        <w:tc>
          <w:tcPr>
            <w:tcW w:w="2983" w:type="dxa"/>
            <w:tcBorders>
              <w:left w:val="nil"/>
              <w:bottom w:val="nil"/>
              <w:right w:val="nil"/>
            </w:tcBorders>
          </w:tcPr>
          <w:p>
            <w:pPr>
              <w:pStyle w:val="TableParagraph"/>
              <w:spacing w:line="272" w:lineRule="exact" w:before="0"/>
              <w:ind w:right="762"/>
              <w:rPr>
                <w:sz w:val="24"/>
              </w:rPr>
            </w:pPr>
            <w:r>
              <w:rPr>
                <w:sz w:val="24"/>
              </w:rPr>
              <w:t>1,953,920</w:t>
            </w:r>
          </w:p>
        </w:tc>
        <w:tc>
          <w:tcPr>
            <w:tcW w:w="2602" w:type="dxa"/>
            <w:tcBorders>
              <w:left w:val="nil"/>
              <w:bottom w:val="nil"/>
              <w:right w:val="nil"/>
            </w:tcBorders>
          </w:tcPr>
          <w:p>
            <w:pPr>
              <w:pStyle w:val="TableParagraph"/>
              <w:spacing w:line="272" w:lineRule="exact" w:before="0"/>
              <w:ind w:right="767"/>
              <w:rPr>
                <w:sz w:val="24"/>
              </w:rPr>
            </w:pPr>
            <w:r>
              <w:rPr>
                <w:sz w:val="24"/>
              </w:rPr>
              <w:t>1,898,133</w:t>
            </w:r>
          </w:p>
        </w:tc>
        <w:tc>
          <w:tcPr>
            <w:tcW w:w="1922" w:type="dxa"/>
            <w:tcBorders>
              <w:left w:val="nil"/>
              <w:bottom w:val="nil"/>
              <w:right w:val="nil"/>
            </w:tcBorders>
          </w:tcPr>
          <w:p>
            <w:pPr>
              <w:pStyle w:val="TableParagraph"/>
              <w:spacing w:line="272" w:lineRule="exact" w:before="0"/>
              <w:ind w:right="67"/>
              <w:rPr>
                <w:sz w:val="24"/>
              </w:rPr>
            </w:pPr>
            <w:r>
              <w:rPr>
                <w:sz w:val="24"/>
              </w:rPr>
              <w:t>-55,787</w:t>
            </w:r>
          </w:p>
        </w:tc>
      </w:tr>
      <w:tr>
        <w:trPr>
          <w:trHeight w:val="415" w:hRule="exact"/>
        </w:trPr>
        <w:tc>
          <w:tcPr>
            <w:tcW w:w="1760" w:type="dxa"/>
            <w:tcBorders>
              <w:top w:val="nil"/>
              <w:left w:val="nil"/>
              <w:bottom w:val="nil"/>
              <w:right w:val="nil"/>
            </w:tcBorders>
          </w:tcPr>
          <w:p>
            <w:pPr>
              <w:pStyle w:val="TableParagraph"/>
              <w:spacing w:before="58"/>
              <w:ind w:left="71"/>
              <w:jc w:val="left"/>
              <w:rPr>
                <w:sz w:val="24"/>
              </w:rPr>
            </w:pPr>
            <w:r>
              <w:rPr>
                <w:sz w:val="24"/>
              </w:rPr>
              <w:t>2014</w:t>
            </w:r>
          </w:p>
        </w:tc>
        <w:tc>
          <w:tcPr>
            <w:tcW w:w="2983" w:type="dxa"/>
            <w:tcBorders>
              <w:top w:val="nil"/>
              <w:left w:val="nil"/>
              <w:bottom w:val="nil"/>
              <w:right w:val="nil"/>
            </w:tcBorders>
          </w:tcPr>
          <w:p>
            <w:pPr>
              <w:pStyle w:val="TableParagraph"/>
              <w:spacing w:before="58"/>
              <w:ind w:right="762"/>
              <w:rPr>
                <w:sz w:val="24"/>
              </w:rPr>
            </w:pPr>
            <w:r>
              <w:rPr>
                <w:sz w:val="24"/>
              </w:rPr>
              <w:t>1,993,952</w:t>
            </w:r>
          </w:p>
        </w:tc>
        <w:tc>
          <w:tcPr>
            <w:tcW w:w="2602" w:type="dxa"/>
            <w:tcBorders>
              <w:top w:val="nil"/>
              <w:left w:val="nil"/>
              <w:bottom w:val="nil"/>
              <w:right w:val="nil"/>
            </w:tcBorders>
          </w:tcPr>
          <w:p>
            <w:pPr>
              <w:pStyle w:val="TableParagraph"/>
              <w:spacing w:before="58"/>
              <w:ind w:right="767"/>
              <w:rPr>
                <w:sz w:val="24"/>
              </w:rPr>
            </w:pPr>
            <w:r>
              <w:rPr>
                <w:sz w:val="24"/>
              </w:rPr>
              <w:t>1,935,206</w:t>
            </w:r>
          </w:p>
        </w:tc>
        <w:tc>
          <w:tcPr>
            <w:tcW w:w="1922" w:type="dxa"/>
            <w:tcBorders>
              <w:top w:val="nil"/>
              <w:left w:val="nil"/>
              <w:bottom w:val="nil"/>
              <w:right w:val="nil"/>
            </w:tcBorders>
          </w:tcPr>
          <w:p>
            <w:pPr>
              <w:pStyle w:val="TableParagraph"/>
              <w:spacing w:before="58"/>
              <w:ind w:right="67"/>
              <w:rPr>
                <w:sz w:val="24"/>
              </w:rPr>
            </w:pPr>
            <w:r>
              <w:rPr>
                <w:sz w:val="24"/>
              </w:rPr>
              <w:t>-58,745</w:t>
            </w:r>
          </w:p>
        </w:tc>
      </w:tr>
      <w:tr>
        <w:trPr>
          <w:trHeight w:val="413" w:hRule="exact"/>
        </w:trPr>
        <w:tc>
          <w:tcPr>
            <w:tcW w:w="1760" w:type="dxa"/>
            <w:tcBorders>
              <w:top w:val="nil"/>
              <w:left w:val="nil"/>
              <w:bottom w:val="nil"/>
              <w:right w:val="nil"/>
            </w:tcBorders>
          </w:tcPr>
          <w:p>
            <w:pPr>
              <w:pStyle w:val="TableParagraph"/>
              <w:ind w:left="71"/>
              <w:jc w:val="left"/>
              <w:rPr>
                <w:sz w:val="24"/>
              </w:rPr>
            </w:pPr>
            <w:r>
              <w:rPr>
                <w:sz w:val="24"/>
              </w:rPr>
              <w:t>2015</w:t>
            </w:r>
          </w:p>
        </w:tc>
        <w:tc>
          <w:tcPr>
            <w:tcW w:w="2983" w:type="dxa"/>
            <w:tcBorders>
              <w:top w:val="nil"/>
              <w:left w:val="nil"/>
              <w:bottom w:val="nil"/>
              <w:right w:val="nil"/>
            </w:tcBorders>
          </w:tcPr>
          <w:p>
            <w:pPr>
              <w:pStyle w:val="TableParagraph"/>
              <w:ind w:right="762"/>
              <w:rPr>
                <w:sz w:val="24"/>
              </w:rPr>
            </w:pPr>
            <w:r>
              <w:rPr>
                <w:sz w:val="24"/>
              </w:rPr>
              <w:t>2,034,803</w:t>
            </w:r>
          </w:p>
        </w:tc>
        <w:tc>
          <w:tcPr>
            <w:tcW w:w="2602" w:type="dxa"/>
            <w:tcBorders>
              <w:top w:val="nil"/>
              <w:left w:val="nil"/>
              <w:bottom w:val="nil"/>
              <w:right w:val="nil"/>
            </w:tcBorders>
          </w:tcPr>
          <w:p>
            <w:pPr>
              <w:pStyle w:val="TableParagraph"/>
              <w:ind w:right="767"/>
              <w:rPr>
                <w:sz w:val="24"/>
              </w:rPr>
            </w:pPr>
            <w:r>
              <w:rPr>
                <w:sz w:val="24"/>
              </w:rPr>
              <w:t>1,972,280</w:t>
            </w:r>
          </w:p>
        </w:tc>
        <w:tc>
          <w:tcPr>
            <w:tcW w:w="1922" w:type="dxa"/>
            <w:tcBorders>
              <w:top w:val="nil"/>
              <w:left w:val="nil"/>
              <w:bottom w:val="nil"/>
              <w:right w:val="nil"/>
            </w:tcBorders>
          </w:tcPr>
          <w:p>
            <w:pPr>
              <w:pStyle w:val="TableParagraph"/>
              <w:ind w:right="67"/>
              <w:rPr>
                <w:sz w:val="24"/>
              </w:rPr>
            </w:pPr>
            <w:r>
              <w:rPr>
                <w:sz w:val="24"/>
              </w:rPr>
              <w:t>-62,524</w:t>
            </w:r>
          </w:p>
        </w:tc>
      </w:tr>
      <w:tr>
        <w:trPr>
          <w:trHeight w:val="413" w:hRule="exact"/>
        </w:trPr>
        <w:tc>
          <w:tcPr>
            <w:tcW w:w="1760" w:type="dxa"/>
            <w:tcBorders>
              <w:top w:val="nil"/>
              <w:left w:val="nil"/>
              <w:bottom w:val="nil"/>
              <w:right w:val="nil"/>
            </w:tcBorders>
          </w:tcPr>
          <w:p>
            <w:pPr>
              <w:pStyle w:val="TableParagraph"/>
              <w:ind w:left="71"/>
              <w:jc w:val="left"/>
              <w:rPr>
                <w:sz w:val="24"/>
              </w:rPr>
            </w:pPr>
            <w:r>
              <w:rPr>
                <w:sz w:val="24"/>
              </w:rPr>
              <w:t>2016</w:t>
            </w:r>
          </w:p>
        </w:tc>
        <w:tc>
          <w:tcPr>
            <w:tcW w:w="2983" w:type="dxa"/>
            <w:tcBorders>
              <w:top w:val="nil"/>
              <w:left w:val="nil"/>
              <w:bottom w:val="nil"/>
              <w:right w:val="nil"/>
            </w:tcBorders>
          </w:tcPr>
          <w:p>
            <w:pPr>
              <w:pStyle w:val="TableParagraph"/>
              <w:ind w:right="762"/>
              <w:rPr>
                <w:sz w:val="24"/>
              </w:rPr>
            </w:pPr>
            <w:r>
              <w:rPr>
                <w:sz w:val="24"/>
              </w:rPr>
              <w:t>2,076,492</w:t>
            </w:r>
          </w:p>
        </w:tc>
        <w:tc>
          <w:tcPr>
            <w:tcW w:w="2602" w:type="dxa"/>
            <w:tcBorders>
              <w:top w:val="nil"/>
              <w:left w:val="nil"/>
              <w:bottom w:val="nil"/>
              <w:right w:val="nil"/>
            </w:tcBorders>
          </w:tcPr>
          <w:p>
            <w:pPr>
              <w:pStyle w:val="TableParagraph"/>
              <w:ind w:right="767"/>
              <w:rPr>
                <w:sz w:val="24"/>
              </w:rPr>
            </w:pPr>
            <w:r>
              <w:rPr>
                <w:sz w:val="24"/>
              </w:rPr>
              <w:t>2,009,353</w:t>
            </w:r>
          </w:p>
        </w:tc>
        <w:tc>
          <w:tcPr>
            <w:tcW w:w="1922" w:type="dxa"/>
            <w:tcBorders>
              <w:top w:val="nil"/>
              <w:left w:val="nil"/>
              <w:bottom w:val="nil"/>
              <w:right w:val="nil"/>
            </w:tcBorders>
          </w:tcPr>
          <w:p>
            <w:pPr>
              <w:pStyle w:val="TableParagraph"/>
              <w:ind w:right="67"/>
              <w:rPr>
                <w:sz w:val="24"/>
              </w:rPr>
            </w:pPr>
            <w:r>
              <w:rPr>
                <w:sz w:val="24"/>
              </w:rPr>
              <w:t>-67,140</w:t>
            </w:r>
          </w:p>
        </w:tc>
      </w:tr>
      <w:tr>
        <w:trPr>
          <w:trHeight w:val="415" w:hRule="exact"/>
        </w:trPr>
        <w:tc>
          <w:tcPr>
            <w:tcW w:w="1760" w:type="dxa"/>
            <w:tcBorders>
              <w:top w:val="nil"/>
              <w:left w:val="nil"/>
              <w:bottom w:val="nil"/>
              <w:right w:val="nil"/>
            </w:tcBorders>
          </w:tcPr>
          <w:p>
            <w:pPr>
              <w:pStyle w:val="TableParagraph"/>
              <w:spacing w:before="56"/>
              <w:ind w:left="71"/>
              <w:jc w:val="left"/>
              <w:rPr>
                <w:sz w:val="24"/>
              </w:rPr>
            </w:pPr>
            <w:r>
              <w:rPr>
                <w:sz w:val="24"/>
              </w:rPr>
              <w:t>2017</w:t>
            </w:r>
          </w:p>
        </w:tc>
        <w:tc>
          <w:tcPr>
            <w:tcW w:w="2983" w:type="dxa"/>
            <w:tcBorders>
              <w:top w:val="nil"/>
              <w:left w:val="nil"/>
              <w:bottom w:val="nil"/>
              <w:right w:val="nil"/>
            </w:tcBorders>
          </w:tcPr>
          <w:p>
            <w:pPr>
              <w:pStyle w:val="TableParagraph"/>
              <w:spacing w:before="56"/>
              <w:ind w:right="762"/>
              <w:rPr>
                <w:sz w:val="24"/>
              </w:rPr>
            </w:pPr>
            <w:r>
              <w:rPr>
                <w:sz w:val="24"/>
              </w:rPr>
              <w:t>2,119,035</w:t>
            </w:r>
          </w:p>
        </w:tc>
        <w:tc>
          <w:tcPr>
            <w:tcW w:w="2602" w:type="dxa"/>
            <w:tcBorders>
              <w:top w:val="nil"/>
              <w:left w:val="nil"/>
              <w:bottom w:val="nil"/>
              <w:right w:val="nil"/>
            </w:tcBorders>
          </w:tcPr>
          <w:p>
            <w:pPr>
              <w:pStyle w:val="TableParagraph"/>
              <w:spacing w:before="56"/>
              <w:ind w:right="767"/>
              <w:rPr>
                <w:sz w:val="24"/>
              </w:rPr>
            </w:pPr>
            <w:r>
              <w:rPr>
                <w:sz w:val="24"/>
              </w:rPr>
              <w:t>2,046,426</w:t>
            </w:r>
          </w:p>
        </w:tc>
        <w:tc>
          <w:tcPr>
            <w:tcW w:w="1922" w:type="dxa"/>
            <w:tcBorders>
              <w:top w:val="nil"/>
              <w:left w:val="nil"/>
              <w:bottom w:val="nil"/>
              <w:right w:val="nil"/>
            </w:tcBorders>
          </w:tcPr>
          <w:p>
            <w:pPr>
              <w:pStyle w:val="TableParagraph"/>
              <w:spacing w:before="56"/>
              <w:ind w:right="67"/>
              <w:rPr>
                <w:sz w:val="24"/>
              </w:rPr>
            </w:pPr>
            <w:r>
              <w:rPr>
                <w:sz w:val="24"/>
              </w:rPr>
              <w:t>-72,609</w:t>
            </w:r>
          </w:p>
        </w:tc>
      </w:tr>
      <w:tr>
        <w:trPr>
          <w:trHeight w:val="415" w:hRule="exact"/>
        </w:trPr>
        <w:tc>
          <w:tcPr>
            <w:tcW w:w="1760" w:type="dxa"/>
            <w:tcBorders>
              <w:top w:val="nil"/>
              <w:left w:val="nil"/>
              <w:bottom w:val="nil"/>
              <w:right w:val="nil"/>
            </w:tcBorders>
          </w:tcPr>
          <w:p>
            <w:pPr>
              <w:pStyle w:val="TableParagraph"/>
              <w:spacing w:before="58"/>
              <w:ind w:left="71"/>
              <w:jc w:val="left"/>
              <w:rPr>
                <w:sz w:val="24"/>
              </w:rPr>
            </w:pPr>
            <w:r>
              <w:rPr>
                <w:sz w:val="24"/>
              </w:rPr>
              <w:t>2018</w:t>
            </w:r>
          </w:p>
        </w:tc>
        <w:tc>
          <w:tcPr>
            <w:tcW w:w="2983" w:type="dxa"/>
            <w:tcBorders>
              <w:top w:val="nil"/>
              <w:left w:val="nil"/>
              <w:bottom w:val="nil"/>
              <w:right w:val="nil"/>
            </w:tcBorders>
          </w:tcPr>
          <w:p>
            <w:pPr>
              <w:pStyle w:val="TableParagraph"/>
              <w:spacing w:before="58"/>
              <w:ind w:right="762"/>
              <w:rPr>
                <w:sz w:val="24"/>
              </w:rPr>
            </w:pPr>
            <w:r>
              <w:rPr>
                <w:sz w:val="24"/>
              </w:rPr>
              <w:t>2,162,450</w:t>
            </w:r>
          </w:p>
        </w:tc>
        <w:tc>
          <w:tcPr>
            <w:tcW w:w="2602" w:type="dxa"/>
            <w:tcBorders>
              <w:top w:val="nil"/>
              <w:left w:val="nil"/>
              <w:bottom w:val="nil"/>
              <w:right w:val="nil"/>
            </w:tcBorders>
          </w:tcPr>
          <w:p>
            <w:pPr>
              <w:pStyle w:val="TableParagraph"/>
              <w:spacing w:before="58"/>
              <w:ind w:right="767"/>
              <w:rPr>
                <w:sz w:val="24"/>
              </w:rPr>
            </w:pPr>
            <w:r>
              <w:rPr>
                <w:sz w:val="24"/>
              </w:rPr>
              <w:t>2,083,499</w:t>
            </w:r>
          </w:p>
        </w:tc>
        <w:tc>
          <w:tcPr>
            <w:tcW w:w="1922" w:type="dxa"/>
            <w:tcBorders>
              <w:top w:val="nil"/>
              <w:left w:val="nil"/>
              <w:bottom w:val="nil"/>
              <w:right w:val="nil"/>
            </w:tcBorders>
          </w:tcPr>
          <w:p>
            <w:pPr>
              <w:pStyle w:val="TableParagraph"/>
              <w:spacing w:before="58"/>
              <w:ind w:right="67"/>
              <w:rPr>
                <w:sz w:val="24"/>
              </w:rPr>
            </w:pPr>
            <w:r>
              <w:rPr>
                <w:sz w:val="24"/>
              </w:rPr>
              <w:t>-78,951</w:t>
            </w:r>
          </w:p>
        </w:tc>
      </w:tr>
      <w:tr>
        <w:trPr>
          <w:trHeight w:val="413" w:hRule="exact"/>
        </w:trPr>
        <w:tc>
          <w:tcPr>
            <w:tcW w:w="1760" w:type="dxa"/>
            <w:tcBorders>
              <w:top w:val="nil"/>
              <w:left w:val="nil"/>
              <w:bottom w:val="nil"/>
              <w:right w:val="nil"/>
            </w:tcBorders>
          </w:tcPr>
          <w:p>
            <w:pPr>
              <w:pStyle w:val="TableParagraph"/>
              <w:ind w:left="71"/>
              <w:jc w:val="left"/>
              <w:rPr>
                <w:sz w:val="24"/>
              </w:rPr>
            </w:pPr>
            <w:r>
              <w:rPr>
                <w:sz w:val="24"/>
              </w:rPr>
              <w:t>2019</w:t>
            </w:r>
          </w:p>
        </w:tc>
        <w:tc>
          <w:tcPr>
            <w:tcW w:w="2983" w:type="dxa"/>
            <w:tcBorders>
              <w:top w:val="nil"/>
              <w:left w:val="nil"/>
              <w:bottom w:val="nil"/>
              <w:right w:val="nil"/>
            </w:tcBorders>
          </w:tcPr>
          <w:p>
            <w:pPr>
              <w:pStyle w:val="TableParagraph"/>
              <w:ind w:right="762"/>
              <w:rPr>
                <w:sz w:val="24"/>
              </w:rPr>
            </w:pPr>
            <w:r>
              <w:rPr>
                <w:sz w:val="24"/>
              </w:rPr>
              <w:t>2,206,754</w:t>
            </w:r>
          </w:p>
        </w:tc>
        <w:tc>
          <w:tcPr>
            <w:tcW w:w="2602" w:type="dxa"/>
            <w:tcBorders>
              <w:top w:val="nil"/>
              <w:left w:val="nil"/>
              <w:bottom w:val="nil"/>
              <w:right w:val="nil"/>
            </w:tcBorders>
          </w:tcPr>
          <w:p>
            <w:pPr>
              <w:pStyle w:val="TableParagraph"/>
              <w:ind w:right="767"/>
              <w:rPr>
                <w:sz w:val="24"/>
              </w:rPr>
            </w:pPr>
            <w:r>
              <w:rPr>
                <w:sz w:val="24"/>
              </w:rPr>
              <w:t>2,120,572</w:t>
            </w:r>
          </w:p>
        </w:tc>
        <w:tc>
          <w:tcPr>
            <w:tcW w:w="1922" w:type="dxa"/>
            <w:tcBorders>
              <w:top w:val="nil"/>
              <w:left w:val="nil"/>
              <w:bottom w:val="nil"/>
              <w:right w:val="nil"/>
            </w:tcBorders>
          </w:tcPr>
          <w:p>
            <w:pPr>
              <w:pStyle w:val="TableParagraph"/>
              <w:ind w:right="67"/>
              <w:rPr>
                <w:sz w:val="24"/>
              </w:rPr>
            </w:pPr>
            <w:r>
              <w:rPr>
                <w:sz w:val="24"/>
              </w:rPr>
              <w:t>-86,181</w:t>
            </w:r>
          </w:p>
        </w:tc>
      </w:tr>
      <w:tr>
        <w:trPr>
          <w:trHeight w:val="413" w:hRule="exact"/>
        </w:trPr>
        <w:tc>
          <w:tcPr>
            <w:tcW w:w="1760" w:type="dxa"/>
            <w:tcBorders>
              <w:top w:val="nil"/>
              <w:left w:val="nil"/>
              <w:bottom w:val="nil"/>
              <w:right w:val="nil"/>
            </w:tcBorders>
          </w:tcPr>
          <w:p>
            <w:pPr>
              <w:pStyle w:val="TableParagraph"/>
              <w:ind w:left="71"/>
              <w:jc w:val="left"/>
              <w:rPr>
                <w:sz w:val="24"/>
              </w:rPr>
            </w:pPr>
            <w:r>
              <w:rPr>
                <w:sz w:val="24"/>
              </w:rPr>
              <w:t>2020</w:t>
            </w:r>
          </w:p>
        </w:tc>
        <w:tc>
          <w:tcPr>
            <w:tcW w:w="2983" w:type="dxa"/>
            <w:tcBorders>
              <w:top w:val="nil"/>
              <w:left w:val="nil"/>
              <w:bottom w:val="nil"/>
              <w:right w:val="nil"/>
            </w:tcBorders>
          </w:tcPr>
          <w:p>
            <w:pPr>
              <w:pStyle w:val="TableParagraph"/>
              <w:ind w:right="762"/>
              <w:rPr>
                <w:sz w:val="24"/>
              </w:rPr>
            </w:pPr>
            <w:r>
              <w:rPr>
                <w:sz w:val="24"/>
              </w:rPr>
              <w:t>2,251,966</w:t>
            </w:r>
          </w:p>
        </w:tc>
        <w:tc>
          <w:tcPr>
            <w:tcW w:w="2602" w:type="dxa"/>
            <w:tcBorders>
              <w:top w:val="nil"/>
              <w:left w:val="nil"/>
              <w:bottom w:val="nil"/>
              <w:right w:val="nil"/>
            </w:tcBorders>
          </w:tcPr>
          <w:p>
            <w:pPr>
              <w:pStyle w:val="TableParagraph"/>
              <w:ind w:right="767"/>
              <w:rPr>
                <w:sz w:val="24"/>
              </w:rPr>
            </w:pPr>
            <w:r>
              <w:rPr>
                <w:sz w:val="24"/>
              </w:rPr>
              <w:t>2,157,646</w:t>
            </w:r>
          </w:p>
        </w:tc>
        <w:tc>
          <w:tcPr>
            <w:tcW w:w="1922" w:type="dxa"/>
            <w:tcBorders>
              <w:top w:val="nil"/>
              <w:left w:val="nil"/>
              <w:bottom w:val="nil"/>
              <w:right w:val="nil"/>
            </w:tcBorders>
          </w:tcPr>
          <w:p>
            <w:pPr>
              <w:pStyle w:val="TableParagraph"/>
              <w:ind w:right="67"/>
              <w:rPr>
                <w:sz w:val="24"/>
              </w:rPr>
            </w:pPr>
            <w:r>
              <w:rPr>
                <w:sz w:val="24"/>
              </w:rPr>
              <w:t>-94,320</w:t>
            </w:r>
          </w:p>
        </w:tc>
      </w:tr>
      <w:tr>
        <w:trPr>
          <w:trHeight w:val="413" w:hRule="exact"/>
        </w:trPr>
        <w:tc>
          <w:tcPr>
            <w:tcW w:w="1760" w:type="dxa"/>
            <w:tcBorders>
              <w:top w:val="nil"/>
              <w:left w:val="nil"/>
              <w:bottom w:val="nil"/>
              <w:right w:val="nil"/>
            </w:tcBorders>
          </w:tcPr>
          <w:p>
            <w:pPr>
              <w:pStyle w:val="TableParagraph"/>
              <w:spacing w:before="56"/>
              <w:ind w:left="71"/>
              <w:jc w:val="left"/>
              <w:rPr>
                <w:sz w:val="24"/>
              </w:rPr>
            </w:pPr>
            <w:r>
              <w:rPr>
                <w:sz w:val="24"/>
              </w:rPr>
              <w:t>2021</w:t>
            </w:r>
          </w:p>
        </w:tc>
        <w:tc>
          <w:tcPr>
            <w:tcW w:w="2983" w:type="dxa"/>
            <w:tcBorders>
              <w:top w:val="nil"/>
              <w:left w:val="nil"/>
              <w:bottom w:val="nil"/>
              <w:right w:val="nil"/>
            </w:tcBorders>
          </w:tcPr>
          <w:p>
            <w:pPr>
              <w:pStyle w:val="TableParagraph"/>
              <w:spacing w:before="56"/>
              <w:ind w:right="762"/>
              <w:rPr>
                <w:sz w:val="24"/>
              </w:rPr>
            </w:pPr>
            <w:r>
              <w:rPr>
                <w:sz w:val="24"/>
              </w:rPr>
              <w:t>2,298,104</w:t>
            </w:r>
          </w:p>
        </w:tc>
        <w:tc>
          <w:tcPr>
            <w:tcW w:w="2602" w:type="dxa"/>
            <w:tcBorders>
              <w:top w:val="nil"/>
              <w:left w:val="nil"/>
              <w:bottom w:val="nil"/>
              <w:right w:val="nil"/>
            </w:tcBorders>
          </w:tcPr>
          <w:p>
            <w:pPr>
              <w:pStyle w:val="TableParagraph"/>
              <w:spacing w:before="56"/>
              <w:ind w:right="767"/>
              <w:rPr>
                <w:sz w:val="24"/>
              </w:rPr>
            </w:pPr>
            <w:r>
              <w:rPr>
                <w:sz w:val="24"/>
              </w:rPr>
              <w:t>2,194,719</w:t>
            </w:r>
          </w:p>
        </w:tc>
        <w:tc>
          <w:tcPr>
            <w:tcW w:w="1922" w:type="dxa"/>
            <w:tcBorders>
              <w:top w:val="nil"/>
              <w:left w:val="nil"/>
              <w:bottom w:val="nil"/>
              <w:right w:val="nil"/>
            </w:tcBorders>
          </w:tcPr>
          <w:p>
            <w:pPr>
              <w:pStyle w:val="TableParagraph"/>
              <w:spacing w:before="56"/>
              <w:ind w:right="67"/>
              <w:rPr>
                <w:sz w:val="24"/>
              </w:rPr>
            </w:pPr>
            <w:r>
              <w:rPr>
                <w:sz w:val="24"/>
              </w:rPr>
              <w:t>-103,385</w:t>
            </w:r>
          </w:p>
        </w:tc>
      </w:tr>
      <w:tr>
        <w:trPr>
          <w:trHeight w:val="482" w:hRule="exact"/>
        </w:trPr>
        <w:tc>
          <w:tcPr>
            <w:tcW w:w="1760" w:type="dxa"/>
            <w:tcBorders>
              <w:top w:val="nil"/>
              <w:left w:val="nil"/>
              <w:right w:val="nil"/>
            </w:tcBorders>
          </w:tcPr>
          <w:p>
            <w:pPr>
              <w:pStyle w:val="TableParagraph"/>
              <w:ind w:left="71"/>
              <w:jc w:val="left"/>
              <w:rPr>
                <w:sz w:val="24"/>
              </w:rPr>
            </w:pPr>
            <w:r>
              <w:rPr>
                <w:sz w:val="24"/>
              </w:rPr>
              <w:t>2022</w:t>
            </w:r>
          </w:p>
        </w:tc>
        <w:tc>
          <w:tcPr>
            <w:tcW w:w="2983" w:type="dxa"/>
            <w:tcBorders>
              <w:top w:val="nil"/>
              <w:left w:val="nil"/>
              <w:right w:val="nil"/>
            </w:tcBorders>
          </w:tcPr>
          <w:p>
            <w:pPr>
              <w:pStyle w:val="TableParagraph"/>
              <w:ind w:right="762"/>
              <w:rPr>
                <w:sz w:val="24"/>
              </w:rPr>
            </w:pPr>
            <w:r>
              <w:rPr>
                <w:sz w:val="24"/>
              </w:rPr>
              <w:t>2,345,187</w:t>
            </w:r>
          </w:p>
        </w:tc>
        <w:tc>
          <w:tcPr>
            <w:tcW w:w="2602" w:type="dxa"/>
            <w:tcBorders>
              <w:top w:val="nil"/>
              <w:left w:val="nil"/>
              <w:right w:val="nil"/>
            </w:tcBorders>
          </w:tcPr>
          <w:p>
            <w:pPr>
              <w:pStyle w:val="TableParagraph"/>
              <w:ind w:right="767"/>
              <w:rPr>
                <w:sz w:val="24"/>
              </w:rPr>
            </w:pPr>
            <w:r>
              <w:rPr>
                <w:sz w:val="24"/>
              </w:rPr>
              <w:t>2,231,792</w:t>
            </w:r>
          </w:p>
        </w:tc>
        <w:tc>
          <w:tcPr>
            <w:tcW w:w="1922" w:type="dxa"/>
            <w:tcBorders>
              <w:top w:val="nil"/>
              <w:left w:val="nil"/>
              <w:right w:val="nil"/>
            </w:tcBorders>
          </w:tcPr>
          <w:p>
            <w:pPr>
              <w:pStyle w:val="TableParagraph"/>
              <w:ind w:right="67"/>
              <w:rPr>
                <w:sz w:val="24"/>
              </w:rPr>
            </w:pPr>
            <w:r>
              <w:rPr>
                <w:sz w:val="24"/>
              </w:rPr>
              <w:t>-113,395</w:t>
            </w:r>
          </w:p>
        </w:tc>
      </w:tr>
    </w:tbl>
    <w:p>
      <w:pPr>
        <w:spacing w:line="225" w:lineRule="exact" w:before="0"/>
        <w:ind w:left="179" w:right="0" w:firstLine="0"/>
        <w:jc w:val="both"/>
        <w:rPr>
          <w:sz w:val="20"/>
        </w:rPr>
      </w:pPr>
      <w:r>
        <w:rPr>
          <w:sz w:val="20"/>
        </w:rPr>
        <w:t>Elaboración propia, con datos del SIAP, 2014.</w:t>
      </w:r>
    </w:p>
    <w:p>
      <w:pPr>
        <w:pStyle w:val="BodyText"/>
        <w:rPr>
          <w:sz w:val="20"/>
        </w:rPr>
      </w:pPr>
    </w:p>
    <w:p>
      <w:pPr>
        <w:pStyle w:val="BodyText"/>
        <w:rPr>
          <w:sz w:val="26"/>
        </w:rPr>
      </w:pPr>
    </w:p>
    <w:p>
      <w:pPr>
        <w:pStyle w:val="BodyText"/>
        <w:spacing w:line="360" w:lineRule="auto"/>
        <w:ind w:left="179" w:right="176"/>
        <w:jc w:val="both"/>
      </w:pPr>
      <w:r>
        <w:rPr/>
        <w:t>Por otro lado, se consideró también el número de carnicerías de los municipios de la región de estudio: Tejupilco, Luvianos, Amatepec y Tlatlaya, la estadística de estos expendios provino de la Oficina de Salud, de cada uno de ellos, que es la que extiende la Licencia Sanitaria, aunado a la información de sacrificios de bovinos carne del Rastro municipal de Tejupilco. En los seis municipios que abarca el DDR 076 de la SAGARPA, con sede en Tejupilco, se tienen registradas 191 carnicerías, donde, al menos se venden al consumidor final un bovino y dos cerdos despiezados por día. En Tejupilco operan, aproximadamente 101 expendios, en Temascaltepec 13, San Simón de Guerrero 8, Luvianos 28, Amatepec 33 y Tlatlaya</w:t>
      </w:r>
      <w:r>
        <w:rPr>
          <w:spacing w:val="-30"/>
        </w:rPr>
        <w:t> </w:t>
      </w:r>
      <w:r>
        <w:rPr/>
        <w:t>18.</w:t>
      </w:r>
    </w:p>
    <w:p>
      <w:pPr>
        <w:pStyle w:val="BodyText"/>
      </w:pPr>
    </w:p>
    <w:p>
      <w:pPr>
        <w:pStyle w:val="BodyText"/>
        <w:spacing w:line="362" w:lineRule="auto" w:before="139"/>
        <w:ind w:left="179" w:right="171"/>
        <w:jc w:val="both"/>
      </w:pPr>
      <w:r>
        <w:rPr/>
        <w:t>Tan sólo Tejupilco, tiene una demanda diaria de 100 canales frías de bovino y aproximadamente 200 canales frías de cerdo, que se obtienen en el rastro municipal.</w:t>
      </w:r>
    </w:p>
    <w:p>
      <w:pPr>
        <w:pStyle w:val="BodyText"/>
        <w:spacing w:before="10"/>
        <w:rPr>
          <w:sz w:val="35"/>
        </w:rPr>
      </w:pPr>
    </w:p>
    <w:p>
      <w:pPr>
        <w:pStyle w:val="BodyText"/>
        <w:spacing w:line="360" w:lineRule="auto" w:before="1"/>
        <w:ind w:left="179" w:right="171"/>
        <w:jc w:val="both"/>
      </w:pPr>
      <w:r>
        <w:rPr/>
        <w:t>No hay evidencia de que los gustos y preferencias del consumidor habitual de este producto cárnico (carne de bovino haya evolucionado hacia la sustitución de bienes relacionados. Es lógico pensar y afirmar que cualquier unidad familiar con ingresos</w:t>
      </w:r>
    </w:p>
    <w:p>
      <w:pPr>
        <w:spacing w:after="0" w:line="360" w:lineRule="auto"/>
        <w:jc w:val="both"/>
        <w:sectPr>
          <w:footerReference w:type="default" r:id="rId13"/>
          <w:pgSz w:w="12240" w:h="15840"/>
          <w:pgMar w:footer="1173" w:header="0" w:top="1360" w:bottom="1360" w:left="1520" w:right="1240"/>
          <w:pgNumType w:start="41"/>
        </w:sectPr>
      </w:pPr>
    </w:p>
    <w:p>
      <w:pPr>
        <w:pStyle w:val="BodyText"/>
        <w:spacing w:line="360" w:lineRule="auto" w:before="52"/>
        <w:ind w:left="119" w:right="127"/>
        <w:jc w:val="both"/>
      </w:pPr>
      <w:r>
        <w:rPr/>
        <w:t>superiores un salario mínimo por día, tiene la capacidad de adquirir cualesquiera de estos productos, al menos una vez a la semana, aunado a que estos forman parte de la ingesta diaria de familias mexicanas. En otras palabras, justificación respecto al consumo de este producto basta y sobra.</w:t>
      </w:r>
    </w:p>
    <w:p>
      <w:pPr>
        <w:pStyle w:val="BodyText"/>
      </w:pPr>
    </w:p>
    <w:p>
      <w:pPr>
        <w:pStyle w:val="BodyText"/>
        <w:spacing w:line="360" w:lineRule="auto" w:before="144"/>
        <w:ind w:left="119" w:right="111"/>
        <w:jc w:val="both"/>
      </w:pPr>
      <w:r>
        <w:rPr/>
        <w:t>Por otro lado, el comportamiento de los bienes sustitutos, como carne de pollo despiezada, carne de cerdo; obedece a la forma particular de consumo por parte de las personas. El consumo de estos productos no ha presentado condiciones necesarias ni suficientes como para ser un desplazador del producto de este proyecto, por lo cual, se afirma, que el consumo de carne de res, continuará su tendencia actual y se espera se incremente, una vez que el consumidor sabe que tal producto provendrá de este tipo de sistema de producción.</w:t>
      </w:r>
    </w:p>
    <w:p>
      <w:pPr>
        <w:pStyle w:val="BodyText"/>
      </w:pPr>
    </w:p>
    <w:p>
      <w:pPr>
        <w:pStyle w:val="Heading2"/>
        <w:spacing w:before="1"/>
      </w:pPr>
      <w:bookmarkStart w:name="_bookmark22" w:id="33"/>
      <w:bookmarkEnd w:id="33"/>
      <w:r>
        <w:rPr>
          <w:b w:val="0"/>
        </w:rPr>
      </w:r>
      <w:r>
        <w:rPr/>
        <w:t>Análisis de la oferta</w:t>
      </w:r>
    </w:p>
    <w:p>
      <w:pPr>
        <w:pStyle w:val="BodyText"/>
        <w:rPr>
          <w:b/>
          <w:sz w:val="26"/>
        </w:rPr>
      </w:pPr>
    </w:p>
    <w:p>
      <w:pPr>
        <w:pStyle w:val="BodyText"/>
        <w:spacing w:before="3"/>
        <w:rPr>
          <w:b/>
          <w:sz w:val="22"/>
        </w:rPr>
      </w:pPr>
    </w:p>
    <w:p>
      <w:pPr>
        <w:pStyle w:val="BodyText"/>
        <w:spacing w:line="360" w:lineRule="auto"/>
        <w:ind w:left="119" w:right="111"/>
        <w:jc w:val="both"/>
      </w:pPr>
      <w:r>
        <w:rPr/>
        <w:t>En México, la producción de carne bovina o de vacuno, ha presentado un comportamiento creciente. Durante 2006-2012, que es la información oficial disponible, la tasa media de crecimiento anual (TMCA) de tal variable, fue 2.04 %, en tanto el precio que recibió el productor en piso de venta, creció 3.1 %, al pasar de</w:t>
      </w:r>
    </w:p>
    <w:p>
      <w:pPr>
        <w:pStyle w:val="BodyText"/>
        <w:spacing w:line="360" w:lineRule="auto" w:before="3"/>
        <w:ind w:left="119" w:right="110"/>
        <w:jc w:val="both"/>
      </w:pPr>
      <w:r>
        <w:rPr/>
        <w:t>30.5 $/kg en 2006 a 36.7 en 2012, crecimiento ligeramente superior al de la producción nacional, pero no indizado a la inflación, pues este macro precio, en términos de tasa de crecimiento, presentó comportamiento negativo (deflación) durante el mismo periodo, en -2.1 % al pasar de 4.05 % en 2006 a 3.57 % en 2012 como inflación anual. Sin embargo, el índice nacional de precios al productor (INPP), índice de la actividad agropecuaria anualizado (INPP), fue 7.3 % y significa que los productores no recibieron un pago de su producto que les hubiese compensado este incremento de precios (INEGI, 2014).</w:t>
      </w:r>
    </w:p>
    <w:p>
      <w:pPr>
        <w:pStyle w:val="BodyText"/>
      </w:pPr>
    </w:p>
    <w:p>
      <w:pPr>
        <w:pStyle w:val="BodyText"/>
        <w:spacing w:line="360" w:lineRule="auto" w:before="140"/>
        <w:ind w:left="119" w:right="114"/>
        <w:jc w:val="both"/>
      </w:pPr>
      <w:r>
        <w:rPr/>
        <w:t>En 2012, cinco entidades federativas aportaron 42.3 % del total nacional en producción de carne: Veracruz (14.2 %), Jalisco (11 %), Chiapas (6.3 %), Sinaloa  (5.7</w:t>
      </w:r>
      <w:r>
        <w:rPr>
          <w:spacing w:val="33"/>
        </w:rPr>
        <w:t> </w:t>
      </w:r>
      <w:r>
        <w:rPr/>
        <w:t>%)</w:t>
      </w:r>
      <w:r>
        <w:rPr>
          <w:spacing w:val="28"/>
        </w:rPr>
        <w:t> </w:t>
      </w:r>
      <w:r>
        <w:rPr/>
        <w:t>y</w:t>
      </w:r>
      <w:r>
        <w:rPr>
          <w:spacing w:val="32"/>
        </w:rPr>
        <w:t> </w:t>
      </w:r>
      <w:r>
        <w:rPr/>
        <w:t>Chihuahua</w:t>
      </w:r>
      <w:r>
        <w:rPr>
          <w:spacing w:val="28"/>
        </w:rPr>
        <w:t> </w:t>
      </w:r>
      <w:r>
        <w:rPr/>
        <w:t>(5.1</w:t>
      </w:r>
      <w:r>
        <w:rPr>
          <w:spacing w:val="32"/>
        </w:rPr>
        <w:t> </w:t>
      </w:r>
      <w:r>
        <w:rPr/>
        <w:t>%).</w:t>
      </w:r>
      <w:r>
        <w:rPr>
          <w:spacing w:val="27"/>
        </w:rPr>
        <w:t> </w:t>
      </w:r>
      <w:r>
        <w:rPr/>
        <w:t>El</w:t>
      </w:r>
      <w:r>
        <w:rPr>
          <w:spacing w:val="31"/>
        </w:rPr>
        <w:t> </w:t>
      </w:r>
      <w:r>
        <w:rPr/>
        <w:t>Estado</w:t>
      </w:r>
      <w:r>
        <w:rPr>
          <w:spacing w:val="27"/>
        </w:rPr>
        <w:t> </w:t>
      </w:r>
      <w:r>
        <w:rPr/>
        <w:t>de</w:t>
      </w:r>
      <w:r>
        <w:rPr>
          <w:spacing w:val="27"/>
        </w:rPr>
        <w:t> </w:t>
      </w:r>
      <w:r>
        <w:rPr/>
        <w:t>México,</w:t>
      </w:r>
      <w:r>
        <w:rPr>
          <w:spacing w:val="32"/>
        </w:rPr>
        <w:t> </w:t>
      </w:r>
      <w:r>
        <w:rPr/>
        <w:t>aportó</w:t>
      </w:r>
      <w:r>
        <w:rPr>
          <w:spacing w:val="28"/>
        </w:rPr>
        <w:t> </w:t>
      </w:r>
      <w:r>
        <w:rPr/>
        <w:t>2.4</w:t>
      </w:r>
      <w:r>
        <w:rPr>
          <w:spacing w:val="28"/>
        </w:rPr>
        <w:t> </w:t>
      </w:r>
      <w:r>
        <w:rPr/>
        <w:t>%</w:t>
      </w:r>
      <w:r>
        <w:rPr>
          <w:spacing w:val="29"/>
        </w:rPr>
        <w:t> </w:t>
      </w:r>
      <w:r>
        <w:rPr/>
        <w:t>y</w:t>
      </w:r>
      <w:r>
        <w:rPr>
          <w:spacing w:val="32"/>
        </w:rPr>
        <w:t> </w:t>
      </w:r>
      <w:r>
        <w:rPr>
          <w:spacing w:val="-3"/>
        </w:rPr>
        <w:t>se</w:t>
      </w:r>
      <w:r>
        <w:rPr>
          <w:spacing w:val="45"/>
        </w:rPr>
        <w:t> </w:t>
      </w:r>
      <w:r>
        <w:rPr/>
        <w:t>ubicó</w:t>
      </w:r>
      <w:r>
        <w:rPr>
          <w:spacing w:val="29"/>
        </w:rPr>
        <w:t> </w:t>
      </w:r>
      <w:r>
        <w:rPr/>
        <w:t>en</w:t>
      </w:r>
      <w:r>
        <w:rPr>
          <w:spacing w:val="28"/>
        </w:rPr>
        <w:t> </w:t>
      </w:r>
      <w:r>
        <w:rPr/>
        <w:t>el</w:t>
      </w:r>
    </w:p>
    <w:p>
      <w:pPr>
        <w:pStyle w:val="BodyText"/>
        <w:spacing w:before="3"/>
        <w:ind w:left="119"/>
        <w:jc w:val="both"/>
      </w:pPr>
      <w:r>
        <w:rPr/>
        <w:t>lugar 17. La producción de carne del Estado de México, se realiza en todos sus</w:t>
      </w:r>
    </w:p>
    <w:p>
      <w:pPr>
        <w:spacing w:after="0"/>
        <w:jc w:val="both"/>
        <w:sectPr>
          <w:pgSz w:w="12240" w:h="15840"/>
          <w:pgMar w:header="0" w:footer="1173" w:top="1360" w:bottom="1360" w:left="1580" w:right="1300"/>
        </w:sectPr>
      </w:pPr>
    </w:p>
    <w:p>
      <w:pPr>
        <w:pStyle w:val="BodyText"/>
        <w:spacing w:line="360" w:lineRule="auto" w:before="52"/>
        <w:ind w:left="179" w:right="185"/>
        <w:jc w:val="both"/>
      </w:pPr>
      <w:r>
        <w:rPr/>
        <w:t>distritos (DDR); en 2012 </w:t>
      </w:r>
      <w:r>
        <w:rPr>
          <w:spacing w:val="-3"/>
        </w:rPr>
        <w:t>se </w:t>
      </w:r>
      <w:r>
        <w:rPr/>
        <w:t>produjeron 44,005 toneladas (t) en todo el estado y el DRR 076 con sede en Tejupilco, ocupó la segunda posición, después de Atlacomulco, con un volumen de 8,023 t (18.2</w:t>
      </w:r>
      <w:r>
        <w:rPr>
          <w:spacing w:val="-24"/>
        </w:rPr>
        <w:t> </w:t>
      </w:r>
      <w:r>
        <w:rPr/>
        <w:t>%).</w:t>
      </w:r>
    </w:p>
    <w:p>
      <w:pPr>
        <w:pStyle w:val="BodyText"/>
      </w:pPr>
    </w:p>
    <w:p>
      <w:pPr>
        <w:pStyle w:val="BodyText"/>
        <w:spacing w:line="360" w:lineRule="auto" w:before="140"/>
        <w:ind w:left="179" w:right="180"/>
        <w:jc w:val="both"/>
      </w:pPr>
      <w:r>
        <w:rPr/>
        <w:t>En el DDR de Tejupilco, integrado por seis municipios (Amatepec, San Simón de Guerrero, Tejupilco, Temascaltepec, Luvianos y Tlatlaya), la mayor proporción de carne en canal de bovinos se localiza en Tejupilco (29 %), seguido de Tlatlaya (18</w:t>
      </w:r>
    </w:p>
    <w:p>
      <w:pPr>
        <w:pStyle w:val="BodyText"/>
        <w:spacing w:before="3"/>
        <w:ind w:left="179"/>
        <w:jc w:val="both"/>
      </w:pPr>
      <w:r>
        <w:rPr/>
        <w:t>%), Amatepec (17 %) y Luvianos (16 %) (SIAP, 2014).</w:t>
      </w:r>
    </w:p>
    <w:p>
      <w:pPr>
        <w:pStyle w:val="BodyText"/>
      </w:pPr>
    </w:p>
    <w:p>
      <w:pPr>
        <w:pStyle w:val="BodyText"/>
        <w:spacing w:before="2"/>
      </w:pPr>
    </w:p>
    <w:p>
      <w:pPr>
        <w:pStyle w:val="BodyText"/>
        <w:spacing w:line="360" w:lineRule="auto"/>
        <w:ind w:left="179" w:right="170"/>
        <w:jc w:val="both"/>
      </w:pPr>
      <w:r>
        <w:rPr/>
        <w:t>Considerando la estadística oficial nacional, sobre comportamiento de la producción (oferta) (Baca, 2013) de bovinos carne (Cuadro 4), se observa que ha habido un crecimiento creciente a lo largo del tiempo, situación que permite aplicar el análisis estadístico, a través del método estadístico de la regresión lineal simple (RLS), mediante modelos univariables, con el fin de realizar proyecciones hacia el futuro sobre el probable comportamiento de la variable que se desea proyectar y con ello, garantizar el abastecimiento que requerirá el proyecto (Hernández y Hernández, 2005; Rebollar y Jaramillo, 2012; Baca, 2013).</w:t>
      </w:r>
    </w:p>
    <w:p>
      <w:pPr>
        <w:pStyle w:val="BodyText"/>
      </w:pPr>
    </w:p>
    <w:p>
      <w:pPr>
        <w:pStyle w:val="BodyText"/>
        <w:spacing w:line="360" w:lineRule="auto" w:before="144" w:after="7"/>
        <w:ind w:left="890" w:right="185" w:hanging="711"/>
      </w:pPr>
      <w:r>
        <w:rPr/>
        <w:t>Cuadro 4. Producción y precio de carne en canal de bovino en México, cifras en toneladas.</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2"/>
        <w:gridCol w:w="4364"/>
        <w:gridCol w:w="2282"/>
      </w:tblGrid>
      <w:tr>
        <w:trPr>
          <w:trHeight w:val="427" w:hRule="exact"/>
        </w:trPr>
        <w:tc>
          <w:tcPr>
            <w:tcW w:w="2622" w:type="dxa"/>
            <w:tcBorders>
              <w:left w:val="nil"/>
              <w:right w:val="nil"/>
            </w:tcBorders>
          </w:tcPr>
          <w:p>
            <w:pPr>
              <w:pStyle w:val="TableParagraph"/>
              <w:spacing w:line="272" w:lineRule="exact" w:before="0"/>
              <w:ind w:left="71"/>
              <w:jc w:val="left"/>
              <w:rPr>
                <w:sz w:val="24"/>
              </w:rPr>
            </w:pPr>
            <w:r>
              <w:rPr>
                <w:sz w:val="24"/>
              </w:rPr>
              <w:t>Año</w:t>
            </w:r>
          </w:p>
        </w:tc>
        <w:tc>
          <w:tcPr>
            <w:tcW w:w="4364" w:type="dxa"/>
            <w:tcBorders>
              <w:left w:val="nil"/>
              <w:right w:val="nil"/>
            </w:tcBorders>
          </w:tcPr>
          <w:p>
            <w:pPr>
              <w:pStyle w:val="TableParagraph"/>
              <w:spacing w:line="272" w:lineRule="exact" w:before="0"/>
              <w:ind w:right="854"/>
              <w:rPr>
                <w:sz w:val="24"/>
              </w:rPr>
            </w:pPr>
            <w:r>
              <w:rPr>
                <w:sz w:val="24"/>
              </w:rPr>
              <w:t>Producción (t)</w:t>
            </w:r>
          </w:p>
        </w:tc>
        <w:tc>
          <w:tcPr>
            <w:tcW w:w="2282" w:type="dxa"/>
            <w:tcBorders>
              <w:left w:val="nil"/>
              <w:right w:val="nil"/>
            </w:tcBorders>
          </w:tcPr>
          <w:p>
            <w:pPr>
              <w:pStyle w:val="TableParagraph"/>
              <w:spacing w:line="272" w:lineRule="exact" w:before="0"/>
              <w:ind w:right="63"/>
              <w:rPr>
                <w:sz w:val="24"/>
              </w:rPr>
            </w:pPr>
            <w:r>
              <w:rPr>
                <w:sz w:val="24"/>
              </w:rPr>
              <w:t>Precio ($/kg)</w:t>
            </w:r>
          </w:p>
        </w:tc>
      </w:tr>
      <w:tr>
        <w:trPr>
          <w:trHeight w:val="358" w:hRule="exact"/>
        </w:trPr>
        <w:tc>
          <w:tcPr>
            <w:tcW w:w="2622" w:type="dxa"/>
            <w:tcBorders>
              <w:left w:val="nil"/>
              <w:bottom w:val="nil"/>
              <w:right w:val="nil"/>
            </w:tcBorders>
          </w:tcPr>
          <w:p>
            <w:pPr>
              <w:pStyle w:val="TableParagraph"/>
              <w:spacing w:line="272" w:lineRule="exact" w:before="0"/>
              <w:ind w:left="71"/>
              <w:jc w:val="left"/>
              <w:rPr>
                <w:sz w:val="24"/>
              </w:rPr>
            </w:pPr>
            <w:r>
              <w:rPr>
                <w:sz w:val="24"/>
              </w:rPr>
              <w:t>2006</w:t>
            </w:r>
          </w:p>
        </w:tc>
        <w:tc>
          <w:tcPr>
            <w:tcW w:w="4364" w:type="dxa"/>
            <w:tcBorders>
              <w:left w:val="nil"/>
              <w:bottom w:val="nil"/>
              <w:right w:val="nil"/>
            </w:tcBorders>
          </w:tcPr>
          <w:p>
            <w:pPr>
              <w:pStyle w:val="TableParagraph"/>
              <w:spacing w:line="272" w:lineRule="exact" w:before="0"/>
              <w:ind w:right="853"/>
              <w:rPr>
                <w:sz w:val="24"/>
              </w:rPr>
            </w:pPr>
            <w:r>
              <w:rPr>
                <w:sz w:val="24"/>
              </w:rPr>
              <w:t>1,612,992</w:t>
            </w:r>
          </w:p>
        </w:tc>
        <w:tc>
          <w:tcPr>
            <w:tcW w:w="2282" w:type="dxa"/>
            <w:tcBorders>
              <w:left w:val="nil"/>
              <w:bottom w:val="nil"/>
              <w:right w:val="nil"/>
            </w:tcBorders>
          </w:tcPr>
          <w:p>
            <w:pPr>
              <w:pStyle w:val="TableParagraph"/>
              <w:spacing w:line="272" w:lineRule="exact" w:before="0"/>
              <w:ind w:right="62"/>
              <w:rPr>
                <w:sz w:val="24"/>
              </w:rPr>
            </w:pPr>
            <w:r>
              <w:rPr>
                <w:sz w:val="24"/>
              </w:rPr>
              <w:t>30.5</w:t>
            </w:r>
          </w:p>
        </w:tc>
      </w:tr>
      <w:tr>
        <w:trPr>
          <w:trHeight w:val="413" w:hRule="exact"/>
        </w:trPr>
        <w:tc>
          <w:tcPr>
            <w:tcW w:w="2622" w:type="dxa"/>
            <w:tcBorders>
              <w:top w:val="nil"/>
              <w:left w:val="nil"/>
              <w:bottom w:val="nil"/>
              <w:right w:val="nil"/>
            </w:tcBorders>
          </w:tcPr>
          <w:p>
            <w:pPr>
              <w:pStyle w:val="TableParagraph"/>
              <w:ind w:left="71"/>
              <w:jc w:val="left"/>
              <w:rPr>
                <w:sz w:val="24"/>
              </w:rPr>
            </w:pPr>
            <w:r>
              <w:rPr>
                <w:sz w:val="24"/>
              </w:rPr>
              <w:t>2007</w:t>
            </w:r>
          </w:p>
        </w:tc>
        <w:tc>
          <w:tcPr>
            <w:tcW w:w="4364" w:type="dxa"/>
            <w:tcBorders>
              <w:top w:val="nil"/>
              <w:left w:val="nil"/>
              <w:bottom w:val="nil"/>
              <w:right w:val="nil"/>
            </w:tcBorders>
          </w:tcPr>
          <w:p>
            <w:pPr>
              <w:pStyle w:val="TableParagraph"/>
              <w:ind w:right="853"/>
              <w:rPr>
                <w:sz w:val="24"/>
              </w:rPr>
            </w:pPr>
            <w:r>
              <w:rPr>
                <w:sz w:val="24"/>
              </w:rPr>
              <w:t>1,635,040</w:t>
            </w:r>
          </w:p>
        </w:tc>
        <w:tc>
          <w:tcPr>
            <w:tcW w:w="2282" w:type="dxa"/>
            <w:tcBorders>
              <w:top w:val="nil"/>
              <w:left w:val="nil"/>
              <w:bottom w:val="nil"/>
              <w:right w:val="nil"/>
            </w:tcBorders>
          </w:tcPr>
          <w:p>
            <w:pPr>
              <w:pStyle w:val="TableParagraph"/>
              <w:ind w:right="62"/>
              <w:rPr>
                <w:sz w:val="24"/>
              </w:rPr>
            </w:pPr>
            <w:r>
              <w:rPr>
                <w:sz w:val="24"/>
              </w:rPr>
              <w:t>30.9</w:t>
            </w:r>
          </w:p>
        </w:tc>
      </w:tr>
      <w:tr>
        <w:trPr>
          <w:trHeight w:val="413" w:hRule="exact"/>
        </w:trPr>
        <w:tc>
          <w:tcPr>
            <w:tcW w:w="2622" w:type="dxa"/>
            <w:tcBorders>
              <w:top w:val="nil"/>
              <w:left w:val="nil"/>
              <w:bottom w:val="nil"/>
              <w:right w:val="nil"/>
            </w:tcBorders>
          </w:tcPr>
          <w:p>
            <w:pPr>
              <w:pStyle w:val="TableParagraph"/>
              <w:spacing w:before="56"/>
              <w:ind w:left="71"/>
              <w:jc w:val="left"/>
              <w:rPr>
                <w:sz w:val="24"/>
              </w:rPr>
            </w:pPr>
            <w:r>
              <w:rPr>
                <w:sz w:val="24"/>
              </w:rPr>
              <w:t>2008</w:t>
            </w:r>
          </w:p>
        </w:tc>
        <w:tc>
          <w:tcPr>
            <w:tcW w:w="4364" w:type="dxa"/>
            <w:tcBorders>
              <w:top w:val="nil"/>
              <w:left w:val="nil"/>
              <w:bottom w:val="nil"/>
              <w:right w:val="nil"/>
            </w:tcBorders>
          </w:tcPr>
          <w:p>
            <w:pPr>
              <w:pStyle w:val="TableParagraph"/>
              <w:spacing w:before="56"/>
              <w:ind w:right="853"/>
              <w:rPr>
                <w:sz w:val="24"/>
              </w:rPr>
            </w:pPr>
            <w:r>
              <w:rPr>
                <w:sz w:val="24"/>
              </w:rPr>
              <w:t>1,667,136</w:t>
            </w:r>
          </w:p>
        </w:tc>
        <w:tc>
          <w:tcPr>
            <w:tcW w:w="2282" w:type="dxa"/>
            <w:tcBorders>
              <w:top w:val="nil"/>
              <w:left w:val="nil"/>
              <w:bottom w:val="nil"/>
              <w:right w:val="nil"/>
            </w:tcBorders>
          </w:tcPr>
          <w:p>
            <w:pPr>
              <w:pStyle w:val="TableParagraph"/>
              <w:spacing w:before="56"/>
              <w:ind w:right="62"/>
              <w:rPr>
                <w:sz w:val="24"/>
              </w:rPr>
            </w:pPr>
            <w:r>
              <w:rPr>
                <w:sz w:val="24"/>
              </w:rPr>
              <w:t>31.8</w:t>
            </w:r>
          </w:p>
        </w:tc>
      </w:tr>
      <w:tr>
        <w:trPr>
          <w:trHeight w:val="415" w:hRule="exact"/>
        </w:trPr>
        <w:tc>
          <w:tcPr>
            <w:tcW w:w="2622" w:type="dxa"/>
            <w:tcBorders>
              <w:top w:val="nil"/>
              <w:left w:val="nil"/>
              <w:bottom w:val="nil"/>
              <w:right w:val="nil"/>
            </w:tcBorders>
          </w:tcPr>
          <w:p>
            <w:pPr>
              <w:pStyle w:val="TableParagraph"/>
              <w:ind w:left="71"/>
              <w:jc w:val="left"/>
              <w:rPr>
                <w:sz w:val="24"/>
              </w:rPr>
            </w:pPr>
            <w:r>
              <w:rPr>
                <w:sz w:val="24"/>
              </w:rPr>
              <w:t>2009</w:t>
            </w:r>
          </w:p>
        </w:tc>
        <w:tc>
          <w:tcPr>
            <w:tcW w:w="4364" w:type="dxa"/>
            <w:tcBorders>
              <w:top w:val="nil"/>
              <w:left w:val="nil"/>
              <w:bottom w:val="nil"/>
              <w:right w:val="nil"/>
            </w:tcBorders>
          </w:tcPr>
          <w:p>
            <w:pPr>
              <w:pStyle w:val="TableParagraph"/>
              <w:ind w:right="853"/>
              <w:rPr>
                <w:sz w:val="24"/>
              </w:rPr>
            </w:pPr>
            <w:r>
              <w:rPr>
                <w:sz w:val="24"/>
              </w:rPr>
              <w:t>1,704,985</w:t>
            </w:r>
          </w:p>
        </w:tc>
        <w:tc>
          <w:tcPr>
            <w:tcW w:w="2282" w:type="dxa"/>
            <w:tcBorders>
              <w:top w:val="nil"/>
              <w:left w:val="nil"/>
              <w:bottom w:val="nil"/>
              <w:right w:val="nil"/>
            </w:tcBorders>
          </w:tcPr>
          <w:p>
            <w:pPr>
              <w:pStyle w:val="TableParagraph"/>
              <w:ind w:right="62"/>
              <w:rPr>
                <w:sz w:val="24"/>
              </w:rPr>
            </w:pPr>
            <w:r>
              <w:rPr>
                <w:sz w:val="24"/>
              </w:rPr>
              <w:t>32.3</w:t>
            </w:r>
          </w:p>
        </w:tc>
      </w:tr>
      <w:tr>
        <w:trPr>
          <w:trHeight w:val="415" w:hRule="exact"/>
        </w:trPr>
        <w:tc>
          <w:tcPr>
            <w:tcW w:w="2622" w:type="dxa"/>
            <w:tcBorders>
              <w:top w:val="nil"/>
              <w:left w:val="nil"/>
              <w:bottom w:val="nil"/>
              <w:right w:val="nil"/>
            </w:tcBorders>
          </w:tcPr>
          <w:p>
            <w:pPr>
              <w:pStyle w:val="TableParagraph"/>
              <w:spacing w:before="58"/>
              <w:ind w:left="71"/>
              <w:jc w:val="left"/>
              <w:rPr>
                <w:sz w:val="24"/>
              </w:rPr>
            </w:pPr>
            <w:r>
              <w:rPr>
                <w:sz w:val="24"/>
              </w:rPr>
              <w:t>2010</w:t>
            </w:r>
          </w:p>
        </w:tc>
        <w:tc>
          <w:tcPr>
            <w:tcW w:w="4364" w:type="dxa"/>
            <w:tcBorders>
              <w:top w:val="nil"/>
              <w:left w:val="nil"/>
              <w:bottom w:val="nil"/>
              <w:right w:val="nil"/>
            </w:tcBorders>
          </w:tcPr>
          <w:p>
            <w:pPr>
              <w:pStyle w:val="TableParagraph"/>
              <w:spacing w:before="58"/>
              <w:ind w:right="853"/>
              <w:rPr>
                <w:sz w:val="24"/>
              </w:rPr>
            </w:pPr>
            <w:r>
              <w:rPr>
                <w:sz w:val="24"/>
              </w:rPr>
              <w:t>1,744,737</w:t>
            </w:r>
          </w:p>
        </w:tc>
        <w:tc>
          <w:tcPr>
            <w:tcW w:w="2282" w:type="dxa"/>
            <w:tcBorders>
              <w:top w:val="nil"/>
              <w:left w:val="nil"/>
              <w:bottom w:val="nil"/>
              <w:right w:val="nil"/>
            </w:tcBorders>
          </w:tcPr>
          <w:p>
            <w:pPr>
              <w:pStyle w:val="TableParagraph"/>
              <w:spacing w:before="58"/>
              <w:ind w:right="62"/>
              <w:rPr>
                <w:sz w:val="24"/>
              </w:rPr>
            </w:pPr>
            <w:r>
              <w:rPr>
                <w:sz w:val="24"/>
              </w:rPr>
              <w:t>33.2</w:t>
            </w:r>
          </w:p>
        </w:tc>
      </w:tr>
      <w:tr>
        <w:trPr>
          <w:trHeight w:val="413" w:hRule="exact"/>
        </w:trPr>
        <w:tc>
          <w:tcPr>
            <w:tcW w:w="2622" w:type="dxa"/>
            <w:tcBorders>
              <w:top w:val="nil"/>
              <w:left w:val="nil"/>
              <w:bottom w:val="nil"/>
              <w:right w:val="nil"/>
            </w:tcBorders>
          </w:tcPr>
          <w:p>
            <w:pPr>
              <w:pStyle w:val="TableParagraph"/>
              <w:ind w:left="71"/>
              <w:jc w:val="left"/>
              <w:rPr>
                <w:sz w:val="24"/>
              </w:rPr>
            </w:pPr>
            <w:r>
              <w:rPr>
                <w:sz w:val="24"/>
              </w:rPr>
              <w:t>2011</w:t>
            </w:r>
          </w:p>
        </w:tc>
        <w:tc>
          <w:tcPr>
            <w:tcW w:w="4364" w:type="dxa"/>
            <w:tcBorders>
              <w:top w:val="nil"/>
              <w:left w:val="nil"/>
              <w:bottom w:val="nil"/>
              <w:right w:val="nil"/>
            </w:tcBorders>
          </w:tcPr>
          <w:p>
            <w:pPr>
              <w:pStyle w:val="TableParagraph"/>
              <w:ind w:right="853"/>
              <w:rPr>
                <w:sz w:val="24"/>
              </w:rPr>
            </w:pPr>
            <w:r>
              <w:rPr>
                <w:sz w:val="24"/>
              </w:rPr>
              <w:t>1,803,932</w:t>
            </w:r>
          </w:p>
        </w:tc>
        <w:tc>
          <w:tcPr>
            <w:tcW w:w="2282" w:type="dxa"/>
            <w:tcBorders>
              <w:top w:val="nil"/>
              <w:left w:val="nil"/>
              <w:bottom w:val="nil"/>
              <w:right w:val="nil"/>
            </w:tcBorders>
          </w:tcPr>
          <w:p>
            <w:pPr>
              <w:pStyle w:val="TableParagraph"/>
              <w:ind w:right="62"/>
              <w:rPr>
                <w:sz w:val="24"/>
              </w:rPr>
            </w:pPr>
            <w:r>
              <w:rPr>
                <w:sz w:val="24"/>
              </w:rPr>
              <w:t>34.2</w:t>
            </w:r>
          </w:p>
        </w:tc>
      </w:tr>
      <w:tr>
        <w:trPr>
          <w:trHeight w:val="413" w:hRule="exact"/>
        </w:trPr>
        <w:tc>
          <w:tcPr>
            <w:tcW w:w="2622" w:type="dxa"/>
            <w:tcBorders>
              <w:top w:val="nil"/>
              <w:left w:val="nil"/>
              <w:bottom w:val="nil"/>
              <w:right w:val="nil"/>
            </w:tcBorders>
          </w:tcPr>
          <w:p>
            <w:pPr>
              <w:pStyle w:val="TableParagraph"/>
              <w:spacing w:before="56"/>
              <w:ind w:left="71"/>
              <w:jc w:val="left"/>
              <w:rPr>
                <w:sz w:val="24"/>
              </w:rPr>
            </w:pPr>
            <w:r>
              <w:rPr>
                <w:sz w:val="24"/>
              </w:rPr>
              <w:t>2012</w:t>
            </w:r>
          </w:p>
        </w:tc>
        <w:tc>
          <w:tcPr>
            <w:tcW w:w="4364" w:type="dxa"/>
            <w:tcBorders>
              <w:top w:val="nil"/>
              <w:left w:val="nil"/>
              <w:bottom w:val="nil"/>
              <w:right w:val="nil"/>
            </w:tcBorders>
          </w:tcPr>
          <w:p>
            <w:pPr>
              <w:pStyle w:val="TableParagraph"/>
              <w:spacing w:before="56"/>
              <w:ind w:right="853"/>
              <w:rPr>
                <w:sz w:val="24"/>
              </w:rPr>
            </w:pPr>
            <w:r>
              <w:rPr>
                <w:sz w:val="24"/>
              </w:rPr>
              <w:t>1,820,547</w:t>
            </w:r>
          </w:p>
        </w:tc>
        <w:tc>
          <w:tcPr>
            <w:tcW w:w="2282" w:type="dxa"/>
            <w:tcBorders>
              <w:top w:val="nil"/>
              <w:left w:val="nil"/>
              <w:bottom w:val="nil"/>
              <w:right w:val="nil"/>
            </w:tcBorders>
          </w:tcPr>
          <w:p>
            <w:pPr>
              <w:pStyle w:val="TableParagraph"/>
              <w:spacing w:before="56"/>
              <w:ind w:right="62"/>
              <w:rPr>
                <w:sz w:val="24"/>
              </w:rPr>
            </w:pPr>
            <w:r>
              <w:rPr>
                <w:sz w:val="24"/>
              </w:rPr>
              <w:t>36.7</w:t>
            </w:r>
          </w:p>
        </w:tc>
      </w:tr>
      <w:tr>
        <w:trPr>
          <w:trHeight w:val="482" w:hRule="exact"/>
        </w:trPr>
        <w:tc>
          <w:tcPr>
            <w:tcW w:w="2622" w:type="dxa"/>
            <w:tcBorders>
              <w:top w:val="nil"/>
              <w:left w:val="nil"/>
              <w:right w:val="nil"/>
            </w:tcBorders>
          </w:tcPr>
          <w:p>
            <w:pPr>
              <w:pStyle w:val="TableParagraph"/>
              <w:ind w:left="71"/>
              <w:jc w:val="left"/>
              <w:rPr>
                <w:sz w:val="24"/>
              </w:rPr>
            </w:pPr>
            <w:r>
              <w:rPr>
                <w:sz w:val="24"/>
              </w:rPr>
              <w:t>2013</w:t>
            </w:r>
          </w:p>
        </w:tc>
        <w:tc>
          <w:tcPr>
            <w:tcW w:w="4364" w:type="dxa"/>
            <w:tcBorders>
              <w:top w:val="nil"/>
              <w:left w:val="nil"/>
              <w:right w:val="nil"/>
            </w:tcBorders>
          </w:tcPr>
          <w:p>
            <w:pPr>
              <w:pStyle w:val="TableParagraph"/>
              <w:ind w:right="853"/>
              <w:rPr>
                <w:sz w:val="24"/>
              </w:rPr>
            </w:pPr>
            <w:r>
              <w:rPr>
                <w:sz w:val="24"/>
              </w:rPr>
              <w:t>1,971,700</w:t>
            </w:r>
          </w:p>
        </w:tc>
        <w:tc>
          <w:tcPr>
            <w:tcW w:w="2282" w:type="dxa"/>
            <w:tcBorders>
              <w:top w:val="nil"/>
              <w:left w:val="nil"/>
              <w:right w:val="nil"/>
            </w:tcBorders>
          </w:tcPr>
          <w:p>
            <w:pPr>
              <w:pStyle w:val="TableParagraph"/>
              <w:ind w:right="62"/>
              <w:rPr>
                <w:sz w:val="24"/>
              </w:rPr>
            </w:pPr>
            <w:r>
              <w:rPr>
                <w:sz w:val="24"/>
              </w:rPr>
              <w:t>39.1</w:t>
            </w:r>
          </w:p>
        </w:tc>
      </w:tr>
    </w:tbl>
    <w:p>
      <w:pPr>
        <w:spacing w:line="225" w:lineRule="exact" w:before="0"/>
        <w:ind w:left="179" w:right="185" w:firstLine="0"/>
        <w:jc w:val="left"/>
        <w:rPr>
          <w:sz w:val="20"/>
        </w:rPr>
      </w:pPr>
      <w:r>
        <w:rPr>
          <w:sz w:val="20"/>
        </w:rPr>
        <w:t>SIAP, 2014.</w:t>
      </w:r>
    </w:p>
    <w:p>
      <w:pPr>
        <w:spacing w:after="0" w:line="225" w:lineRule="exact"/>
        <w:jc w:val="left"/>
        <w:rPr>
          <w:sz w:val="20"/>
        </w:rPr>
        <w:sectPr>
          <w:pgSz w:w="12240" w:h="15840"/>
          <w:pgMar w:header="0" w:footer="1173" w:top="1360" w:bottom="1380" w:left="1520" w:right="1240"/>
        </w:sectPr>
      </w:pPr>
    </w:p>
    <w:p>
      <w:pPr>
        <w:pStyle w:val="BodyText"/>
        <w:spacing w:line="360" w:lineRule="auto" w:before="52"/>
        <w:ind w:left="179" w:right="181"/>
        <w:jc w:val="both"/>
      </w:pPr>
      <w:r>
        <w:rPr/>
        <w:t>Con la información del Cuadro 4, el modelo estadístico estimado que permite realizar proyecciones (Cuadro 5) de la producción de carne en canal de bovinos, en México, periodo 2013-2022, es:</w:t>
      </w:r>
    </w:p>
    <w:p>
      <w:pPr>
        <w:pStyle w:val="BodyText"/>
      </w:pPr>
    </w:p>
    <w:p>
      <w:pPr>
        <w:spacing w:before="140"/>
        <w:ind w:left="3003" w:right="185" w:firstLine="0"/>
        <w:jc w:val="left"/>
        <w:rPr>
          <w:i/>
          <w:sz w:val="24"/>
        </w:rPr>
      </w:pPr>
      <w:r>
        <w:rPr>
          <w:i/>
          <w:sz w:val="24"/>
        </w:rPr>
        <w:t>PROD = 1, 712,767 + 37,073.2X</w:t>
      </w:r>
    </w:p>
    <w:p>
      <w:pPr>
        <w:pStyle w:val="BodyText"/>
        <w:spacing w:line="360" w:lineRule="auto" w:before="141"/>
        <w:ind w:left="179" w:right="171"/>
        <w:jc w:val="both"/>
      </w:pPr>
      <w:r>
        <w:rPr/>
        <w:t>Donde X, es la variable independiente, que da razón del tiempo, es decir, la producción de carne en canal, en función del tiempo (en años). </w:t>
      </w:r>
      <w:r>
        <w:rPr>
          <w:spacing w:val="-4"/>
        </w:rPr>
        <w:t>Al </w:t>
      </w:r>
      <w:r>
        <w:rPr/>
        <w:t>respecto, algunos estadísticos que dan certeza de la significancia del modelo anterior, son: coeficiente de determinación R</w:t>
      </w:r>
      <w:r>
        <w:rPr>
          <w:position w:val="8"/>
          <w:sz w:val="16"/>
        </w:rPr>
        <w:t>2 </w:t>
      </w:r>
      <w:r>
        <w:rPr/>
        <w:t>de 0.985 o 98.5 %, la Fc de 318 (P&lt;0.0001) y la </w:t>
      </w:r>
      <w:r>
        <w:rPr>
          <w:i/>
        </w:rPr>
        <w:t>t </w:t>
      </w:r>
      <w:r>
        <w:rPr/>
        <w:t>de student para cada uno de los estimadores de 411.9 (P&lt;0.001) y 17.8 (P&lt;0.001), que al 95 % de confiabilidad de la prueba, se confirma que ningún estimador del modelo sería igual a cero, por lo que el modelo presenta significancia estadística y económica y,  es válido para todas las conclusiones que de él se deriven (Gujarati y Porter,</w:t>
      </w:r>
      <w:r>
        <w:rPr>
          <w:spacing w:val="-39"/>
        </w:rPr>
        <w:t> </w:t>
      </w:r>
      <w:r>
        <w:rPr/>
        <w:t>2009).</w:t>
      </w:r>
    </w:p>
    <w:p>
      <w:pPr>
        <w:pStyle w:val="BodyText"/>
      </w:pPr>
    </w:p>
    <w:p>
      <w:pPr>
        <w:pStyle w:val="BodyText"/>
        <w:spacing w:line="360" w:lineRule="auto" w:before="144"/>
        <w:ind w:left="179" w:right="174"/>
        <w:jc w:val="both"/>
      </w:pPr>
      <w:r>
        <w:rPr/>
        <w:t>El comportamiento de la producción que se presenta en el Cuadro 5, permite deducir que en años próximos o durante la vida útil del proyecto, esta variable tendrá un comportamiento creciente, debido a la inercia que la misma ya presentó.</w:t>
      </w:r>
    </w:p>
    <w:p>
      <w:pPr>
        <w:pStyle w:val="BodyText"/>
      </w:pPr>
    </w:p>
    <w:p>
      <w:pPr>
        <w:pStyle w:val="BodyText"/>
        <w:spacing w:before="144"/>
        <w:ind w:left="179"/>
        <w:jc w:val="both"/>
      </w:pPr>
      <w:r>
        <w:rPr/>
        <w:t>Cuadro 5. Proyecciones de la producción de carne en canal de bovino.</w:t>
      </w:r>
    </w:p>
    <w:p>
      <w:pPr>
        <w:pStyle w:val="BodyText"/>
        <w:spacing w:before="3"/>
        <w:rPr>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56"/>
        <w:gridCol w:w="5111"/>
      </w:tblGrid>
      <w:tr>
        <w:trPr>
          <w:trHeight w:val="422" w:hRule="exact"/>
        </w:trPr>
        <w:tc>
          <w:tcPr>
            <w:tcW w:w="4156" w:type="dxa"/>
            <w:tcBorders>
              <w:left w:val="nil"/>
              <w:right w:val="nil"/>
            </w:tcBorders>
          </w:tcPr>
          <w:p>
            <w:pPr>
              <w:pStyle w:val="TableParagraph"/>
              <w:spacing w:line="272" w:lineRule="exact" w:before="0"/>
              <w:ind w:left="71"/>
              <w:jc w:val="left"/>
              <w:rPr>
                <w:sz w:val="24"/>
              </w:rPr>
            </w:pPr>
            <w:r>
              <w:rPr>
                <w:sz w:val="24"/>
              </w:rPr>
              <w:t>Año</w:t>
            </w:r>
          </w:p>
        </w:tc>
        <w:tc>
          <w:tcPr>
            <w:tcW w:w="5111" w:type="dxa"/>
            <w:tcBorders>
              <w:left w:val="nil"/>
              <w:right w:val="nil"/>
            </w:tcBorders>
          </w:tcPr>
          <w:p>
            <w:pPr>
              <w:pStyle w:val="TableParagraph"/>
              <w:spacing w:line="272" w:lineRule="exact" w:before="0"/>
              <w:ind w:right="68"/>
              <w:rPr>
                <w:sz w:val="24"/>
              </w:rPr>
            </w:pPr>
            <w:r>
              <w:rPr>
                <w:sz w:val="24"/>
              </w:rPr>
              <w:t>Producción (t)</w:t>
            </w:r>
          </w:p>
        </w:tc>
      </w:tr>
      <w:tr>
        <w:trPr>
          <w:trHeight w:val="360" w:hRule="exact"/>
        </w:trPr>
        <w:tc>
          <w:tcPr>
            <w:tcW w:w="4156" w:type="dxa"/>
            <w:tcBorders>
              <w:left w:val="nil"/>
              <w:bottom w:val="nil"/>
              <w:right w:val="nil"/>
            </w:tcBorders>
          </w:tcPr>
          <w:p>
            <w:pPr>
              <w:pStyle w:val="TableParagraph"/>
              <w:spacing w:line="272" w:lineRule="exact" w:before="0"/>
              <w:ind w:left="71"/>
              <w:jc w:val="left"/>
              <w:rPr>
                <w:sz w:val="24"/>
              </w:rPr>
            </w:pPr>
            <w:r>
              <w:rPr>
                <w:sz w:val="24"/>
              </w:rPr>
              <w:t>2013</w:t>
            </w:r>
          </w:p>
        </w:tc>
        <w:tc>
          <w:tcPr>
            <w:tcW w:w="5111" w:type="dxa"/>
            <w:tcBorders>
              <w:left w:val="nil"/>
              <w:bottom w:val="nil"/>
              <w:right w:val="nil"/>
            </w:tcBorders>
          </w:tcPr>
          <w:p>
            <w:pPr>
              <w:pStyle w:val="TableParagraph"/>
              <w:spacing w:line="272" w:lineRule="exact" w:before="0"/>
              <w:ind w:right="68"/>
              <w:rPr>
                <w:sz w:val="24"/>
              </w:rPr>
            </w:pPr>
            <w:r>
              <w:rPr>
                <w:sz w:val="24"/>
              </w:rPr>
              <w:t>1,898,133.1</w:t>
            </w:r>
          </w:p>
        </w:tc>
      </w:tr>
      <w:tr>
        <w:trPr>
          <w:trHeight w:val="415" w:hRule="exact"/>
        </w:trPr>
        <w:tc>
          <w:tcPr>
            <w:tcW w:w="4156" w:type="dxa"/>
            <w:tcBorders>
              <w:top w:val="nil"/>
              <w:left w:val="nil"/>
              <w:bottom w:val="nil"/>
              <w:right w:val="nil"/>
            </w:tcBorders>
          </w:tcPr>
          <w:p>
            <w:pPr>
              <w:pStyle w:val="TableParagraph"/>
              <w:spacing w:before="58"/>
              <w:ind w:left="71"/>
              <w:jc w:val="left"/>
              <w:rPr>
                <w:sz w:val="24"/>
              </w:rPr>
            </w:pPr>
            <w:r>
              <w:rPr>
                <w:sz w:val="24"/>
              </w:rPr>
              <w:t>2014</w:t>
            </w:r>
          </w:p>
        </w:tc>
        <w:tc>
          <w:tcPr>
            <w:tcW w:w="5111" w:type="dxa"/>
            <w:tcBorders>
              <w:top w:val="nil"/>
              <w:left w:val="nil"/>
              <w:bottom w:val="nil"/>
              <w:right w:val="nil"/>
            </w:tcBorders>
          </w:tcPr>
          <w:p>
            <w:pPr>
              <w:pStyle w:val="TableParagraph"/>
              <w:spacing w:before="58"/>
              <w:ind w:right="68"/>
              <w:rPr>
                <w:sz w:val="24"/>
              </w:rPr>
            </w:pPr>
            <w:r>
              <w:rPr>
                <w:sz w:val="24"/>
              </w:rPr>
              <w:t>1,935,206.3</w:t>
            </w:r>
          </w:p>
        </w:tc>
      </w:tr>
      <w:tr>
        <w:trPr>
          <w:trHeight w:val="413" w:hRule="exact"/>
        </w:trPr>
        <w:tc>
          <w:tcPr>
            <w:tcW w:w="4156" w:type="dxa"/>
            <w:tcBorders>
              <w:top w:val="nil"/>
              <w:left w:val="nil"/>
              <w:bottom w:val="nil"/>
              <w:right w:val="nil"/>
            </w:tcBorders>
          </w:tcPr>
          <w:p>
            <w:pPr>
              <w:pStyle w:val="TableParagraph"/>
              <w:ind w:left="71"/>
              <w:jc w:val="left"/>
              <w:rPr>
                <w:sz w:val="24"/>
              </w:rPr>
            </w:pPr>
            <w:r>
              <w:rPr>
                <w:sz w:val="24"/>
              </w:rPr>
              <w:t>2015</w:t>
            </w:r>
          </w:p>
        </w:tc>
        <w:tc>
          <w:tcPr>
            <w:tcW w:w="5111" w:type="dxa"/>
            <w:tcBorders>
              <w:top w:val="nil"/>
              <w:left w:val="nil"/>
              <w:bottom w:val="nil"/>
              <w:right w:val="nil"/>
            </w:tcBorders>
          </w:tcPr>
          <w:p>
            <w:pPr>
              <w:pStyle w:val="TableParagraph"/>
              <w:ind w:right="68"/>
              <w:rPr>
                <w:sz w:val="24"/>
              </w:rPr>
            </w:pPr>
            <w:r>
              <w:rPr>
                <w:sz w:val="24"/>
              </w:rPr>
              <w:t>1,972,279.5</w:t>
            </w:r>
          </w:p>
        </w:tc>
      </w:tr>
      <w:tr>
        <w:trPr>
          <w:trHeight w:val="413" w:hRule="exact"/>
        </w:trPr>
        <w:tc>
          <w:tcPr>
            <w:tcW w:w="4156" w:type="dxa"/>
            <w:tcBorders>
              <w:top w:val="nil"/>
              <w:left w:val="nil"/>
              <w:bottom w:val="nil"/>
              <w:right w:val="nil"/>
            </w:tcBorders>
          </w:tcPr>
          <w:p>
            <w:pPr>
              <w:pStyle w:val="TableParagraph"/>
              <w:spacing w:before="56"/>
              <w:ind w:left="71"/>
              <w:jc w:val="left"/>
              <w:rPr>
                <w:sz w:val="24"/>
              </w:rPr>
            </w:pPr>
            <w:r>
              <w:rPr>
                <w:sz w:val="24"/>
              </w:rPr>
              <w:t>2016</w:t>
            </w:r>
          </w:p>
        </w:tc>
        <w:tc>
          <w:tcPr>
            <w:tcW w:w="5111" w:type="dxa"/>
            <w:tcBorders>
              <w:top w:val="nil"/>
              <w:left w:val="nil"/>
              <w:bottom w:val="nil"/>
              <w:right w:val="nil"/>
            </w:tcBorders>
          </w:tcPr>
          <w:p>
            <w:pPr>
              <w:pStyle w:val="TableParagraph"/>
              <w:spacing w:before="56"/>
              <w:ind w:right="68"/>
              <w:rPr>
                <w:sz w:val="24"/>
              </w:rPr>
            </w:pPr>
            <w:r>
              <w:rPr>
                <w:sz w:val="24"/>
              </w:rPr>
              <w:t>2,009,352.7</w:t>
            </w:r>
          </w:p>
        </w:tc>
      </w:tr>
      <w:tr>
        <w:trPr>
          <w:trHeight w:val="415" w:hRule="exact"/>
        </w:trPr>
        <w:tc>
          <w:tcPr>
            <w:tcW w:w="4156" w:type="dxa"/>
            <w:tcBorders>
              <w:top w:val="nil"/>
              <w:left w:val="nil"/>
              <w:bottom w:val="nil"/>
              <w:right w:val="nil"/>
            </w:tcBorders>
          </w:tcPr>
          <w:p>
            <w:pPr>
              <w:pStyle w:val="TableParagraph"/>
              <w:ind w:left="71"/>
              <w:jc w:val="left"/>
              <w:rPr>
                <w:sz w:val="24"/>
              </w:rPr>
            </w:pPr>
            <w:r>
              <w:rPr>
                <w:sz w:val="24"/>
              </w:rPr>
              <w:t>2017</w:t>
            </w:r>
          </w:p>
        </w:tc>
        <w:tc>
          <w:tcPr>
            <w:tcW w:w="5111" w:type="dxa"/>
            <w:tcBorders>
              <w:top w:val="nil"/>
              <w:left w:val="nil"/>
              <w:bottom w:val="nil"/>
              <w:right w:val="nil"/>
            </w:tcBorders>
          </w:tcPr>
          <w:p>
            <w:pPr>
              <w:pStyle w:val="TableParagraph"/>
              <w:ind w:right="68"/>
              <w:rPr>
                <w:sz w:val="24"/>
              </w:rPr>
            </w:pPr>
            <w:r>
              <w:rPr>
                <w:sz w:val="24"/>
              </w:rPr>
              <w:t>2,046,425.9</w:t>
            </w:r>
          </w:p>
        </w:tc>
      </w:tr>
      <w:tr>
        <w:trPr>
          <w:trHeight w:val="415" w:hRule="exact"/>
        </w:trPr>
        <w:tc>
          <w:tcPr>
            <w:tcW w:w="4156" w:type="dxa"/>
            <w:tcBorders>
              <w:top w:val="nil"/>
              <w:left w:val="nil"/>
              <w:bottom w:val="nil"/>
              <w:right w:val="nil"/>
            </w:tcBorders>
          </w:tcPr>
          <w:p>
            <w:pPr>
              <w:pStyle w:val="TableParagraph"/>
              <w:spacing w:before="58"/>
              <w:ind w:left="71"/>
              <w:jc w:val="left"/>
              <w:rPr>
                <w:sz w:val="24"/>
              </w:rPr>
            </w:pPr>
            <w:r>
              <w:rPr>
                <w:sz w:val="24"/>
              </w:rPr>
              <w:t>2018</w:t>
            </w:r>
          </w:p>
        </w:tc>
        <w:tc>
          <w:tcPr>
            <w:tcW w:w="5111" w:type="dxa"/>
            <w:tcBorders>
              <w:top w:val="nil"/>
              <w:left w:val="nil"/>
              <w:bottom w:val="nil"/>
              <w:right w:val="nil"/>
            </w:tcBorders>
          </w:tcPr>
          <w:p>
            <w:pPr>
              <w:pStyle w:val="TableParagraph"/>
              <w:spacing w:before="58"/>
              <w:ind w:right="68"/>
              <w:rPr>
                <w:sz w:val="24"/>
              </w:rPr>
            </w:pPr>
            <w:r>
              <w:rPr>
                <w:sz w:val="24"/>
              </w:rPr>
              <w:t>2,083,499.1</w:t>
            </w:r>
          </w:p>
        </w:tc>
      </w:tr>
      <w:tr>
        <w:trPr>
          <w:trHeight w:val="413" w:hRule="exact"/>
        </w:trPr>
        <w:tc>
          <w:tcPr>
            <w:tcW w:w="4156" w:type="dxa"/>
            <w:tcBorders>
              <w:top w:val="nil"/>
              <w:left w:val="nil"/>
              <w:bottom w:val="nil"/>
              <w:right w:val="nil"/>
            </w:tcBorders>
          </w:tcPr>
          <w:p>
            <w:pPr>
              <w:pStyle w:val="TableParagraph"/>
              <w:ind w:left="71"/>
              <w:jc w:val="left"/>
              <w:rPr>
                <w:sz w:val="24"/>
              </w:rPr>
            </w:pPr>
            <w:r>
              <w:rPr>
                <w:sz w:val="24"/>
              </w:rPr>
              <w:t>2019</w:t>
            </w:r>
          </w:p>
        </w:tc>
        <w:tc>
          <w:tcPr>
            <w:tcW w:w="5111" w:type="dxa"/>
            <w:tcBorders>
              <w:top w:val="nil"/>
              <w:left w:val="nil"/>
              <w:bottom w:val="nil"/>
              <w:right w:val="nil"/>
            </w:tcBorders>
          </w:tcPr>
          <w:p>
            <w:pPr>
              <w:pStyle w:val="TableParagraph"/>
              <w:ind w:right="68"/>
              <w:rPr>
                <w:sz w:val="24"/>
              </w:rPr>
            </w:pPr>
            <w:r>
              <w:rPr>
                <w:sz w:val="24"/>
              </w:rPr>
              <w:t>2,120,572.4</w:t>
            </w:r>
          </w:p>
        </w:tc>
      </w:tr>
      <w:tr>
        <w:trPr>
          <w:trHeight w:val="413" w:hRule="exact"/>
        </w:trPr>
        <w:tc>
          <w:tcPr>
            <w:tcW w:w="4156" w:type="dxa"/>
            <w:tcBorders>
              <w:top w:val="nil"/>
              <w:left w:val="nil"/>
              <w:bottom w:val="nil"/>
              <w:right w:val="nil"/>
            </w:tcBorders>
          </w:tcPr>
          <w:p>
            <w:pPr>
              <w:pStyle w:val="TableParagraph"/>
              <w:spacing w:before="56"/>
              <w:ind w:left="71"/>
              <w:jc w:val="left"/>
              <w:rPr>
                <w:sz w:val="24"/>
              </w:rPr>
            </w:pPr>
            <w:r>
              <w:rPr>
                <w:sz w:val="24"/>
              </w:rPr>
              <w:t>2020</w:t>
            </w:r>
          </w:p>
        </w:tc>
        <w:tc>
          <w:tcPr>
            <w:tcW w:w="5111" w:type="dxa"/>
            <w:tcBorders>
              <w:top w:val="nil"/>
              <w:left w:val="nil"/>
              <w:bottom w:val="nil"/>
              <w:right w:val="nil"/>
            </w:tcBorders>
          </w:tcPr>
          <w:p>
            <w:pPr>
              <w:pStyle w:val="TableParagraph"/>
              <w:spacing w:before="56"/>
              <w:ind w:right="68"/>
              <w:rPr>
                <w:sz w:val="24"/>
              </w:rPr>
            </w:pPr>
            <w:r>
              <w:rPr>
                <w:sz w:val="24"/>
              </w:rPr>
              <w:t>2,157,645.6</w:t>
            </w:r>
          </w:p>
        </w:tc>
      </w:tr>
      <w:tr>
        <w:trPr>
          <w:trHeight w:val="415" w:hRule="exact"/>
        </w:trPr>
        <w:tc>
          <w:tcPr>
            <w:tcW w:w="4156" w:type="dxa"/>
            <w:tcBorders>
              <w:top w:val="nil"/>
              <w:left w:val="nil"/>
              <w:bottom w:val="nil"/>
              <w:right w:val="nil"/>
            </w:tcBorders>
          </w:tcPr>
          <w:p>
            <w:pPr>
              <w:pStyle w:val="TableParagraph"/>
              <w:ind w:left="71"/>
              <w:jc w:val="left"/>
              <w:rPr>
                <w:sz w:val="24"/>
              </w:rPr>
            </w:pPr>
            <w:r>
              <w:rPr>
                <w:sz w:val="24"/>
              </w:rPr>
              <w:t>2021</w:t>
            </w:r>
          </w:p>
        </w:tc>
        <w:tc>
          <w:tcPr>
            <w:tcW w:w="5111" w:type="dxa"/>
            <w:tcBorders>
              <w:top w:val="nil"/>
              <w:left w:val="nil"/>
              <w:bottom w:val="nil"/>
              <w:right w:val="nil"/>
            </w:tcBorders>
          </w:tcPr>
          <w:p>
            <w:pPr>
              <w:pStyle w:val="TableParagraph"/>
              <w:ind w:right="68"/>
              <w:rPr>
                <w:sz w:val="24"/>
              </w:rPr>
            </w:pPr>
            <w:r>
              <w:rPr>
                <w:sz w:val="24"/>
              </w:rPr>
              <w:t>2,194,718.8</w:t>
            </w:r>
          </w:p>
        </w:tc>
      </w:tr>
      <w:tr>
        <w:trPr>
          <w:trHeight w:val="480" w:hRule="exact"/>
        </w:trPr>
        <w:tc>
          <w:tcPr>
            <w:tcW w:w="4156" w:type="dxa"/>
            <w:tcBorders>
              <w:top w:val="nil"/>
              <w:left w:val="nil"/>
              <w:right w:val="nil"/>
            </w:tcBorders>
          </w:tcPr>
          <w:p>
            <w:pPr>
              <w:pStyle w:val="TableParagraph"/>
              <w:spacing w:before="58"/>
              <w:ind w:left="71"/>
              <w:jc w:val="left"/>
              <w:rPr>
                <w:sz w:val="24"/>
              </w:rPr>
            </w:pPr>
            <w:r>
              <w:rPr>
                <w:sz w:val="24"/>
              </w:rPr>
              <w:t>2022</w:t>
            </w:r>
          </w:p>
        </w:tc>
        <w:tc>
          <w:tcPr>
            <w:tcW w:w="5111" w:type="dxa"/>
            <w:tcBorders>
              <w:top w:val="nil"/>
              <w:left w:val="nil"/>
              <w:right w:val="nil"/>
            </w:tcBorders>
          </w:tcPr>
          <w:p>
            <w:pPr>
              <w:pStyle w:val="TableParagraph"/>
              <w:spacing w:before="58"/>
              <w:ind w:right="68"/>
              <w:rPr>
                <w:sz w:val="24"/>
              </w:rPr>
            </w:pPr>
            <w:r>
              <w:rPr>
                <w:sz w:val="24"/>
              </w:rPr>
              <w:t>2,231,791.8</w:t>
            </w:r>
          </w:p>
        </w:tc>
      </w:tr>
    </w:tbl>
    <w:p>
      <w:pPr>
        <w:spacing w:line="225" w:lineRule="exact" w:before="0"/>
        <w:ind w:left="179" w:right="185" w:firstLine="0"/>
        <w:jc w:val="left"/>
        <w:rPr>
          <w:sz w:val="20"/>
        </w:rPr>
      </w:pPr>
      <w:r>
        <w:rPr>
          <w:sz w:val="20"/>
        </w:rPr>
        <w:t>Elaboración propia.</w:t>
      </w:r>
    </w:p>
    <w:p>
      <w:pPr>
        <w:spacing w:after="0" w:line="225" w:lineRule="exact"/>
        <w:jc w:val="left"/>
        <w:rPr>
          <w:sz w:val="20"/>
        </w:rPr>
        <w:sectPr>
          <w:pgSz w:w="12240" w:h="15840"/>
          <w:pgMar w:header="0" w:footer="1173" w:top="1360" w:bottom="1380" w:left="1520" w:right="1240"/>
        </w:sectPr>
      </w:pPr>
    </w:p>
    <w:p>
      <w:pPr>
        <w:pStyle w:val="BodyText"/>
        <w:spacing w:line="360" w:lineRule="auto" w:before="52"/>
        <w:ind w:left="119" w:right="110"/>
        <w:jc w:val="both"/>
      </w:pPr>
      <w:r>
        <w:rPr/>
        <w:t>En una semana, sin fecha pico, en el rastro municipal de Tejupilco, se sacrifican, en promedio, 100 bovinos, 230 porcinos y 20 caprinos, cuyas canales se distribuyen a carnicerías para venta directa en cortes al consumidor final de Tejupilco. El sacrificio de caprinos no es de importancia, una vez que el sacrificio habitual se realizar </w:t>
      </w:r>
      <w:r>
        <w:rPr>
          <w:i/>
          <w:spacing w:val="-3"/>
        </w:rPr>
        <w:t>in </w:t>
      </w:r>
      <w:r>
        <w:rPr>
          <w:i/>
        </w:rPr>
        <w:t>si  </w:t>
      </w:r>
      <w:r>
        <w:rPr>
          <w:i/>
        </w:rPr>
        <w:t>tu</w:t>
      </w:r>
      <w:r>
        <w:rPr/>
        <w:t>, es decir, artesanal. Con la información anterior, </w:t>
      </w:r>
      <w:r>
        <w:rPr>
          <w:spacing w:val="2"/>
        </w:rPr>
        <w:t>de </w:t>
      </w:r>
      <w:r>
        <w:rPr/>
        <w:t>forma anual, se sacrifican 4,800 bovinos, equivalente a una producción de carne en canal de 1.2 miles toneladas.</w:t>
      </w:r>
    </w:p>
    <w:p>
      <w:pPr>
        <w:pStyle w:val="BodyText"/>
      </w:pPr>
    </w:p>
    <w:p>
      <w:pPr>
        <w:pStyle w:val="BodyText"/>
        <w:spacing w:line="360" w:lineRule="auto" w:before="140"/>
        <w:ind w:left="119" w:right="114"/>
        <w:jc w:val="both"/>
      </w:pPr>
      <w:r>
        <w:rPr/>
        <w:t>A </w:t>
      </w:r>
      <w:r>
        <w:rPr>
          <w:i/>
        </w:rPr>
        <w:t>g</w:t>
      </w:r>
      <w:r>
        <w:rPr/>
        <w:t>rosso </w:t>
      </w:r>
      <w:r>
        <w:rPr>
          <w:i/>
        </w:rPr>
        <w:t>modo</w:t>
      </w:r>
      <w:r>
        <w:rPr/>
        <w:t>, a nivel distrito se estarían sacrificando, independientemente del tipo de matanza, que, en su mayoría es </w:t>
      </w:r>
      <w:r>
        <w:rPr>
          <w:i/>
          <w:spacing w:val="-3"/>
        </w:rPr>
        <w:t>in </w:t>
      </w:r>
      <w:r>
        <w:rPr>
          <w:i/>
        </w:rPr>
        <w:t>si tu</w:t>
      </w:r>
      <w:r>
        <w:rPr/>
        <w:t>, 19,200 cabezas de ganado bovino por año, para abastecer el consumo de una población aproximada de un millón de habitantes (INEGI, 2014). Poco </w:t>
      </w:r>
      <w:r>
        <w:rPr>
          <w:spacing w:val="-3"/>
        </w:rPr>
        <w:t>más </w:t>
      </w:r>
      <w:r>
        <w:rPr/>
        <w:t>del 90 % de los animales que se sacrifican, actualmente en el rastro municipal de Tejupilco, son de la misma región, la  diferencia, provienen de los estados de Guerrero y Michoacán. El abastecimiento de animales para el rastro municipal es, en su mayoría, de productores de la región de influencia a dicho rastro y provenientes de sistemas de producción conocidos en la región, que son; baca-becerro, doble propósito, pequeña escaña, extensivos o semiextensivos en carne y de engordas intensivas en</w:t>
      </w:r>
      <w:r>
        <w:rPr>
          <w:spacing w:val="-15"/>
        </w:rPr>
        <w:t> </w:t>
      </w:r>
      <w:r>
        <w:rPr/>
        <w:t>corral.</w:t>
      </w:r>
    </w:p>
    <w:p>
      <w:pPr>
        <w:pStyle w:val="BodyText"/>
      </w:pPr>
    </w:p>
    <w:p>
      <w:pPr>
        <w:pStyle w:val="BodyText"/>
        <w:spacing w:line="360" w:lineRule="auto" w:before="140"/>
        <w:ind w:left="119" w:right="114"/>
        <w:jc w:val="both"/>
      </w:pPr>
      <w:r>
        <w:rPr/>
        <w:t>Con relación a la existencia de rastros de sacrificio de ganado bovino y porcino, según SAGARPA-SIAP, hasta 2014, había en México 1,147 rastros (Cuadro 6), de los cuales 913 (79.6 %) son municipales, 141 (12.3 %) privados y 93 (8.1 %) son TIF. El mayor sacrificio de estas especies pecuarias se da en rastros municipales, después en rastros privados y por último en rastros TIF, ubicados al interior de cada entidad federativa de la República</w:t>
      </w:r>
      <w:r>
        <w:rPr>
          <w:spacing w:val="-18"/>
        </w:rPr>
        <w:t> </w:t>
      </w:r>
      <w:r>
        <w:rPr/>
        <w:t>Mexicana.</w:t>
      </w:r>
    </w:p>
    <w:p>
      <w:pPr>
        <w:pStyle w:val="BodyText"/>
      </w:pPr>
    </w:p>
    <w:p>
      <w:pPr>
        <w:pStyle w:val="BodyText"/>
        <w:spacing w:before="144"/>
        <w:ind w:left="119"/>
        <w:jc w:val="both"/>
      </w:pPr>
      <w:r>
        <w:rPr/>
        <w:t>Por estados, Jalisco, Michoacán, Veracruz, Estado de México y Sonora    concentran</w:t>
      </w:r>
    </w:p>
    <w:p>
      <w:pPr>
        <w:pStyle w:val="BodyText"/>
        <w:spacing w:line="360" w:lineRule="auto" w:before="137"/>
        <w:ind w:left="119" w:right="126"/>
        <w:jc w:val="both"/>
      </w:pPr>
      <w:r>
        <w:rPr/>
        <w:t>40.3 % del total nacional. Tan sólo Jalisco concentra 12.9 % y la entidad que menos rastros tiene es Distrito Federal con 1 rastro (0.09 %) y Quintana Roo (0.8 %). Guanajuato, Nuevo León y Sinaloa son quienes tienen </w:t>
      </w:r>
      <w:r>
        <w:rPr>
          <w:spacing w:val="-3"/>
        </w:rPr>
        <w:t>más </w:t>
      </w:r>
      <w:r>
        <w:rPr/>
        <w:t>rastros TIF. En tanto</w:t>
      </w:r>
      <w:r>
        <w:rPr>
          <w:spacing w:val="51"/>
        </w:rPr>
        <w:t> </w:t>
      </w:r>
      <w:r>
        <w:rPr/>
        <w:t>que</w:t>
      </w:r>
    </w:p>
    <w:p>
      <w:pPr>
        <w:spacing w:after="0" w:line="360" w:lineRule="auto"/>
        <w:jc w:val="both"/>
        <w:sectPr>
          <w:pgSz w:w="12240" w:h="15840"/>
          <w:pgMar w:header="0" w:footer="1173" w:top="1360" w:bottom="1380" w:left="1580" w:right="1300"/>
        </w:sectPr>
      </w:pPr>
    </w:p>
    <w:p>
      <w:pPr>
        <w:pStyle w:val="BodyText"/>
        <w:spacing w:line="362" w:lineRule="auto" w:before="52"/>
        <w:ind w:left="179" w:right="185"/>
      </w:pPr>
      <w:r>
        <w:rPr/>
        <w:t>Jalisco, Michoacán, Sinaloa y Veracruz, son entidades que dispusieron más rastros municipales.</w:t>
      </w:r>
    </w:p>
    <w:p>
      <w:pPr>
        <w:pStyle w:val="BodyText"/>
        <w:spacing w:before="11"/>
        <w:rPr>
          <w:sz w:val="35"/>
        </w:rPr>
      </w:pPr>
    </w:p>
    <w:p>
      <w:pPr>
        <w:pStyle w:val="BodyText"/>
        <w:spacing w:line="360" w:lineRule="auto" w:after="12"/>
        <w:ind w:left="890" w:right="185" w:hanging="711"/>
      </w:pPr>
      <w:r>
        <w:rPr/>
        <w:t>Cuadro 6. Disponibilidad de rastros de sacrificio de ganado bovino y porcino en México, 2014.</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0"/>
        <w:gridCol w:w="2992"/>
        <w:gridCol w:w="1716"/>
        <w:gridCol w:w="1186"/>
        <w:gridCol w:w="1094"/>
      </w:tblGrid>
      <w:tr>
        <w:trPr>
          <w:trHeight w:val="422" w:hRule="exact"/>
        </w:trPr>
        <w:tc>
          <w:tcPr>
            <w:tcW w:w="2280" w:type="dxa"/>
            <w:tcBorders>
              <w:left w:val="nil"/>
              <w:right w:val="nil"/>
            </w:tcBorders>
          </w:tcPr>
          <w:p>
            <w:pPr>
              <w:pStyle w:val="TableParagraph"/>
              <w:spacing w:line="272" w:lineRule="exact" w:before="0"/>
              <w:ind w:left="71"/>
              <w:jc w:val="left"/>
              <w:rPr>
                <w:sz w:val="24"/>
              </w:rPr>
            </w:pPr>
            <w:r>
              <w:rPr>
                <w:sz w:val="24"/>
              </w:rPr>
              <w:t>Estado</w:t>
            </w:r>
          </w:p>
        </w:tc>
        <w:tc>
          <w:tcPr>
            <w:tcW w:w="2992" w:type="dxa"/>
            <w:tcBorders>
              <w:left w:val="nil"/>
              <w:right w:val="nil"/>
            </w:tcBorders>
          </w:tcPr>
          <w:p>
            <w:pPr>
              <w:pStyle w:val="TableParagraph"/>
              <w:spacing w:line="272" w:lineRule="exact" w:before="0"/>
              <w:ind w:right="570"/>
              <w:rPr>
                <w:sz w:val="24"/>
              </w:rPr>
            </w:pPr>
            <w:r>
              <w:rPr>
                <w:sz w:val="24"/>
              </w:rPr>
              <w:t>Municipal</w:t>
            </w:r>
          </w:p>
        </w:tc>
        <w:tc>
          <w:tcPr>
            <w:tcW w:w="1716" w:type="dxa"/>
            <w:tcBorders>
              <w:left w:val="nil"/>
              <w:right w:val="nil"/>
            </w:tcBorders>
          </w:tcPr>
          <w:p>
            <w:pPr>
              <w:pStyle w:val="TableParagraph"/>
              <w:spacing w:line="272" w:lineRule="exact" w:before="0"/>
              <w:ind w:right="328"/>
              <w:rPr>
                <w:sz w:val="24"/>
              </w:rPr>
            </w:pPr>
            <w:r>
              <w:rPr>
                <w:sz w:val="24"/>
              </w:rPr>
              <w:t>Privado</w:t>
            </w:r>
          </w:p>
        </w:tc>
        <w:tc>
          <w:tcPr>
            <w:tcW w:w="1186" w:type="dxa"/>
            <w:tcBorders>
              <w:left w:val="nil"/>
              <w:right w:val="nil"/>
            </w:tcBorders>
          </w:tcPr>
          <w:p>
            <w:pPr>
              <w:pStyle w:val="TableParagraph"/>
              <w:spacing w:line="272" w:lineRule="exact" w:before="0"/>
              <w:ind w:right="491"/>
              <w:rPr>
                <w:sz w:val="24"/>
              </w:rPr>
            </w:pPr>
            <w:r>
              <w:rPr>
                <w:sz w:val="24"/>
              </w:rPr>
              <w:t>TIF</w:t>
            </w:r>
          </w:p>
        </w:tc>
        <w:tc>
          <w:tcPr>
            <w:tcW w:w="1094" w:type="dxa"/>
            <w:tcBorders>
              <w:left w:val="nil"/>
              <w:right w:val="nil"/>
            </w:tcBorders>
          </w:tcPr>
          <w:p>
            <w:pPr>
              <w:pStyle w:val="TableParagraph"/>
              <w:spacing w:line="272" w:lineRule="exact" w:before="0"/>
              <w:ind w:right="65"/>
              <w:rPr>
                <w:sz w:val="24"/>
              </w:rPr>
            </w:pPr>
            <w:r>
              <w:rPr>
                <w:sz w:val="24"/>
              </w:rPr>
              <w:t>Total</w:t>
            </w:r>
          </w:p>
        </w:tc>
      </w:tr>
      <w:tr>
        <w:trPr>
          <w:trHeight w:val="358" w:hRule="exact"/>
        </w:trPr>
        <w:tc>
          <w:tcPr>
            <w:tcW w:w="2280" w:type="dxa"/>
            <w:tcBorders>
              <w:left w:val="nil"/>
              <w:bottom w:val="nil"/>
              <w:right w:val="nil"/>
            </w:tcBorders>
          </w:tcPr>
          <w:p>
            <w:pPr>
              <w:pStyle w:val="TableParagraph"/>
              <w:spacing w:line="272" w:lineRule="exact" w:before="0"/>
              <w:ind w:left="71"/>
              <w:jc w:val="left"/>
              <w:rPr>
                <w:sz w:val="24"/>
              </w:rPr>
            </w:pPr>
            <w:r>
              <w:rPr>
                <w:sz w:val="24"/>
              </w:rPr>
              <w:t>AGS</w:t>
            </w:r>
          </w:p>
        </w:tc>
        <w:tc>
          <w:tcPr>
            <w:tcW w:w="2992" w:type="dxa"/>
            <w:tcBorders>
              <w:left w:val="nil"/>
              <w:bottom w:val="nil"/>
              <w:right w:val="nil"/>
            </w:tcBorders>
          </w:tcPr>
          <w:p>
            <w:pPr>
              <w:pStyle w:val="TableParagraph"/>
              <w:spacing w:line="272" w:lineRule="exact" w:before="0"/>
              <w:ind w:right="570"/>
              <w:rPr>
                <w:sz w:val="24"/>
              </w:rPr>
            </w:pPr>
            <w:r>
              <w:rPr>
                <w:w w:val="99"/>
                <w:sz w:val="24"/>
              </w:rPr>
              <w:t>7</w:t>
            </w:r>
          </w:p>
        </w:tc>
        <w:tc>
          <w:tcPr>
            <w:tcW w:w="1716" w:type="dxa"/>
            <w:tcBorders>
              <w:left w:val="nil"/>
              <w:bottom w:val="nil"/>
              <w:right w:val="nil"/>
            </w:tcBorders>
          </w:tcPr>
          <w:p>
            <w:pPr>
              <w:pStyle w:val="TableParagraph"/>
              <w:spacing w:line="272" w:lineRule="exact" w:before="0"/>
              <w:ind w:right="331"/>
              <w:rPr>
                <w:sz w:val="24"/>
              </w:rPr>
            </w:pPr>
            <w:r>
              <w:rPr>
                <w:w w:val="99"/>
                <w:sz w:val="24"/>
              </w:rPr>
              <w:t>4</w:t>
            </w:r>
          </w:p>
        </w:tc>
        <w:tc>
          <w:tcPr>
            <w:tcW w:w="1186" w:type="dxa"/>
            <w:tcBorders>
              <w:left w:val="nil"/>
              <w:bottom w:val="nil"/>
              <w:right w:val="nil"/>
            </w:tcBorders>
          </w:tcPr>
          <w:p>
            <w:pPr>
              <w:pStyle w:val="TableParagraph"/>
              <w:spacing w:line="272" w:lineRule="exact" w:before="0"/>
              <w:ind w:right="494"/>
              <w:rPr>
                <w:sz w:val="24"/>
              </w:rPr>
            </w:pPr>
            <w:r>
              <w:rPr>
                <w:w w:val="99"/>
                <w:sz w:val="24"/>
              </w:rPr>
              <w:t>2</w:t>
            </w:r>
          </w:p>
        </w:tc>
        <w:tc>
          <w:tcPr>
            <w:tcW w:w="1094" w:type="dxa"/>
            <w:tcBorders>
              <w:left w:val="nil"/>
              <w:bottom w:val="nil"/>
              <w:right w:val="nil"/>
            </w:tcBorders>
          </w:tcPr>
          <w:p>
            <w:pPr>
              <w:pStyle w:val="TableParagraph"/>
              <w:spacing w:line="272" w:lineRule="exact" w:before="0"/>
              <w:ind w:right="65"/>
              <w:rPr>
                <w:sz w:val="24"/>
              </w:rPr>
            </w:pPr>
            <w:r>
              <w:rPr>
                <w:sz w:val="24"/>
              </w:rPr>
              <w:t>13</w:t>
            </w:r>
          </w:p>
        </w:tc>
      </w:tr>
      <w:tr>
        <w:trPr>
          <w:trHeight w:val="415" w:hRule="exact"/>
        </w:trPr>
        <w:tc>
          <w:tcPr>
            <w:tcW w:w="2280" w:type="dxa"/>
            <w:tcBorders>
              <w:top w:val="nil"/>
              <w:left w:val="nil"/>
              <w:bottom w:val="nil"/>
              <w:right w:val="nil"/>
            </w:tcBorders>
          </w:tcPr>
          <w:p>
            <w:pPr>
              <w:pStyle w:val="TableParagraph"/>
              <w:spacing w:before="56"/>
              <w:ind w:left="71"/>
              <w:jc w:val="left"/>
              <w:rPr>
                <w:sz w:val="24"/>
              </w:rPr>
            </w:pPr>
            <w:r>
              <w:rPr>
                <w:sz w:val="24"/>
              </w:rPr>
              <w:t>BC</w:t>
            </w:r>
          </w:p>
        </w:tc>
        <w:tc>
          <w:tcPr>
            <w:tcW w:w="2992" w:type="dxa"/>
            <w:tcBorders>
              <w:top w:val="nil"/>
              <w:left w:val="nil"/>
              <w:bottom w:val="nil"/>
              <w:right w:val="nil"/>
            </w:tcBorders>
          </w:tcPr>
          <w:p>
            <w:pPr>
              <w:pStyle w:val="TableParagraph"/>
              <w:spacing w:before="56"/>
              <w:ind w:right="570"/>
              <w:rPr>
                <w:sz w:val="24"/>
              </w:rPr>
            </w:pPr>
            <w:r>
              <w:rPr>
                <w:w w:val="99"/>
                <w:sz w:val="24"/>
              </w:rPr>
              <w:t>2</w:t>
            </w:r>
          </w:p>
        </w:tc>
        <w:tc>
          <w:tcPr>
            <w:tcW w:w="1716" w:type="dxa"/>
            <w:tcBorders>
              <w:top w:val="nil"/>
              <w:left w:val="nil"/>
              <w:bottom w:val="nil"/>
              <w:right w:val="nil"/>
            </w:tcBorders>
          </w:tcPr>
          <w:p>
            <w:pPr>
              <w:pStyle w:val="TableParagraph"/>
              <w:spacing w:before="56"/>
              <w:ind w:right="330"/>
              <w:rPr>
                <w:sz w:val="24"/>
              </w:rPr>
            </w:pPr>
            <w:r>
              <w:rPr>
                <w:sz w:val="24"/>
              </w:rPr>
              <w:t>11</w:t>
            </w:r>
          </w:p>
        </w:tc>
        <w:tc>
          <w:tcPr>
            <w:tcW w:w="1186" w:type="dxa"/>
            <w:tcBorders>
              <w:top w:val="nil"/>
              <w:left w:val="nil"/>
              <w:bottom w:val="nil"/>
              <w:right w:val="nil"/>
            </w:tcBorders>
          </w:tcPr>
          <w:p>
            <w:pPr>
              <w:pStyle w:val="TableParagraph"/>
              <w:spacing w:before="56"/>
              <w:ind w:right="494"/>
              <w:rPr>
                <w:sz w:val="24"/>
              </w:rPr>
            </w:pPr>
            <w:r>
              <w:rPr>
                <w:w w:val="99"/>
                <w:sz w:val="24"/>
              </w:rPr>
              <w:t>4</w:t>
            </w:r>
          </w:p>
        </w:tc>
        <w:tc>
          <w:tcPr>
            <w:tcW w:w="1094" w:type="dxa"/>
            <w:tcBorders>
              <w:top w:val="nil"/>
              <w:left w:val="nil"/>
              <w:bottom w:val="nil"/>
              <w:right w:val="nil"/>
            </w:tcBorders>
          </w:tcPr>
          <w:p>
            <w:pPr>
              <w:pStyle w:val="TableParagraph"/>
              <w:spacing w:before="56"/>
              <w:ind w:right="65"/>
              <w:rPr>
                <w:sz w:val="24"/>
              </w:rPr>
            </w:pPr>
            <w:r>
              <w:rPr>
                <w:sz w:val="24"/>
              </w:rPr>
              <w:t>17</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BCS</w:t>
            </w:r>
          </w:p>
        </w:tc>
        <w:tc>
          <w:tcPr>
            <w:tcW w:w="2992" w:type="dxa"/>
            <w:tcBorders>
              <w:top w:val="nil"/>
              <w:left w:val="nil"/>
              <w:bottom w:val="nil"/>
              <w:right w:val="nil"/>
            </w:tcBorders>
          </w:tcPr>
          <w:p>
            <w:pPr>
              <w:pStyle w:val="TableParagraph"/>
              <w:spacing w:before="58"/>
              <w:ind w:right="569"/>
              <w:rPr>
                <w:sz w:val="24"/>
              </w:rPr>
            </w:pPr>
            <w:r>
              <w:rPr>
                <w:sz w:val="24"/>
              </w:rPr>
              <w:t>11</w:t>
            </w:r>
          </w:p>
        </w:tc>
        <w:tc>
          <w:tcPr>
            <w:tcW w:w="1716" w:type="dxa"/>
            <w:tcBorders>
              <w:top w:val="nil"/>
              <w:left w:val="nil"/>
              <w:bottom w:val="nil"/>
              <w:right w:val="nil"/>
            </w:tcBorders>
          </w:tcPr>
          <w:p>
            <w:pPr>
              <w:pStyle w:val="TableParagraph"/>
              <w:spacing w:before="58"/>
              <w:ind w:right="331"/>
              <w:rPr>
                <w:sz w:val="24"/>
              </w:rPr>
            </w:pPr>
            <w:r>
              <w:rPr>
                <w:w w:val="99"/>
                <w:sz w:val="24"/>
              </w:rPr>
              <w:t>0</w:t>
            </w:r>
          </w:p>
        </w:tc>
        <w:tc>
          <w:tcPr>
            <w:tcW w:w="1186" w:type="dxa"/>
            <w:tcBorders>
              <w:top w:val="nil"/>
              <w:left w:val="nil"/>
              <w:bottom w:val="nil"/>
              <w:right w:val="nil"/>
            </w:tcBorders>
          </w:tcPr>
          <w:p>
            <w:pPr>
              <w:pStyle w:val="TableParagraph"/>
              <w:spacing w:before="58"/>
              <w:ind w:right="494"/>
              <w:rPr>
                <w:sz w:val="24"/>
              </w:rPr>
            </w:pPr>
            <w:r>
              <w:rPr>
                <w:w w:val="99"/>
                <w:sz w:val="24"/>
              </w:rPr>
              <w:t>0</w:t>
            </w:r>
          </w:p>
        </w:tc>
        <w:tc>
          <w:tcPr>
            <w:tcW w:w="1094" w:type="dxa"/>
            <w:tcBorders>
              <w:top w:val="nil"/>
              <w:left w:val="nil"/>
              <w:bottom w:val="nil"/>
              <w:right w:val="nil"/>
            </w:tcBorders>
          </w:tcPr>
          <w:p>
            <w:pPr>
              <w:pStyle w:val="TableParagraph"/>
              <w:spacing w:before="58"/>
              <w:ind w:right="65"/>
              <w:rPr>
                <w:sz w:val="24"/>
              </w:rPr>
            </w:pPr>
            <w:r>
              <w:rPr>
                <w:sz w:val="24"/>
              </w:rPr>
              <w:t>11</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CAMP</w:t>
            </w:r>
          </w:p>
        </w:tc>
        <w:tc>
          <w:tcPr>
            <w:tcW w:w="2992" w:type="dxa"/>
            <w:tcBorders>
              <w:top w:val="nil"/>
              <w:left w:val="nil"/>
              <w:bottom w:val="nil"/>
              <w:right w:val="nil"/>
            </w:tcBorders>
          </w:tcPr>
          <w:p>
            <w:pPr>
              <w:pStyle w:val="TableParagraph"/>
              <w:ind w:right="569"/>
              <w:rPr>
                <w:sz w:val="24"/>
              </w:rPr>
            </w:pPr>
            <w:r>
              <w:rPr>
                <w:sz w:val="24"/>
              </w:rPr>
              <w:t>15</w:t>
            </w:r>
          </w:p>
        </w:tc>
        <w:tc>
          <w:tcPr>
            <w:tcW w:w="1716" w:type="dxa"/>
            <w:tcBorders>
              <w:top w:val="nil"/>
              <w:left w:val="nil"/>
              <w:bottom w:val="nil"/>
              <w:right w:val="nil"/>
            </w:tcBorders>
          </w:tcPr>
          <w:p>
            <w:pPr>
              <w:pStyle w:val="TableParagraph"/>
              <w:ind w:right="331"/>
              <w:rPr>
                <w:sz w:val="24"/>
              </w:rPr>
            </w:pPr>
            <w:r>
              <w:rPr>
                <w:w w:val="99"/>
                <w:sz w:val="24"/>
              </w:rPr>
              <w:t>4</w:t>
            </w:r>
          </w:p>
        </w:tc>
        <w:tc>
          <w:tcPr>
            <w:tcW w:w="1186" w:type="dxa"/>
            <w:tcBorders>
              <w:top w:val="nil"/>
              <w:left w:val="nil"/>
              <w:bottom w:val="nil"/>
              <w:right w:val="nil"/>
            </w:tcBorders>
          </w:tcPr>
          <w:p>
            <w:pPr>
              <w:pStyle w:val="TableParagraph"/>
              <w:ind w:right="494"/>
              <w:rPr>
                <w:sz w:val="24"/>
              </w:rPr>
            </w:pPr>
            <w:r>
              <w:rPr>
                <w:w w:val="99"/>
                <w:sz w:val="24"/>
              </w:rPr>
              <w:t>1</w:t>
            </w:r>
          </w:p>
        </w:tc>
        <w:tc>
          <w:tcPr>
            <w:tcW w:w="1094" w:type="dxa"/>
            <w:tcBorders>
              <w:top w:val="nil"/>
              <w:left w:val="nil"/>
              <w:bottom w:val="nil"/>
              <w:right w:val="nil"/>
            </w:tcBorders>
          </w:tcPr>
          <w:p>
            <w:pPr>
              <w:pStyle w:val="TableParagraph"/>
              <w:ind w:right="65"/>
              <w:rPr>
                <w:sz w:val="24"/>
              </w:rPr>
            </w:pPr>
            <w:r>
              <w:rPr>
                <w:sz w:val="24"/>
              </w:rPr>
              <w:t>20</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COAH</w:t>
            </w:r>
          </w:p>
        </w:tc>
        <w:tc>
          <w:tcPr>
            <w:tcW w:w="2992" w:type="dxa"/>
            <w:tcBorders>
              <w:top w:val="nil"/>
              <w:left w:val="nil"/>
              <w:bottom w:val="nil"/>
              <w:right w:val="nil"/>
            </w:tcBorders>
          </w:tcPr>
          <w:p>
            <w:pPr>
              <w:pStyle w:val="TableParagraph"/>
              <w:ind w:right="569"/>
              <w:rPr>
                <w:sz w:val="24"/>
              </w:rPr>
            </w:pPr>
            <w:r>
              <w:rPr>
                <w:sz w:val="24"/>
              </w:rPr>
              <w:t>17</w:t>
            </w:r>
          </w:p>
        </w:tc>
        <w:tc>
          <w:tcPr>
            <w:tcW w:w="1716" w:type="dxa"/>
            <w:tcBorders>
              <w:top w:val="nil"/>
              <w:left w:val="nil"/>
              <w:bottom w:val="nil"/>
              <w:right w:val="nil"/>
            </w:tcBorders>
          </w:tcPr>
          <w:p>
            <w:pPr>
              <w:pStyle w:val="TableParagraph"/>
              <w:ind w:right="331"/>
              <w:rPr>
                <w:sz w:val="24"/>
              </w:rPr>
            </w:pPr>
            <w:r>
              <w:rPr>
                <w:w w:val="99"/>
                <w:sz w:val="24"/>
              </w:rPr>
              <w:t>3</w:t>
            </w:r>
          </w:p>
        </w:tc>
        <w:tc>
          <w:tcPr>
            <w:tcW w:w="1186" w:type="dxa"/>
            <w:tcBorders>
              <w:top w:val="nil"/>
              <w:left w:val="nil"/>
              <w:bottom w:val="nil"/>
              <w:right w:val="nil"/>
            </w:tcBorders>
          </w:tcPr>
          <w:p>
            <w:pPr>
              <w:pStyle w:val="TableParagraph"/>
              <w:ind w:right="494"/>
              <w:rPr>
                <w:sz w:val="24"/>
              </w:rPr>
            </w:pPr>
            <w:r>
              <w:rPr>
                <w:w w:val="99"/>
                <w:sz w:val="24"/>
              </w:rPr>
              <w:t>4</w:t>
            </w:r>
          </w:p>
        </w:tc>
        <w:tc>
          <w:tcPr>
            <w:tcW w:w="1094" w:type="dxa"/>
            <w:tcBorders>
              <w:top w:val="nil"/>
              <w:left w:val="nil"/>
              <w:bottom w:val="nil"/>
              <w:right w:val="nil"/>
            </w:tcBorders>
          </w:tcPr>
          <w:p>
            <w:pPr>
              <w:pStyle w:val="TableParagraph"/>
              <w:ind w:right="65"/>
              <w:rPr>
                <w:sz w:val="24"/>
              </w:rPr>
            </w:pPr>
            <w:r>
              <w:rPr>
                <w:sz w:val="24"/>
              </w:rPr>
              <w:t>24</w:t>
            </w:r>
          </w:p>
        </w:tc>
      </w:tr>
      <w:tr>
        <w:trPr>
          <w:trHeight w:val="413" w:hRule="exact"/>
        </w:trPr>
        <w:tc>
          <w:tcPr>
            <w:tcW w:w="2280" w:type="dxa"/>
            <w:tcBorders>
              <w:top w:val="nil"/>
              <w:left w:val="nil"/>
              <w:bottom w:val="nil"/>
              <w:right w:val="nil"/>
            </w:tcBorders>
          </w:tcPr>
          <w:p>
            <w:pPr>
              <w:pStyle w:val="TableParagraph"/>
              <w:spacing w:before="56"/>
              <w:ind w:left="71"/>
              <w:jc w:val="left"/>
              <w:rPr>
                <w:sz w:val="24"/>
              </w:rPr>
            </w:pPr>
            <w:r>
              <w:rPr>
                <w:sz w:val="24"/>
              </w:rPr>
              <w:t>COL</w:t>
            </w:r>
          </w:p>
        </w:tc>
        <w:tc>
          <w:tcPr>
            <w:tcW w:w="2992" w:type="dxa"/>
            <w:tcBorders>
              <w:top w:val="nil"/>
              <w:left w:val="nil"/>
              <w:bottom w:val="nil"/>
              <w:right w:val="nil"/>
            </w:tcBorders>
          </w:tcPr>
          <w:p>
            <w:pPr>
              <w:pStyle w:val="TableParagraph"/>
              <w:spacing w:before="56"/>
              <w:ind w:right="569"/>
              <w:rPr>
                <w:sz w:val="24"/>
              </w:rPr>
            </w:pPr>
            <w:r>
              <w:rPr>
                <w:sz w:val="24"/>
              </w:rPr>
              <w:t>11</w:t>
            </w:r>
          </w:p>
        </w:tc>
        <w:tc>
          <w:tcPr>
            <w:tcW w:w="1716" w:type="dxa"/>
            <w:tcBorders>
              <w:top w:val="nil"/>
              <w:left w:val="nil"/>
              <w:bottom w:val="nil"/>
              <w:right w:val="nil"/>
            </w:tcBorders>
          </w:tcPr>
          <w:p>
            <w:pPr>
              <w:pStyle w:val="TableParagraph"/>
              <w:spacing w:before="56"/>
              <w:ind w:right="331"/>
              <w:rPr>
                <w:sz w:val="24"/>
              </w:rPr>
            </w:pPr>
            <w:r>
              <w:rPr>
                <w:w w:val="99"/>
                <w:sz w:val="24"/>
              </w:rPr>
              <w:t>6</w:t>
            </w:r>
          </w:p>
        </w:tc>
        <w:tc>
          <w:tcPr>
            <w:tcW w:w="1186" w:type="dxa"/>
            <w:tcBorders>
              <w:top w:val="nil"/>
              <w:left w:val="nil"/>
              <w:bottom w:val="nil"/>
              <w:right w:val="nil"/>
            </w:tcBorders>
          </w:tcPr>
          <w:p>
            <w:pPr>
              <w:pStyle w:val="TableParagraph"/>
              <w:spacing w:before="56"/>
              <w:ind w:right="494"/>
              <w:rPr>
                <w:sz w:val="24"/>
              </w:rPr>
            </w:pPr>
            <w:r>
              <w:rPr>
                <w:w w:val="99"/>
                <w:sz w:val="24"/>
              </w:rPr>
              <w:t>0</w:t>
            </w:r>
          </w:p>
        </w:tc>
        <w:tc>
          <w:tcPr>
            <w:tcW w:w="1094" w:type="dxa"/>
            <w:tcBorders>
              <w:top w:val="nil"/>
              <w:left w:val="nil"/>
              <w:bottom w:val="nil"/>
              <w:right w:val="nil"/>
            </w:tcBorders>
          </w:tcPr>
          <w:p>
            <w:pPr>
              <w:pStyle w:val="TableParagraph"/>
              <w:spacing w:before="56"/>
              <w:ind w:right="65"/>
              <w:rPr>
                <w:sz w:val="24"/>
              </w:rPr>
            </w:pPr>
            <w:r>
              <w:rPr>
                <w:sz w:val="24"/>
              </w:rPr>
              <w:t>17</w:t>
            </w:r>
          </w:p>
        </w:tc>
      </w:tr>
      <w:tr>
        <w:trPr>
          <w:trHeight w:val="415" w:hRule="exact"/>
        </w:trPr>
        <w:tc>
          <w:tcPr>
            <w:tcW w:w="2280" w:type="dxa"/>
            <w:tcBorders>
              <w:top w:val="nil"/>
              <w:left w:val="nil"/>
              <w:bottom w:val="nil"/>
              <w:right w:val="nil"/>
            </w:tcBorders>
          </w:tcPr>
          <w:p>
            <w:pPr>
              <w:pStyle w:val="TableParagraph"/>
              <w:ind w:left="71"/>
              <w:jc w:val="left"/>
              <w:rPr>
                <w:sz w:val="24"/>
              </w:rPr>
            </w:pPr>
            <w:r>
              <w:rPr>
                <w:sz w:val="24"/>
              </w:rPr>
              <w:t>CHIS</w:t>
            </w:r>
          </w:p>
        </w:tc>
        <w:tc>
          <w:tcPr>
            <w:tcW w:w="2992" w:type="dxa"/>
            <w:tcBorders>
              <w:top w:val="nil"/>
              <w:left w:val="nil"/>
              <w:bottom w:val="nil"/>
              <w:right w:val="nil"/>
            </w:tcBorders>
          </w:tcPr>
          <w:p>
            <w:pPr>
              <w:pStyle w:val="TableParagraph"/>
              <w:ind w:right="569"/>
              <w:rPr>
                <w:sz w:val="24"/>
              </w:rPr>
            </w:pPr>
            <w:r>
              <w:rPr>
                <w:sz w:val="24"/>
              </w:rPr>
              <w:t>27</w:t>
            </w:r>
          </w:p>
        </w:tc>
        <w:tc>
          <w:tcPr>
            <w:tcW w:w="1716" w:type="dxa"/>
            <w:tcBorders>
              <w:top w:val="nil"/>
              <w:left w:val="nil"/>
              <w:bottom w:val="nil"/>
              <w:right w:val="nil"/>
            </w:tcBorders>
          </w:tcPr>
          <w:p>
            <w:pPr>
              <w:pStyle w:val="TableParagraph"/>
              <w:ind w:right="331"/>
              <w:rPr>
                <w:sz w:val="24"/>
              </w:rPr>
            </w:pPr>
            <w:r>
              <w:rPr>
                <w:w w:val="99"/>
                <w:sz w:val="24"/>
              </w:rPr>
              <w:t>4</w:t>
            </w:r>
          </w:p>
        </w:tc>
        <w:tc>
          <w:tcPr>
            <w:tcW w:w="1186" w:type="dxa"/>
            <w:tcBorders>
              <w:top w:val="nil"/>
              <w:left w:val="nil"/>
              <w:bottom w:val="nil"/>
              <w:right w:val="nil"/>
            </w:tcBorders>
          </w:tcPr>
          <w:p>
            <w:pPr>
              <w:pStyle w:val="TableParagraph"/>
              <w:ind w:right="494"/>
              <w:rPr>
                <w:sz w:val="24"/>
              </w:rPr>
            </w:pPr>
            <w:r>
              <w:rPr>
                <w:w w:val="99"/>
                <w:sz w:val="24"/>
              </w:rPr>
              <w:t>2</w:t>
            </w:r>
          </w:p>
        </w:tc>
        <w:tc>
          <w:tcPr>
            <w:tcW w:w="1094" w:type="dxa"/>
            <w:tcBorders>
              <w:top w:val="nil"/>
              <w:left w:val="nil"/>
              <w:bottom w:val="nil"/>
              <w:right w:val="nil"/>
            </w:tcBorders>
          </w:tcPr>
          <w:p>
            <w:pPr>
              <w:pStyle w:val="TableParagraph"/>
              <w:ind w:right="65"/>
              <w:rPr>
                <w:sz w:val="24"/>
              </w:rPr>
            </w:pPr>
            <w:r>
              <w:rPr>
                <w:sz w:val="24"/>
              </w:rPr>
              <w:t>33</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CHIH</w:t>
            </w:r>
          </w:p>
        </w:tc>
        <w:tc>
          <w:tcPr>
            <w:tcW w:w="2992" w:type="dxa"/>
            <w:tcBorders>
              <w:top w:val="nil"/>
              <w:left w:val="nil"/>
              <w:bottom w:val="nil"/>
              <w:right w:val="nil"/>
            </w:tcBorders>
          </w:tcPr>
          <w:p>
            <w:pPr>
              <w:pStyle w:val="TableParagraph"/>
              <w:spacing w:before="58"/>
              <w:ind w:right="569"/>
              <w:rPr>
                <w:sz w:val="24"/>
              </w:rPr>
            </w:pPr>
            <w:r>
              <w:rPr>
                <w:sz w:val="24"/>
              </w:rPr>
              <w:t>47</w:t>
            </w:r>
          </w:p>
        </w:tc>
        <w:tc>
          <w:tcPr>
            <w:tcW w:w="1716" w:type="dxa"/>
            <w:tcBorders>
              <w:top w:val="nil"/>
              <w:left w:val="nil"/>
              <w:bottom w:val="nil"/>
              <w:right w:val="nil"/>
            </w:tcBorders>
          </w:tcPr>
          <w:p>
            <w:pPr>
              <w:pStyle w:val="TableParagraph"/>
              <w:spacing w:before="58"/>
              <w:ind w:right="331"/>
              <w:rPr>
                <w:sz w:val="24"/>
              </w:rPr>
            </w:pPr>
            <w:r>
              <w:rPr>
                <w:w w:val="99"/>
                <w:sz w:val="24"/>
              </w:rPr>
              <w:t>3</w:t>
            </w:r>
          </w:p>
        </w:tc>
        <w:tc>
          <w:tcPr>
            <w:tcW w:w="1186" w:type="dxa"/>
            <w:tcBorders>
              <w:top w:val="nil"/>
              <w:left w:val="nil"/>
              <w:bottom w:val="nil"/>
              <w:right w:val="nil"/>
            </w:tcBorders>
          </w:tcPr>
          <w:p>
            <w:pPr>
              <w:pStyle w:val="TableParagraph"/>
              <w:spacing w:before="58"/>
              <w:ind w:right="494"/>
              <w:rPr>
                <w:sz w:val="24"/>
              </w:rPr>
            </w:pPr>
            <w:r>
              <w:rPr>
                <w:w w:val="99"/>
                <w:sz w:val="24"/>
              </w:rPr>
              <w:t>5</w:t>
            </w:r>
          </w:p>
        </w:tc>
        <w:tc>
          <w:tcPr>
            <w:tcW w:w="1094" w:type="dxa"/>
            <w:tcBorders>
              <w:top w:val="nil"/>
              <w:left w:val="nil"/>
              <w:bottom w:val="nil"/>
              <w:right w:val="nil"/>
            </w:tcBorders>
          </w:tcPr>
          <w:p>
            <w:pPr>
              <w:pStyle w:val="TableParagraph"/>
              <w:spacing w:before="58"/>
              <w:ind w:right="65"/>
              <w:rPr>
                <w:sz w:val="24"/>
              </w:rPr>
            </w:pPr>
            <w:r>
              <w:rPr>
                <w:sz w:val="24"/>
              </w:rPr>
              <w:t>55</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DF</w:t>
            </w:r>
          </w:p>
        </w:tc>
        <w:tc>
          <w:tcPr>
            <w:tcW w:w="2992" w:type="dxa"/>
            <w:tcBorders>
              <w:top w:val="nil"/>
              <w:left w:val="nil"/>
              <w:bottom w:val="nil"/>
              <w:right w:val="nil"/>
            </w:tcBorders>
          </w:tcPr>
          <w:p>
            <w:pPr>
              <w:pStyle w:val="TableParagraph"/>
              <w:ind w:right="570"/>
              <w:rPr>
                <w:sz w:val="24"/>
              </w:rPr>
            </w:pPr>
            <w:r>
              <w:rPr>
                <w:w w:val="99"/>
                <w:sz w:val="24"/>
              </w:rPr>
              <w:t>1</w:t>
            </w:r>
          </w:p>
        </w:tc>
        <w:tc>
          <w:tcPr>
            <w:tcW w:w="1716" w:type="dxa"/>
            <w:tcBorders>
              <w:top w:val="nil"/>
              <w:left w:val="nil"/>
              <w:bottom w:val="nil"/>
              <w:right w:val="nil"/>
            </w:tcBorders>
          </w:tcPr>
          <w:p>
            <w:pPr>
              <w:pStyle w:val="TableParagraph"/>
              <w:ind w:right="331"/>
              <w:rPr>
                <w:sz w:val="24"/>
              </w:rPr>
            </w:pPr>
            <w:r>
              <w:rPr>
                <w:w w:val="99"/>
                <w:sz w:val="24"/>
              </w:rPr>
              <w:t>0</w:t>
            </w:r>
          </w:p>
        </w:tc>
        <w:tc>
          <w:tcPr>
            <w:tcW w:w="1186" w:type="dxa"/>
            <w:tcBorders>
              <w:top w:val="nil"/>
              <w:left w:val="nil"/>
              <w:bottom w:val="nil"/>
              <w:right w:val="nil"/>
            </w:tcBorders>
          </w:tcPr>
          <w:p>
            <w:pPr>
              <w:pStyle w:val="TableParagraph"/>
              <w:ind w:right="494"/>
              <w:rPr>
                <w:sz w:val="24"/>
              </w:rPr>
            </w:pPr>
            <w:r>
              <w:rPr>
                <w:w w:val="99"/>
                <w:sz w:val="24"/>
              </w:rPr>
              <w:t>0</w:t>
            </w:r>
          </w:p>
        </w:tc>
        <w:tc>
          <w:tcPr>
            <w:tcW w:w="1094" w:type="dxa"/>
            <w:tcBorders>
              <w:top w:val="nil"/>
              <w:left w:val="nil"/>
              <w:bottom w:val="nil"/>
              <w:right w:val="nil"/>
            </w:tcBorders>
          </w:tcPr>
          <w:p>
            <w:pPr>
              <w:pStyle w:val="TableParagraph"/>
              <w:ind w:right="66"/>
              <w:rPr>
                <w:sz w:val="24"/>
              </w:rPr>
            </w:pPr>
            <w:r>
              <w:rPr>
                <w:w w:val="99"/>
                <w:sz w:val="24"/>
              </w:rPr>
              <w:t>1</w:t>
            </w:r>
          </w:p>
        </w:tc>
      </w:tr>
      <w:tr>
        <w:trPr>
          <w:trHeight w:val="413" w:hRule="exact"/>
        </w:trPr>
        <w:tc>
          <w:tcPr>
            <w:tcW w:w="2280" w:type="dxa"/>
            <w:tcBorders>
              <w:top w:val="nil"/>
              <w:left w:val="nil"/>
              <w:bottom w:val="nil"/>
              <w:right w:val="nil"/>
            </w:tcBorders>
          </w:tcPr>
          <w:p>
            <w:pPr>
              <w:pStyle w:val="TableParagraph"/>
              <w:spacing w:before="56"/>
              <w:ind w:left="71"/>
              <w:jc w:val="left"/>
              <w:rPr>
                <w:sz w:val="24"/>
              </w:rPr>
            </w:pPr>
            <w:r>
              <w:rPr>
                <w:sz w:val="24"/>
              </w:rPr>
              <w:t>DGO</w:t>
            </w:r>
          </w:p>
        </w:tc>
        <w:tc>
          <w:tcPr>
            <w:tcW w:w="2992" w:type="dxa"/>
            <w:tcBorders>
              <w:top w:val="nil"/>
              <w:left w:val="nil"/>
              <w:bottom w:val="nil"/>
              <w:right w:val="nil"/>
            </w:tcBorders>
          </w:tcPr>
          <w:p>
            <w:pPr>
              <w:pStyle w:val="TableParagraph"/>
              <w:spacing w:before="56"/>
              <w:ind w:right="569"/>
              <w:rPr>
                <w:sz w:val="24"/>
              </w:rPr>
            </w:pPr>
            <w:r>
              <w:rPr>
                <w:sz w:val="24"/>
              </w:rPr>
              <w:t>19</w:t>
            </w:r>
          </w:p>
        </w:tc>
        <w:tc>
          <w:tcPr>
            <w:tcW w:w="1716" w:type="dxa"/>
            <w:tcBorders>
              <w:top w:val="nil"/>
              <w:left w:val="nil"/>
              <w:bottom w:val="nil"/>
              <w:right w:val="nil"/>
            </w:tcBorders>
          </w:tcPr>
          <w:p>
            <w:pPr>
              <w:pStyle w:val="TableParagraph"/>
              <w:spacing w:before="56"/>
              <w:ind w:right="331"/>
              <w:rPr>
                <w:sz w:val="24"/>
              </w:rPr>
            </w:pPr>
            <w:r>
              <w:rPr>
                <w:w w:val="99"/>
                <w:sz w:val="24"/>
              </w:rPr>
              <w:t>1</w:t>
            </w:r>
          </w:p>
        </w:tc>
        <w:tc>
          <w:tcPr>
            <w:tcW w:w="1186" w:type="dxa"/>
            <w:tcBorders>
              <w:top w:val="nil"/>
              <w:left w:val="nil"/>
              <w:bottom w:val="nil"/>
              <w:right w:val="nil"/>
            </w:tcBorders>
          </w:tcPr>
          <w:p>
            <w:pPr>
              <w:pStyle w:val="TableParagraph"/>
              <w:spacing w:before="56"/>
              <w:ind w:right="494"/>
              <w:rPr>
                <w:sz w:val="24"/>
              </w:rPr>
            </w:pPr>
            <w:r>
              <w:rPr>
                <w:w w:val="99"/>
                <w:sz w:val="24"/>
              </w:rPr>
              <w:t>1</w:t>
            </w:r>
          </w:p>
        </w:tc>
        <w:tc>
          <w:tcPr>
            <w:tcW w:w="1094" w:type="dxa"/>
            <w:tcBorders>
              <w:top w:val="nil"/>
              <w:left w:val="nil"/>
              <w:bottom w:val="nil"/>
              <w:right w:val="nil"/>
            </w:tcBorders>
          </w:tcPr>
          <w:p>
            <w:pPr>
              <w:pStyle w:val="TableParagraph"/>
              <w:spacing w:before="56"/>
              <w:ind w:right="65"/>
              <w:rPr>
                <w:sz w:val="24"/>
              </w:rPr>
            </w:pPr>
            <w:r>
              <w:rPr>
                <w:sz w:val="24"/>
              </w:rPr>
              <w:t>21</w:t>
            </w:r>
          </w:p>
        </w:tc>
      </w:tr>
      <w:tr>
        <w:trPr>
          <w:trHeight w:val="415" w:hRule="exact"/>
        </w:trPr>
        <w:tc>
          <w:tcPr>
            <w:tcW w:w="2280" w:type="dxa"/>
            <w:tcBorders>
              <w:top w:val="nil"/>
              <w:left w:val="nil"/>
              <w:bottom w:val="nil"/>
              <w:right w:val="nil"/>
            </w:tcBorders>
          </w:tcPr>
          <w:p>
            <w:pPr>
              <w:pStyle w:val="TableParagraph"/>
              <w:ind w:left="71"/>
              <w:jc w:val="left"/>
              <w:rPr>
                <w:sz w:val="24"/>
              </w:rPr>
            </w:pPr>
            <w:r>
              <w:rPr>
                <w:sz w:val="24"/>
              </w:rPr>
              <w:t>GTO</w:t>
            </w:r>
          </w:p>
        </w:tc>
        <w:tc>
          <w:tcPr>
            <w:tcW w:w="2992" w:type="dxa"/>
            <w:tcBorders>
              <w:top w:val="nil"/>
              <w:left w:val="nil"/>
              <w:bottom w:val="nil"/>
              <w:right w:val="nil"/>
            </w:tcBorders>
          </w:tcPr>
          <w:p>
            <w:pPr>
              <w:pStyle w:val="TableParagraph"/>
              <w:ind w:right="569"/>
              <w:rPr>
                <w:sz w:val="24"/>
              </w:rPr>
            </w:pPr>
            <w:r>
              <w:rPr>
                <w:sz w:val="24"/>
              </w:rPr>
              <w:t>37</w:t>
            </w:r>
          </w:p>
        </w:tc>
        <w:tc>
          <w:tcPr>
            <w:tcW w:w="1716" w:type="dxa"/>
            <w:tcBorders>
              <w:top w:val="nil"/>
              <w:left w:val="nil"/>
              <w:bottom w:val="nil"/>
              <w:right w:val="nil"/>
            </w:tcBorders>
          </w:tcPr>
          <w:p>
            <w:pPr>
              <w:pStyle w:val="TableParagraph"/>
              <w:ind w:right="330"/>
              <w:rPr>
                <w:sz w:val="24"/>
              </w:rPr>
            </w:pPr>
            <w:r>
              <w:rPr>
                <w:sz w:val="24"/>
              </w:rPr>
              <w:t>10</w:t>
            </w:r>
          </w:p>
        </w:tc>
        <w:tc>
          <w:tcPr>
            <w:tcW w:w="1186" w:type="dxa"/>
            <w:tcBorders>
              <w:top w:val="nil"/>
              <w:left w:val="nil"/>
              <w:bottom w:val="nil"/>
              <w:right w:val="nil"/>
            </w:tcBorders>
          </w:tcPr>
          <w:p>
            <w:pPr>
              <w:pStyle w:val="TableParagraph"/>
              <w:ind w:right="494"/>
              <w:rPr>
                <w:sz w:val="24"/>
              </w:rPr>
            </w:pPr>
            <w:r>
              <w:rPr>
                <w:w w:val="99"/>
                <w:sz w:val="24"/>
              </w:rPr>
              <w:t>7</w:t>
            </w:r>
          </w:p>
        </w:tc>
        <w:tc>
          <w:tcPr>
            <w:tcW w:w="1094" w:type="dxa"/>
            <w:tcBorders>
              <w:top w:val="nil"/>
              <w:left w:val="nil"/>
              <w:bottom w:val="nil"/>
              <w:right w:val="nil"/>
            </w:tcBorders>
          </w:tcPr>
          <w:p>
            <w:pPr>
              <w:pStyle w:val="TableParagraph"/>
              <w:ind w:right="65"/>
              <w:rPr>
                <w:sz w:val="24"/>
              </w:rPr>
            </w:pPr>
            <w:r>
              <w:rPr>
                <w:sz w:val="24"/>
              </w:rPr>
              <w:t>54</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GRO</w:t>
            </w:r>
          </w:p>
        </w:tc>
        <w:tc>
          <w:tcPr>
            <w:tcW w:w="2992" w:type="dxa"/>
            <w:tcBorders>
              <w:top w:val="nil"/>
              <w:left w:val="nil"/>
              <w:bottom w:val="nil"/>
              <w:right w:val="nil"/>
            </w:tcBorders>
          </w:tcPr>
          <w:p>
            <w:pPr>
              <w:pStyle w:val="TableParagraph"/>
              <w:spacing w:before="58"/>
              <w:ind w:right="569"/>
              <w:rPr>
                <w:sz w:val="24"/>
              </w:rPr>
            </w:pPr>
            <w:r>
              <w:rPr>
                <w:sz w:val="24"/>
              </w:rPr>
              <w:t>39</w:t>
            </w:r>
          </w:p>
        </w:tc>
        <w:tc>
          <w:tcPr>
            <w:tcW w:w="1716" w:type="dxa"/>
            <w:tcBorders>
              <w:top w:val="nil"/>
              <w:left w:val="nil"/>
              <w:bottom w:val="nil"/>
              <w:right w:val="nil"/>
            </w:tcBorders>
          </w:tcPr>
          <w:p>
            <w:pPr>
              <w:pStyle w:val="TableParagraph"/>
              <w:spacing w:before="58"/>
              <w:ind w:right="331"/>
              <w:rPr>
                <w:sz w:val="24"/>
              </w:rPr>
            </w:pPr>
            <w:r>
              <w:rPr>
                <w:w w:val="99"/>
                <w:sz w:val="24"/>
              </w:rPr>
              <w:t>0</w:t>
            </w:r>
          </w:p>
        </w:tc>
        <w:tc>
          <w:tcPr>
            <w:tcW w:w="1186" w:type="dxa"/>
            <w:tcBorders>
              <w:top w:val="nil"/>
              <w:left w:val="nil"/>
              <w:bottom w:val="nil"/>
              <w:right w:val="nil"/>
            </w:tcBorders>
          </w:tcPr>
          <w:p>
            <w:pPr>
              <w:pStyle w:val="TableParagraph"/>
              <w:spacing w:before="58"/>
              <w:ind w:right="494"/>
              <w:rPr>
                <w:sz w:val="24"/>
              </w:rPr>
            </w:pPr>
            <w:r>
              <w:rPr>
                <w:w w:val="99"/>
                <w:sz w:val="24"/>
              </w:rPr>
              <w:t>0</w:t>
            </w:r>
          </w:p>
        </w:tc>
        <w:tc>
          <w:tcPr>
            <w:tcW w:w="1094" w:type="dxa"/>
            <w:tcBorders>
              <w:top w:val="nil"/>
              <w:left w:val="nil"/>
              <w:bottom w:val="nil"/>
              <w:right w:val="nil"/>
            </w:tcBorders>
          </w:tcPr>
          <w:p>
            <w:pPr>
              <w:pStyle w:val="TableParagraph"/>
              <w:spacing w:before="58"/>
              <w:ind w:right="65"/>
              <w:rPr>
                <w:sz w:val="24"/>
              </w:rPr>
            </w:pPr>
            <w:r>
              <w:rPr>
                <w:sz w:val="24"/>
              </w:rPr>
              <w:t>39</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HGO</w:t>
            </w:r>
          </w:p>
        </w:tc>
        <w:tc>
          <w:tcPr>
            <w:tcW w:w="2992" w:type="dxa"/>
            <w:tcBorders>
              <w:top w:val="nil"/>
              <w:left w:val="nil"/>
              <w:bottom w:val="nil"/>
              <w:right w:val="nil"/>
            </w:tcBorders>
          </w:tcPr>
          <w:p>
            <w:pPr>
              <w:pStyle w:val="TableParagraph"/>
              <w:ind w:right="569"/>
              <w:rPr>
                <w:sz w:val="24"/>
              </w:rPr>
            </w:pPr>
            <w:r>
              <w:rPr>
                <w:sz w:val="24"/>
              </w:rPr>
              <w:t>23</w:t>
            </w:r>
          </w:p>
        </w:tc>
        <w:tc>
          <w:tcPr>
            <w:tcW w:w="1716" w:type="dxa"/>
            <w:tcBorders>
              <w:top w:val="nil"/>
              <w:left w:val="nil"/>
              <w:bottom w:val="nil"/>
              <w:right w:val="nil"/>
            </w:tcBorders>
          </w:tcPr>
          <w:p>
            <w:pPr>
              <w:pStyle w:val="TableParagraph"/>
              <w:ind w:right="330"/>
              <w:rPr>
                <w:sz w:val="24"/>
              </w:rPr>
            </w:pPr>
            <w:r>
              <w:rPr>
                <w:sz w:val="24"/>
              </w:rPr>
              <w:t>12</w:t>
            </w:r>
          </w:p>
        </w:tc>
        <w:tc>
          <w:tcPr>
            <w:tcW w:w="1186" w:type="dxa"/>
            <w:tcBorders>
              <w:top w:val="nil"/>
              <w:left w:val="nil"/>
              <w:bottom w:val="nil"/>
              <w:right w:val="nil"/>
            </w:tcBorders>
          </w:tcPr>
          <w:p>
            <w:pPr>
              <w:pStyle w:val="TableParagraph"/>
              <w:ind w:right="494"/>
              <w:rPr>
                <w:sz w:val="24"/>
              </w:rPr>
            </w:pPr>
            <w:r>
              <w:rPr>
                <w:w w:val="99"/>
                <w:sz w:val="24"/>
              </w:rPr>
              <w:t>2</w:t>
            </w:r>
          </w:p>
        </w:tc>
        <w:tc>
          <w:tcPr>
            <w:tcW w:w="1094" w:type="dxa"/>
            <w:tcBorders>
              <w:top w:val="nil"/>
              <w:left w:val="nil"/>
              <w:bottom w:val="nil"/>
              <w:right w:val="nil"/>
            </w:tcBorders>
          </w:tcPr>
          <w:p>
            <w:pPr>
              <w:pStyle w:val="TableParagraph"/>
              <w:ind w:right="65"/>
              <w:rPr>
                <w:sz w:val="24"/>
              </w:rPr>
            </w:pPr>
            <w:r>
              <w:rPr>
                <w:sz w:val="24"/>
              </w:rPr>
              <w:t>37</w:t>
            </w:r>
          </w:p>
        </w:tc>
      </w:tr>
      <w:tr>
        <w:trPr>
          <w:trHeight w:val="413" w:hRule="exact"/>
        </w:trPr>
        <w:tc>
          <w:tcPr>
            <w:tcW w:w="2280" w:type="dxa"/>
            <w:tcBorders>
              <w:top w:val="nil"/>
              <w:left w:val="nil"/>
              <w:bottom w:val="nil"/>
              <w:right w:val="nil"/>
            </w:tcBorders>
          </w:tcPr>
          <w:p>
            <w:pPr>
              <w:pStyle w:val="TableParagraph"/>
              <w:spacing w:before="56"/>
              <w:ind w:left="71"/>
              <w:jc w:val="left"/>
              <w:rPr>
                <w:sz w:val="24"/>
              </w:rPr>
            </w:pPr>
            <w:r>
              <w:rPr>
                <w:sz w:val="24"/>
              </w:rPr>
              <w:t>JAL</w:t>
            </w:r>
          </w:p>
        </w:tc>
        <w:tc>
          <w:tcPr>
            <w:tcW w:w="2992" w:type="dxa"/>
            <w:tcBorders>
              <w:top w:val="nil"/>
              <w:left w:val="nil"/>
              <w:bottom w:val="nil"/>
              <w:right w:val="nil"/>
            </w:tcBorders>
          </w:tcPr>
          <w:p>
            <w:pPr>
              <w:pStyle w:val="TableParagraph"/>
              <w:spacing w:before="56"/>
              <w:ind w:right="564"/>
              <w:rPr>
                <w:sz w:val="24"/>
              </w:rPr>
            </w:pPr>
            <w:r>
              <w:rPr>
                <w:w w:val="95"/>
                <w:sz w:val="24"/>
              </w:rPr>
              <w:t>129</w:t>
            </w:r>
          </w:p>
        </w:tc>
        <w:tc>
          <w:tcPr>
            <w:tcW w:w="1716" w:type="dxa"/>
            <w:tcBorders>
              <w:top w:val="nil"/>
              <w:left w:val="nil"/>
              <w:bottom w:val="nil"/>
              <w:right w:val="nil"/>
            </w:tcBorders>
          </w:tcPr>
          <w:p>
            <w:pPr>
              <w:pStyle w:val="TableParagraph"/>
              <w:spacing w:before="56"/>
              <w:ind w:right="330"/>
              <w:rPr>
                <w:sz w:val="24"/>
              </w:rPr>
            </w:pPr>
            <w:r>
              <w:rPr>
                <w:sz w:val="24"/>
              </w:rPr>
              <w:t>15</w:t>
            </w:r>
          </w:p>
        </w:tc>
        <w:tc>
          <w:tcPr>
            <w:tcW w:w="1186" w:type="dxa"/>
            <w:tcBorders>
              <w:top w:val="nil"/>
              <w:left w:val="nil"/>
              <w:bottom w:val="nil"/>
              <w:right w:val="nil"/>
            </w:tcBorders>
          </w:tcPr>
          <w:p>
            <w:pPr>
              <w:pStyle w:val="TableParagraph"/>
              <w:spacing w:before="56"/>
              <w:ind w:right="494"/>
              <w:rPr>
                <w:sz w:val="24"/>
              </w:rPr>
            </w:pPr>
            <w:r>
              <w:rPr>
                <w:w w:val="99"/>
                <w:sz w:val="24"/>
              </w:rPr>
              <w:t>4</w:t>
            </w:r>
          </w:p>
        </w:tc>
        <w:tc>
          <w:tcPr>
            <w:tcW w:w="1094" w:type="dxa"/>
            <w:tcBorders>
              <w:top w:val="nil"/>
              <w:left w:val="nil"/>
              <w:bottom w:val="nil"/>
              <w:right w:val="nil"/>
            </w:tcBorders>
          </w:tcPr>
          <w:p>
            <w:pPr>
              <w:pStyle w:val="TableParagraph"/>
              <w:spacing w:before="56"/>
              <w:ind w:right="60"/>
              <w:rPr>
                <w:sz w:val="24"/>
              </w:rPr>
            </w:pPr>
            <w:r>
              <w:rPr>
                <w:w w:val="95"/>
                <w:sz w:val="24"/>
              </w:rPr>
              <w:t>148</w:t>
            </w:r>
          </w:p>
        </w:tc>
      </w:tr>
      <w:tr>
        <w:trPr>
          <w:trHeight w:val="415" w:hRule="exact"/>
        </w:trPr>
        <w:tc>
          <w:tcPr>
            <w:tcW w:w="2280" w:type="dxa"/>
            <w:tcBorders>
              <w:top w:val="nil"/>
              <w:left w:val="nil"/>
              <w:bottom w:val="nil"/>
              <w:right w:val="nil"/>
            </w:tcBorders>
          </w:tcPr>
          <w:p>
            <w:pPr>
              <w:pStyle w:val="TableParagraph"/>
              <w:ind w:left="71"/>
              <w:jc w:val="left"/>
              <w:rPr>
                <w:sz w:val="24"/>
              </w:rPr>
            </w:pPr>
            <w:r>
              <w:rPr>
                <w:sz w:val="24"/>
              </w:rPr>
              <w:t>EMÉX</w:t>
            </w:r>
          </w:p>
        </w:tc>
        <w:tc>
          <w:tcPr>
            <w:tcW w:w="2992" w:type="dxa"/>
            <w:tcBorders>
              <w:top w:val="nil"/>
              <w:left w:val="nil"/>
              <w:bottom w:val="nil"/>
              <w:right w:val="nil"/>
            </w:tcBorders>
          </w:tcPr>
          <w:p>
            <w:pPr>
              <w:pStyle w:val="TableParagraph"/>
              <w:ind w:right="569"/>
              <w:rPr>
                <w:sz w:val="24"/>
              </w:rPr>
            </w:pPr>
            <w:r>
              <w:rPr>
                <w:sz w:val="24"/>
              </w:rPr>
              <w:t>41</w:t>
            </w:r>
          </w:p>
        </w:tc>
        <w:tc>
          <w:tcPr>
            <w:tcW w:w="1716" w:type="dxa"/>
            <w:tcBorders>
              <w:top w:val="nil"/>
              <w:left w:val="nil"/>
              <w:bottom w:val="nil"/>
              <w:right w:val="nil"/>
            </w:tcBorders>
          </w:tcPr>
          <w:p>
            <w:pPr>
              <w:pStyle w:val="TableParagraph"/>
              <w:ind w:right="330"/>
              <w:rPr>
                <w:sz w:val="24"/>
              </w:rPr>
            </w:pPr>
            <w:r>
              <w:rPr>
                <w:sz w:val="24"/>
              </w:rPr>
              <w:t>18</w:t>
            </w:r>
          </w:p>
        </w:tc>
        <w:tc>
          <w:tcPr>
            <w:tcW w:w="1186" w:type="dxa"/>
            <w:tcBorders>
              <w:top w:val="nil"/>
              <w:left w:val="nil"/>
              <w:bottom w:val="nil"/>
              <w:right w:val="nil"/>
            </w:tcBorders>
          </w:tcPr>
          <w:p>
            <w:pPr>
              <w:pStyle w:val="TableParagraph"/>
              <w:ind w:right="494"/>
              <w:rPr>
                <w:sz w:val="24"/>
              </w:rPr>
            </w:pPr>
            <w:r>
              <w:rPr>
                <w:w w:val="99"/>
                <w:sz w:val="24"/>
              </w:rPr>
              <w:t>5</w:t>
            </w:r>
          </w:p>
        </w:tc>
        <w:tc>
          <w:tcPr>
            <w:tcW w:w="1094" w:type="dxa"/>
            <w:tcBorders>
              <w:top w:val="nil"/>
              <w:left w:val="nil"/>
              <w:bottom w:val="nil"/>
              <w:right w:val="nil"/>
            </w:tcBorders>
          </w:tcPr>
          <w:p>
            <w:pPr>
              <w:pStyle w:val="TableParagraph"/>
              <w:ind w:right="65"/>
              <w:rPr>
                <w:sz w:val="24"/>
              </w:rPr>
            </w:pPr>
            <w:r>
              <w:rPr>
                <w:sz w:val="24"/>
              </w:rPr>
              <w:t>64</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MICH</w:t>
            </w:r>
          </w:p>
        </w:tc>
        <w:tc>
          <w:tcPr>
            <w:tcW w:w="2992" w:type="dxa"/>
            <w:tcBorders>
              <w:top w:val="nil"/>
              <w:left w:val="nil"/>
              <w:bottom w:val="nil"/>
              <w:right w:val="nil"/>
            </w:tcBorders>
          </w:tcPr>
          <w:p>
            <w:pPr>
              <w:pStyle w:val="TableParagraph"/>
              <w:spacing w:before="58"/>
              <w:ind w:right="564"/>
              <w:rPr>
                <w:sz w:val="24"/>
              </w:rPr>
            </w:pPr>
            <w:r>
              <w:rPr>
                <w:w w:val="95"/>
                <w:sz w:val="24"/>
              </w:rPr>
              <w:t>100</w:t>
            </w:r>
          </w:p>
        </w:tc>
        <w:tc>
          <w:tcPr>
            <w:tcW w:w="1716" w:type="dxa"/>
            <w:tcBorders>
              <w:top w:val="nil"/>
              <w:left w:val="nil"/>
              <w:bottom w:val="nil"/>
              <w:right w:val="nil"/>
            </w:tcBorders>
          </w:tcPr>
          <w:p>
            <w:pPr>
              <w:pStyle w:val="TableParagraph"/>
              <w:spacing w:before="58"/>
              <w:ind w:right="331"/>
              <w:rPr>
                <w:sz w:val="24"/>
              </w:rPr>
            </w:pPr>
            <w:r>
              <w:rPr>
                <w:w w:val="99"/>
                <w:sz w:val="24"/>
              </w:rPr>
              <w:t>7</w:t>
            </w:r>
          </w:p>
        </w:tc>
        <w:tc>
          <w:tcPr>
            <w:tcW w:w="1186" w:type="dxa"/>
            <w:tcBorders>
              <w:top w:val="nil"/>
              <w:left w:val="nil"/>
              <w:bottom w:val="nil"/>
              <w:right w:val="nil"/>
            </w:tcBorders>
          </w:tcPr>
          <w:p>
            <w:pPr>
              <w:pStyle w:val="TableParagraph"/>
              <w:spacing w:before="58"/>
              <w:ind w:right="494"/>
              <w:rPr>
                <w:sz w:val="24"/>
              </w:rPr>
            </w:pPr>
            <w:r>
              <w:rPr>
                <w:w w:val="99"/>
                <w:sz w:val="24"/>
              </w:rPr>
              <w:t>0</w:t>
            </w:r>
          </w:p>
        </w:tc>
        <w:tc>
          <w:tcPr>
            <w:tcW w:w="1094" w:type="dxa"/>
            <w:tcBorders>
              <w:top w:val="nil"/>
              <w:left w:val="nil"/>
              <w:bottom w:val="nil"/>
              <w:right w:val="nil"/>
            </w:tcBorders>
          </w:tcPr>
          <w:p>
            <w:pPr>
              <w:pStyle w:val="TableParagraph"/>
              <w:spacing w:before="58"/>
              <w:ind w:right="60"/>
              <w:rPr>
                <w:sz w:val="24"/>
              </w:rPr>
            </w:pPr>
            <w:r>
              <w:rPr>
                <w:w w:val="95"/>
                <w:sz w:val="24"/>
              </w:rPr>
              <w:t>107</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MOR</w:t>
            </w:r>
          </w:p>
        </w:tc>
        <w:tc>
          <w:tcPr>
            <w:tcW w:w="2992" w:type="dxa"/>
            <w:tcBorders>
              <w:top w:val="nil"/>
              <w:left w:val="nil"/>
              <w:bottom w:val="nil"/>
              <w:right w:val="nil"/>
            </w:tcBorders>
          </w:tcPr>
          <w:p>
            <w:pPr>
              <w:pStyle w:val="TableParagraph"/>
              <w:ind w:right="569"/>
              <w:rPr>
                <w:sz w:val="24"/>
              </w:rPr>
            </w:pPr>
            <w:r>
              <w:rPr>
                <w:sz w:val="24"/>
              </w:rPr>
              <w:t>20</w:t>
            </w:r>
          </w:p>
        </w:tc>
        <w:tc>
          <w:tcPr>
            <w:tcW w:w="1716" w:type="dxa"/>
            <w:tcBorders>
              <w:top w:val="nil"/>
              <w:left w:val="nil"/>
              <w:bottom w:val="nil"/>
              <w:right w:val="nil"/>
            </w:tcBorders>
          </w:tcPr>
          <w:p>
            <w:pPr>
              <w:pStyle w:val="TableParagraph"/>
              <w:ind w:right="331"/>
              <w:rPr>
                <w:sz w:val="24"/>
              </w:rPr>
            </w:pPr>
            <w:r>
              <w:rPr>
                <w:w w:val="99"/>
                <w:sz w:val="24"/>
              </w:rPr>
              <w:t>1</w:t>
            </w:r>
          </w:p>
        </w:tc>
        <w:tc>
          <w:tcPr>
            <w:tcW w:w="1186" w:type="dxa"/>
            <w:tcBorders>
              <w:top w:val="nil"/>
              <w:left w:val="nil"/>
              <w:bottom w:val="nil"/>
              <w:right w:val="nil"/>
            </w:tcBorders>
          </w:tcPr>
          <w:p>
            <w:pPr>
              <w:pStyle w:val="TableParagraph"/>
              <w:ind w:right="494"/>
              <w:rPr>
                <w:sz w:val="24"/>
              </w:rPr>
            </w:pPr>
            <w:r>
              <w:rPr>
                <w:w w:val="99"/>
                <w:sz w:val="24"/>
              </w:rPr>
              <w:t>0</w:t>
            </w:r>
          </w:p>
        </w:tc>
        <w:tc>
          <w:tcPr>
            <w:tcW w:w="1094" w:type="dxa"/>
            <w:tcBorders>
              <w:top w:val="nil"/>
              <w:left w:val="nil"/>
              <w:bottom w:val="nil"/>
              <w:right w:val="nil"/>
            </w:tcBorders>
          </w:tcPr>
          <w:p>
            <w:pPr>
              <w:pStyle w:val="TableParagraph"/>
              <w:ind w:right="65"/>
              <w:rPr>
                <w:sz w:val="24"/>
              </w:rPr>
            </w:pPr>
            <w:r>
              <w:rPr>
                <w:sz w:val="24"/>
              </w:rPr>
              <w:t>21</w:t>
            </w:r>
          </w:p>
        </w:tc>
      </w:tr>
      <w:tr>
        <w:trPr>
          <w:trHeight w:val="413" w:hRule="exact"/>
        </w:trPr>
        <w:tc>
          <w:tcPr>
            <w:tcW w:w="2280" w:type="dxa"/>
            <w:tcBorders>
              <w:top w:val="nil"/>
              <w:left w:val="nil"/>
              <w:bottom w:val="nil"/>
              <w:right w:val="nil"/>
            </w:tcBorders>
          </w:tcPr>
          <w:p>
            <w:pPr>
              <w:pStyle w:val="TableParagraph"/>
              <w:spacing w:before="56"/>
              <w:ind w:left="71"/>
              <w:jc w:val="left"/>
              <w:rPr>
                <w:sz w:val="24"/>
              </w:rPr>
            </w:pPr>
            <w:r>
              <w:rPr>
                <w:sz w:val="24"/>
              </w:rPr>
              <w:t>NL</w:t>
            </w:r>
          </w:p>
        </w:tc>
        <w:tc>
          <w:tcPr>
            <w:tcW w:w="2992" w:type="dxa"/>
            <w:tcBorders>
              <w:top w:val="nil"/>
              <w:left w:val="nil"/>
              <w:bottom w:val="nil"/>
              <w:right w:val="nil"/>
            </w:tcBorders>
          </w:tcPr>
          <w:p>
            <w:pPr>
              <w:pStyle w:val="TableParagraph"/>
              <w:spacing w:before="56"/>
              <w:ind w:right="569"/>
              <w:rPr>
                <w:sz w:val="24"/>
              </w:rPr>
            </w:pPr>
            <w:r>
              <w:rPr>
                <w:sz w:val="24"/>
              </w:rPr>
              <w:t>35</w:t>
            </w:r>
          </w:p>
        </w:tc>
        <w:tc>
          <w:tcPr>
            <w:tcW w:w="1716" w:type="dxa"/>
            <w:tcBorders>
              <w:top w:val="nil"/>
              <w:left w:val="nil"/>
              <w:bottom w:val="nil"/>
              <w:right w:val="nil"/>
            </w:tcBorders>
          </w:tcPr>
          <w:p>
            <w:pPr>
              <w:pStyle w:val="TableParagraph"/>
              <w:spacing w:before="56"/>
              <w:ind w:right="331"/>
              <w:rPr>
                <w:sz w:val="24"/>
              </w:rPr>
            </w:pPr>
            <w:r>
              <w:rPr>
                <w:w w:val="99"/>
                <w:sz w:val="24"/>
              </w:rPr>
              <w:t>0</w:t>
            </w:r>
          </w:p>
        </w:tc>
        <w:tc>
          <w:tcPr>
            <w:tcW w:w="1186" w:type="dxa"/>
            <w:tcBorders>
              <w:top w:val="nil"/>
              <w:left w:val="nil"/>
              <w:bottom w:val="nil"/>
              <w:right w:val="nil"/>
            </w:tcBorders>
          </w:tcPr>
          <w:p>
            <w:pPr>
              <w:pStyle w:val="TableParagraph"/>
              <w:spacing w:before="56"/>
              <w:ind w:right="493"/>
              <w:rPr>
                <w:sz w:val="24"/>
              </w:rPr>
            </w:pPr>
            <w:r>
              <w:rPr>
                <w:sz w:val="24"/>
              </w:rPr>
              <w:t>11</w:t>
            </w:r>
          </w:p>
        </w:tc>
        <w:tc>
          <w:tcPr>
            <w:tcW w:w="1094" w:type="dxa"/>
            <w:tcBorders>
              <w:top w:val="nil"/>
              <w:left w:val="nil"/>
              <w:bottom w:val="nil"/>
              <w:right w:val="nil"/>
            </w:tcBorders>
          </w:tcPr>
          <w:p>
            <w:pPr>
              <w:pStyle w:val="TableParagraph"/>
              <w:spacing w:before="56"/>
              <w:ind w:right="65"/>
              <w:rPr>
                <w:sz w:val="24"/>
              </w:rPr>
            </w:pPr>
            <w:r>
              <w:rPr>
                <w:sz w:val="24"/>
              </w:rPr>
              <w:t>46</w:t>
            </w:r>
          </w:p>
        </w:tc>
      </w:tr>
      <w:tr>
        <w:trPr>
          <w:trHeight w:val="415" w:hRule="exact"/>
        </w:trPr>
        <w:tc>
          <w:tcPr>
            <w:tcW w:w="2280" w:type="dxa"/>
            <w:tcBorders>
              <w:top w:val="nil"/>
              <w:left w:val="nil"/>
              <w:bottom w:val="nil"/>
              <w:right w:val="nil"/>
            </w:tcBorders>
          </w:tcPr>
          <w:p>
            <w:pPr>
              <w:pStyle w:val="TableParagraph"/>
              <w:ind w:left="71"/>
              <w:jc w:val="left"/>
              <w:rPr>
                <w:sz w:val="24"/>
              </w:rPr>
            </w:pPr>
            <w:r>
              <w:rPr>
                <w:sz w:val="24"/>
              </w:rPr>
              <w:t>NAY</w:t>
            </w:r>
          </w:p>
        </w:tc>
        <w:tc>
          <w:tcPr>
            <w:tcW w:w="2992" w:type="dxa"/>
            <w:tcBorders>
              <w:top w:val="nil"/>
              <w:left w:val="nil"/>
              <w:bottom w:val="nil"/>
              <w:right w:val="nil"/>
            </w:tcBorders>
          </w:tcPr>
          <w:p>
            <w:pPr>
              <w:pStyle w:val="TableParagraph"/>
              <w:ind w:right="569"/>
              <w:rPr>
                <w:sz w:val="24"/>
              </w:rPr>
            </w:pPr>
            <w:r>
              <w:rPr>
                <w:sz w:val="24"/>
              </w:rPr>
              <w:t>19</w:t>
            </w:r>
          </w:p>
        </w:tc>
        <w:tc>
          <w:tcPr>
            <w:tcW w:w="1716" w:type="dxa"/>
            <w:tcBorders>
              <w:top w:val="nil"/>
              <w:left w:val="nil"/>
              <w:bottom w:val="nil"/>
              <w:right w:val="nil"/>
            </w:tcBorders>
          </w:tcPr>
          <w:p>
            <w:pPr>
              <w:pStyle w:val="TableParagraph"/>
              <w:ind w:right="331"/>
              <w:rPr>
                <w:sz w:val="24"/>
              </w:rPr>
            </w:pPr>
            <w:r>
              <w:rPr>
                <w:w w:val="99"/>
                <w:sz w:val="24"/>
              </w:rPr>
              <w:t>2</w:t>
            </w:r>
          </w:p>
        </w:tc>
        <w:tc>
          <w:tcPr>
            <w:tcW w:w="1186" w:type="dxa"/>
            <w:tcBorders>
              <w:top w:val="nil"/>
              <w:left w:val="nil"/>
              <w:bottom w:val="nil"/>
              <w:right w:val="nil"/>
            </w:tcBorders>
          </w:tcPr>
          <w:p>
            <w:pPr>
              <w:pStyle w:val="TableParagraph"/>
              <w:ind w:right="494"/>
              <w:rPr>
                <w:sz w:val="24"/>
              </w:rPr>
            </w:pPr>
            <w:r>
              <w:rPr>
                <w:w w:val="99"/>
                <w:sz w:val="24"/>
              </w:rPr>
              <w:t>1</w:t>
            </w:r>
          </w:p>
        </w:tc>
        <w:tc>
          <w:tcPr>
            <w:tcW w:w="1094" w:type="dxa"/>
            <w:tcBorders>
              <w:top w:val="nil"/>
              <w:left w:val="nil"/>
              <w:bottom w:val="nil"/>
              <w:right w:val="nil"/>
            </w:tcBorders>
          </w:tcPr>
          <w:p>
            <w:pPr>
              <w:pStyle w:val="TableParagraph"/>
              <w:ind w:right="65"/>
              <w:rPr>
                <w:sz w:val="24"/>
              </w:rPr>
            </w:pPr>
            <w:r>
              <w:rPr>
                <w:sz w:val="24"/>
              </w:rPr>
              <w:t>22</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OAX</w:t>
            </w:r>
          </w:p>
        </w:tc>
        <w:tc>
          <w:tcPr>
            <w:tcW w:w="2992" w:type="dxa"/>
            <w:tcBorders>
              <w:top w:val="nil"/>
              <w:left w:val="nil"/>
              <w:bottom w:val="nil"/>
              <w:right w:val="nil"/>
            </w:tcBorders>
          </w:tcPr>
          <w:p>
            <w:pPr>
              <w:pStyle w:val="TableParagraph"/>
              <w:spacing w:before="58"/>
              <w:ind w:right="569"/>
              <w:rPr>
                <w:sz w:val="24"/>
              </w:rPr>
            </w:pPr>
            <w:r>
              <w:rPr>
                <w:sz w:val="24"/>
              </w:rPr>
              <w:t>10</w:t>
            </w:r>
          </w:p>
        </w:tc>
        <w:tc>
          <w:tcPr>
            <w:tcW w:w="1716" w:type="dxa"/>
            <w:tcBorders>
              <w:top w:val="nil"/>
              <w:left w:val="nil"/>
              <w:bottom w:val="nil"/>
              <w:right w:val="nil"/>
            </w:tcBorders>
          </w:tcPr>
          <w:p>
            <w:pPr>
              <w:pStyle w:val="TableParagraph"/>
              <w:spacing w:before="58"/>
              <w:ind w:right="331"/>
              <w:rPr>
                <w:sz w:val="24"/>
              </w:rPr>
            </w:pPr>
            <w:r>
              <w:rPr>
                <w:w w:val="99"/>
                <w:sz w:val="24"/>
              </w:rPr>
              <w:t>4</w:t>
            </w:r>
          </w:p>
        </w:tc>
        <w:tc>
          <w:tcPr>
            <w:tcW w:w="1186" w:type="dxa"/>
            <w:tcBorders>
              <w:top w:val="nil"/>
              <w:left w:val="nil"/>
              <w:bottom w:val="nil"/>
              <w:right w:val="nil"/>
            </w:tcBorders>
          </w:tcPr>
          <w:p>
            <w:pPr>
              <w:pStyle w:val="TableParagraph"/>
              <w:spacing w:before="58"/>
              <w:ind w:right="494"/>
              <w:rPr>
                <w:sz w:val="24"/>
              </w:rPr>
            </w:pPr>
            <w:r>
              <w:rPr>
                <w:w w:val="99"/>
                <w:sz w:val="24"/>
              </w:rPr>
              <w:t>0</w:t>
            </w:r>
          </w:p>
        </w:tc>
        <w:tc>
          <w:tcPr>
            <w:tcW w:w="1094" w:type="dxa"/>
            <w:tcBorders>
              <w:top w:val="nil"/>
              <w:left w:val="nil"/>
              <w:bottom w:val="nil"/>
              <w:right w:val="nil"/>
            </w:tcBorders>
          </w:tcPr>
          <w:p>
            <w:pPr>
              <w:pStyle w:val="TableParagraph"/>
              <w:spacing w:before="58"/>
              <w:ind w:right="65"/>
              <w:rPr>
                <w:sz w:val="24"/>
              </w:rPr>
            </w:pPr>
            <w:r>
              <w:rPr>
                <w:sz w:val="24"/>
              </w:rPr>
              <w:t>14</w:t>
            </w:r>
          </w:p>
        </w:tc>
      </w:tr>
      <w:tr>
        <w:trPr>
          <w:trHeight w:val="413" w:hRule="exact"/>
        </w:trPr>
        <w:tc>
          <w:tcPr>
            <w:tcW w:w="2280" w:type="dxa"/>
            <w:tcBorders>
              <w:top w:val="nil"/>
              <w:left w:val="nil"/>
              <w:bottom w:val="nil"/>
              <w:right w:val="nil"/>
            </w:tcBorders>
          </w:tcPr>
          <w:p>
            <w:pPr>
              <w:pStyle w:val="TableParagraph"/>
              <w:ind w:left="71"/>
              <w:jc w:val="left"/>
              <w:rPr>
                <w:sz w:val="24"/>
              </w:rPr>
            </w:pPr>
            <w:r>
              <w:rPr>
                <w:sz w:val="24"/>
              </w:rPr>
              <w:t>PUE</w:t>
            </w:r>
          </w:p>
        </w:tc>
        <w:tc>
          <w:tcPr>
            <w:tcW w:w="2992" w:type="dxa"/>
            <w:tcBorders>
              <w:top w:val="nil"/>
              <w:left w:val="nil"/>
              <w:bottom w:val="nil"/>
              <w:right w:val="nil"/>
            </w:tcBorders>
          </w:tcPr>
          <w:p>
            <w:pPr>
              <w:pStyle w:val="TableParagraph"/>
              <w:ind w:right="569"/>
              <w:rPr>
                <w:sz w:val="24"/>
              </w:rPr>
            </w:pPr>
            <w:r>
              <w:rPr>
                <w:sz w:val="24"/>
              </w:rPr>
              <w:t>13</w:t>
            </w:r>
          </w:p>
        </w:tc>
        <w:tc>
          <w:tcPr>
            <w:tcW w:w="1716" w:type="dxa"/>
            <w:tcBorders>
              <w:top w:val="nil"/>
              <w:left w:val="nil"/>
              <w:bottom w:val="nil"/>
              <w:right w:val="nil"/>
            </w:tcBorders>
          </w:tcPr>
          <w:p>
            <w:pPr>
              <w:pStyle w:val="TableParagraph"/>
              <w:ind w:right="331"/>
              <w:rPr>
                <w:sz w:val="24"/>
              </w:rPr>
            </w:pPr>
            <w:r>
              <w:rPr>
                <w:w w:val="99"/>
                <w:sz w:val="24"/>
              </w:rPr>
              <w:t>0</w:t>
            </w:r>
          </w:p>
        </w:tc>
        <w:tc>
          <w:tcPr>
            <w:tcW w:w="1186" w:type="dxa"/>
            <w:tcBorders>
              <w:top w:val="nil"/>
              <w:left w:val="nil"/>
              <w:bottom w:val="nil"/>
              <w:right w:val="nil"/>
            </w:tcBorders>
          </w:tcPr>
          <w:p>
            <w:pPr>
              <w:pStyle w:val="TableParagraph"/>
              <w:ind w:right="494"/>
              <w:rPr>
                <w:sz w:val="24"/>
              </w:rPr>
            </w:pPr>
            <w:r>
              <w:rPr>
                <w:w w:val="99"/>
                <w:sz w:val="24"/>
              </w:rPr>
              <w:t>4</w:t>
            </w:r>
          </w:p>
        </w:tc>
        <w:tc>
          <w:tcPr>
            <w:tcW w:w="1094" w:type="dxa"/>
            <w:tcBorders>
              <w:top w:val="nil"/>
              <w:left w:val="nil"/>
              <w:bottom w:val="nil"/>
              <w:right w:val="nil"/>
            </w:tcBorders>
          </w:tcPr>
          <w:p>
            <w:pPr>
              <w:pStyle w:val="TableParagraph"/>
              <w:ind w:right="65"/>
              <w:rPr>
                <w:sz w:val="24"/>
              </w:rPr>
            </w:pPr>
            <w:r>
              <w:rPr>
                <w:sz w:val="24"/>
              </w:rPr>
              <w:t>17</w:t>
            </w:r>
          </w:p>
        </w:tc>
      </w:tr>
      <w:tr>
        <w:trPr>
          <w:trHeight w:val="413" w:hRule="exact"/>
        </w:trPr>
        <w:tc>
          <w:tcPr>
            <w:tcW w:w="2280" w:type="dxa"/>
            <w:tcBorders>
              <w:top w:val="nil"/>
              <w:left w:val="nil"/>
              <w:bottom w:val="nil"/>
              <w:right w:val="nil"/>
            </w:tcBorders>
          </w:tcPr>
          <w:p>
            <w:pPr>
              <w:pStyle w:val="TableParagraph"/>
              <w:spacing w:before="56"/>
              <w:ind w:left="71"/>
              <w:jc w:val="left"/>
              <w:rPr>
                <w:sz w:val="24"/>
              </w:rPr>
            </w:pPr>
            <w:r>
              <w:rPr>
                <w:sz w:val="24"/>
              </w:rPr>
              <w:t>QRO</w:t>
            </w:r>
          </w:p>
        </w:tc>
        <w:tc>
          <w:tcPr>
            <w:tcW w:w="2992" w:type="dxa"/>
            <w:tcBorders>
              <w:top w:val="nil"/>
              <w:left w:val="nil"/>
              <w:bottom w:val="nil"/>
              <w:right w:val="nil"/>
            </w:tcBorders>
          </w:tcPr>
          <w:p>
            <w:pPr>
              <w:pStyle w:val="TableParagraph"/>
              <w:spacing w:before="56"/>
              <w:ind w:right="570"/>
              <w:rPr>
                <w:sz w:val="24"/>
              </w:rPr>
            </w:pPr>
            <w:r>
              <w:rPr>
                <w:w w:val="99"/>
                <w:sz w:val="24"/>
              </w:rPr>
              <w:t>8</w:t>
            </w:r>
          </w:p>
        </w:tc>
        <w:tc>
          <w:tcPr>
            <w:tcW w:w="1716" w:type="dxa"/>
            <w:tcBorders>
              <w:top w:val="nil"/>
              <w:left w:val="nil"/>
              <w:bottom w:val="nil"/>
              <w:right w:val="nil"/>
            </w:tcBorders>
          </w:tcPr>
          <w:p>
            <w:pPr>
              <w:pStyle w:val="TableParagraph"/>
              <w:spacing w:before="56"/>
              <w:ind w:right="331"/>
              <w:rPr>
                <w:sz w:val="24"/>
              </w:rPr>
            </w:pPr>
            <w:r>
              <w:rPr>
                <w:w w:val="99"/>
                <w:sz w:val="24"/>
              </w:rPr>
              <w:t>0</w:t>
            </w:r>
          </w:p>
        </w:tc>
        <w:tc>
          <w:tcPr>
            <w:tcW w:w="1186" w:type="dxa"/>
            <w:tcBorders>
              <w:top w:val="nil"/>
              <w:left w:val="nil"/>
              <w:bottom w:val="nil"/>
              <w:right w:val="nil"/>
            </w:tcBorders>
          </w:tcPr>
          <w:p>
            <w:pPr>
              <w:pStyle w:val="TableParagraph"/>
              <w:spacing w:before="56"/>
              <w:ind w:right="494"/>
              <w:rPr>
                <w:sz w:val="24"/>
              </w:rPr>
            </w:pPr>
            <w:r>
              <w:rPr>
                <w:w w:val="99"/>
                <w:sz w:val="24"/>
              </w:rPr>
              <w:t>0</w:t>
            </w:r>
          </w:p>
        </w:tc>
        <w:tc>
          <w:tcPr>
            <w:tcW w:w="1094" w:type="dxa"/>
            <w:tcBorders>
              <w:top w:val="nil"/>
              <w:left w:val="nil"/>
              <w:bottom w:val="nil"/>
              <w:right w:val="nil"/>
            </w:tcBorders>
          </w:tcPr>
          <w:p>
            <w:pPr>
              <w:pStyle w:val="TableParagraph"/>
              <w:spacing w:before="56"/>
              <w:ind w:right="66"/>
              <w:rPr>
                <w:sz w:val="24"/>
              </w:rPr>
            </w:pPr>
            <w:r>
              <w:rPr>
                <w:w w:val="99"/>
                <w:sz w:val="24"/>
              </w:rPr>
              <w:t>8</w:t>
            </w:r>
          </w:p>
        </w:tc>
      </w:tr>
      <w:tr>
        <w:trPr>
          <w:trHeight w:val="415" w:hRule="exact"/>
        </w:trPr>
        <w:tc>
          <w:tcPr>
            <w:tcW w:w="2280" w:type="dxa"/>
            <w:tcBorders>
              <w:top w:val="nil"/>
              <w:left w:val="nil"/>
              <w:bottom w:val="nil"/>
              <w:right w:val="nil"/>
            </w:tcBorders>
          </w:tcPr>
          <w:p>
            <w:pPr>
              <w:pStyle w:val="TableParagraph"/>
              <w:ind w:left="71"/>
              <w:jc w:val="left"/>
              <w:rPr>
                <w:sz w:val="24"/>
              </w:rPr>
            </w:pPr>
            <w:r>
              <w:rPr>
                <w:sz w:val="24"/>
              </w:rPr>
              <w:t>Q ROO</w:t>
            </w:r>
          </w:p>
        </w:tc>
        <w:tc>
          <w:tcPr>
            <w:tcW w:w="2992" w:type="dxa"/>
            <w:tcBorders>
              <w:top w:val="nil"/>
              <w:left w:val="nil"/>
              <w:bottom w:val="nil"/>
              <w:right w:val="nil"/>
            </w:tcBorders>
          </w:tcPr>
          <w:p>
            <w:pPr>
              <w:pStyle w:val="TableParagraph"/>
              <w:ind w:right="570"/>
              <w:rPr>
                <w:sz w:val="24"/>
              </w:rPr>
            </w:pPr>
            <w:r>
              <w:rPr>
                <w:w w:val="99"/>
                <w:sz w:val="24"/>
              </w:rPr>
              <w:t>7</w:t>
            </w:r>
          </w:p>
        </w:tc>
        <w:tc>
          <w:tcPr>
            <w:tcW w:w="1716" w:type="dxa"/>
            <w:tcBorders>
              <w:top w:val="nil"/>
              <w:left w:val="nil"/>
              <w:bottom w:val="nil"/>
              <w:right w:val="nil"/>
            </w:tcBorders>
          </w:tcPr>
          <w:p>
            <w:pPr>
              <w:pStyle w:val="TableParagraph"/>
              <w:ind w:right="331"/>
              <w:rPr>
                <w:sz w:val="24"/>
              </w:rPr>
            </w:pPr>
            <w:r>
              <w:rPr>
                <w:w w:val="99"/>
                <w:sz w:val="24"/>
              </w:rPr>
              <w:t>2</w:t>
            </w:r>
          </w:p>
        </w:tc>
        <w:tc>
          <w:tcPr>
            <w:tcW w:w="1186" w:type="dxa"/>
            <w:tcBorders>
              <w:top w:val="nil"/>
              <w:left w:val="nil"/>
              <w:bottom w:val="nil"/>
              <w:right w:val="nil"/>
            </w:tcBorders>
          </w:tcPr>
          <w:p>
            <w:pPr>
              <w:pStyle w:val="TableParagraph"/>
              <w:ind w:right="494"/>
              <w:rPr>
                <w:sz w:val="24"/>
              </w:rPr>
            </w:pPr>
            <w:r>
              <w:rPr>
                <w:w w:val="99"/>
                <w:sz w:val="24"/>
              </w:rPr>
              <w:t>0</w:t>
            </w:r>
          </w:p>
        </w:tc>
        <w:tc>
          <w:tcPr>
            <w:tcW w:w="1094" w:type="dxa"/>
            <w:tcBorders>
              <w:top w:val="nil"/>
              <w:left w:val="nil"/>
              <w:bottom w:val="nil"/>
              <w:right w:val="nil"/>
            </w:tcBorders>
          </w:tcPr>
          <w:p>
            <w:pPr>
              <w:pStyle w:val="TableParagraph"/>
              <w:ind w:right="66"/>
              <w:rPr>
                <w:sz w:val="24"/>
              </w:rPr>
            </w:pPr>
            <w:r>
              <w:rPr>
                <w:w w:val="99"/>
                <w:sz w:val="24"/>
              </w:rPr>
              <w:t>9</w:t>
            </w:r>
          </w:p>
        </w:tc>
      </w:tr>
      <w:tr>
        <w:trPr>
          <w:trHeight w:val="415" w:hRule="exact"/>
        </w:trPr>
        <w:tc>
          <w:tcPr>
            <w:tcW w:w="2280" w:type="dxa"/>
            <w:tcBorders>
              <w:top w:val="nil"/>
              <w:left w:val="nil"/>
              <w:bottom w:val="nil"/>
              <w:right w:val="nil"/>
            </w:tcBorders>
          </w:tcPr>
          <w:p>
            <w:pPr>
              <w:pStyle w:val="TableParagraph"/>
              <w:spacing w:before="58"/>
              <w:ind w:left="71"/>
              <w:jc w:val="left"/>
              <w:rPr>
                <w:sz w:val="24"/>
              </w:rPr>
            </w:pPr>
            <w:r>
              <w:rPr>
                <w:sz w:val="24"/>
              </w:rPr>
              <w:t>SLP</w:t>
            </w:r>
          </w:p>
        </w:tc>
        <w:tc>
          <w:tcPr>
            <w:tcW w:w="2992" w:type="dxa"/>
            <w:tcBorders>
              <w:top w:val="nil"/>
              <w:left w:val="nil"/>
              <w:bottom w:val="nil"/>
              <w:right w:val="nil"/>
            </w:tcBorders>
          </w:tcPr>
          <w:p>
            <w:pPr>
              <w:pStyle w:val="TableParagraph"/>
              <w:spacing w:before="58"/>
              <w:ind w:right="569"/>
              <w:rPr>
                <w:sz w:val="24"/>
              </w:rPr>
            </w:pPr>
            <w:r>
              <w:rPr>
                <w:sz w:val="24"/>
              </w:rPr>
              <w:t>28</w:t>
            </w:r>
          </w:p>
        </w:tc>
        <w:tc>
          <w:tcPr>
            <w:tcW w:w="1716" w:type="dxa"/>
            <w:tcBorders>
              <w:top w:val="nil"/>
              <w:left w:val="nil"/>
              <w:bottom w:val="nil"/>
              <w:right w:val="nil"/>
            </w:tcBorders>
          </w:tcPr>
          <w:p>
            <w:pPr>
              <w:pStyle w:val="TableParagraph"/>
              <w:spacing w:before="58"/>
              <w:ind w:right="331"/>
              <w:rPr>
                <w:sz w:val="24"/>
              </w:rPr>
            </w:pPr>
            <w:r>
              <w:rPr>
                <w:w w:val="99"/>
                <w:sz w:val="24"/>
              </w:rPr>
              <w:t>5</w:t>
            </w:r>
          </w:p>
        </w:tc>
        <w:tc>
          <w:tcPr>
            <w:tcW w:w="1186" w:type="dxa"/>
            <w:tcBorders>
              <w:top w:val="nil"/>
              <w:left w:val="nil"/>
              <w:bottom w:val="nil"/>
              <w:right w:val="nil"/>
            </w:tcBorders>
          </w:tcPr>
          <w:p>
            <w:pPr>
              <w:pStyle w:val="TableParagraph"/>
              <w:spacing w:before="58"/>
              <w:ind w:right="494"/>
              <w:rPr>
                <w:sz w:val="24"/>
              </w:rPr>
            </w:pPr>
            <w:r>
              <w:rPr>
                <w:w w:val="99"/>
                <w:sz w:val="24"/>
              </w:rPr>
              <w:t>3</w:t>
            </w:r>
          </w:p>
        </w:tc>
        <w:tc>
          <w:tcPr>
            <w:tcW w:w="1094" w:type="dxa"/>
            <w:tcBorders>
              <w:top w:val="nil"/>
              <w:left w:val="nil"/>
              <w:bottom w:val="nil"/>
              <w:right w:val="nil"/>
            </w:tcBorders>
          </w:tcPr>
          <w:p>
            <w:pPr>
              <w:pStyle w:val="TableParagraph"/>
              <w:spacing w:before="58"/>
              <w:ind w:right="65"/>
              <w:rPr>
                <w:sz w:val="24"/>
              </w:rPr>
            </w:pPr>
            <w:r>
              <w:rPr>
                <w:sz w:val="24"/>
              </w:rPr>
              <w:t>36</w:t>
            </w:r>
          </w:p>
        </w:tc>
      </w:tr>
      <w:tr>
        <w:trPr>
          <w:trHeight w:val="326" w:hRule="exact"/>
        </w:trPr>
        <w:tc>
          <w:tcPr>
            <w:tcW w:w="2280" w:type="dxa"/>
            <w:tcBorders>
              <w:top w:val="nil"/>
              <w:left w:val="nil"/>
              <w:bottom w:val="nil"/>
              <w:right w:val="nil"/>
            </w:tcBorders>
          </w:tcPr>
          <w:p>
            <w:pPr>
              <w:pStyle w:val="TableParagraph"/>
              <w:ind w:left="71"/>
              <w:jc w:val="left"/>
              <w:rPr>
                <w:sz w:val="24"/>
              </w:rPr>
            </w:pPr>
            <w:r>
              <w:rPr>
                <w:sz w:val="24"/>
              </w:rPr>
              <w:t>SIN</w:t>
            </w:r>
          </w:p>
        </w:tc>
        <w:tc>
          <w:tcPr>
            <w:tcW w:w="2992" w:type="dxa"/>
            <w:tcBorders>
              <w:top w:val="nil"/>
              <w:left w:val="nil"/>
              <w:bottom w:val="nil"/>
              <w:right w:val="nil"/>
            </w:tcBorders>
          </w:tcPr>
          <w:p>
            <w:pPr>
              <w:pStyle w:val="TableParagraph"/>
              <w:ind w:right="569"/>
              <w:rPr>
                <w:sz w:val="24"/>
              </w:rPr>
            </w:pPr>
            <w:r>
              <w:rPr>
                <w:sz w:val="24"/>
              </w:rPr>
              <w:t>21</w:t>
            </w:r>
          </w:p>
        </w:tc>
        <w:tc>
          <w:tcPr>
            <w:tcW w:w="1716" w:type="dxa"/>
            <w:tcBorders>
              <w:top w:val="nil"/>
              <w:left w:val="nil"/>
              <w:bottom w:val="nil"/>
              <w:right w:val="nil"/>
            </w:tcBorders>
          </w:tcPr>
          <w:p>
            <w:pPr>
              <w:pStyle w:val="TableParagraph"/>
              <w:ind w:right="331"/>
              <w:rPr>
                <w:sz w:val="24"/>
              </w:rPr>
            </w:pPr>
            <w:r>
              <w:rPr>
                <w:w w:val="99"/>
                <w:sz w:val="24"/>
              </w:rPr>
              <w:t>1</w:t>
            </w:r>
          </w:p>
        </w:tc>
        <w:tc>
          <w:tcPr>
            <w:tcW w:w="1186" w:type="dxa"/>
            <w:tcBorders>
              <w:top w:val="nil"/>
              <w:left w:val="nil"/>
              <w:bottom w:val="nil"/>
              <w:right w:val="nil"/>
            </w:tcBorders>
          </w:tcPr>
          <w:p>
            <w:pPr>
              <w:pStyle w:val="TableParagraph"/>
              <w:ind w:right="494"/>
              <w:rPr>
                <w:sz w:val="24"/>
              </w:rPr>
            </w:pPr>
            <w:r>
              <w:rPr>
                <w:w w:val="99"/>
                <w:sz w:val="24"/>
              </w:rPr>
              <w:t>3</w:t>
            </w:r>
          </w:p>
        </w:tc>
        <w:tc>
          <w:tcPr>
            <w:tcW w:w="1094" w:type="dxa"/>
            <w:tcBorders>
              <w:top w:val="nil"/>
              <w:left w:val="nil"/>
              <w:bottom w:val="nil"/>
              <w:right w:val="nil"/>
            </w:tcBorders>
          </w:tcPr>
          <w:p>
            <w:pPr>
              <w:pStyle w:val="TableParagraph"/>
              <w:ind w:right="65"/>
              <w:rPr>
                <w:sz w:val="24"/>
              </w:rPr>
            </w:pPr>
            <w:r>
              <w:rPr>
                <w:sz w:val="24"/>
              </w:rPr>
              <w:t>25</w:t>
            </w:r>
          </w:p>
        </w:tc>
      </w:tr>
    </w:tbl>
    <w:p>
      <w:pPr>
        <w:spacing w:after="0"/>
        <w:rPr>
          <w:sz w:val="24"/>
        </w:rPr>
        <w:sectPr>
          <w:pgSz w:w="12240" w:h="15840"/>
          <w:pgMar w:header="0" w:footer="1173" w:top="1360" w:bottom="1380" w:left="1520" w:right="1240"/>
        </w:sect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48"/>
        <w:gridCol w:w="2647"/>
        <w:gridCol w:w="1553"/>
        <w:gridCol w:w="1104"/>
        <w:gridCol w:w="1128"/>
      </w:tblGrid>
      <w:tr>
        <w:trPr>
          <w:trHeight w:val="329" w:hRule="exact"/>
        </w:trPr>
        <w:tc>
          <w:tcPr>
            <w:tcW w:w="2848" w:type="dxa"/>
          </w:tcPr>
          <w:p>
            <w:pPr>
              <w:pStyle w:val="TableParagraph"/>
              <w:spacing w:line="245" w:lineRule="exact" w:before="0"/>
              <w:ind w:left="86"/>
              <w:jc w:val="left"/>
              <w:rPr>
                <w:sz w:val="24"/>
              </w:rPr>
            </w:pPr>
            <w:r>
              <w:rPr>
                <w:sz w:val="24"/>
              </w:rPr>
              <w:t>SON</w:t>
            </w:r>
          </w:p>
        </w:tc>
        <w:tc>
          <w:tcPr>
            <w:tcW w:w="2647" w:type="dxa"/>
          </w:tcPr>
          <w:p>
            <w:pPr>
              <w:pStyle w:val="TableParagraph"/>
              <w:spacing w:line="245" w:lineRule="exact" w:before="0"/>
              <w:ind w:right="778"/>
              <w:rPr>
                <w:sz w:val="24"/>
              </w:rPr>
            </w:pPr>
            <w:r>
              <w:rPr>
                <w:sz w:val="24"/>
              </w:rPr>
              <w:t>50</w:t>
            </w:r>
          </w:p>
        </w:tc>
        <w:tc>
          <w:tcPr>
            <w:tcW w:w="1553" w:type="dxa"/>
          </w:tcPr>
          <w:p>
            <w:pPr>
              <w:pStyle w:val="TableParagraph"/>
              <w:spacing w:line="245" w:lineRule="exact" w:before="0"/>
              <w:ind w:right="378"/>
              <w:rPr>
                <w:sz w:val="24"/>
              </w:rPr>
            </w:pPr>
            <w:r>
              <w:rPr>
                <w:w w:val="99"/>
                <w:sz w:val="24"/>
              </w:rPr>
              <w:t>0</w:t>
            </w:r>
          </w:p>
        </w:tc>
        <w:tc>
          <w:tcPr>
            <w:tcW w:w="1104" w:type="dxa"/>
          </w:tcPr>
          <w:p>
            <w:pPr>
              <w:pStyle w:val="TableParagraph"/>
              <w:spacing w:line="245" w:lineRule="exact" w:before="0"/>
              <w:ind w:right="460"/>
              <w:rPr>
                <w:sz w:val="24"/>
              </w:rPr>
            </w:pPr>
            <w:r>
              <w:rPr>
                <w:sz w:val="24"/>
              </w:rPr>
              <w:t>11</w:t>
            </w:r>
          </w:p>
        </w:tc>
        <w:tc>
          <w:tcPr>
            <w:tcW w:w="1128" w:type="dxa"/>
          </w:tcPr>
          <w:p>
            <w:pPr>
              <w:pStyle w:val="TableParagraph"/>
              <w:spacing w:line="245" w:lineRule="exact" w:before="0"/>
              <w:ind w:right="65"/>
              <w:rPr>
                <w:sz w:val="24"/>
              </w:rPr>
            </w:pPr>
            <w:r>
              <w:rPr>
                <w:sz w:val="24"/>
              </w:rPr>
              <w:t>61</w:t>
            </w:r>
          </w:p>
        </w:tc>
      </w:tr>
      <w:tr>
        <w:trPr>
          <w:trHeight w:val="415" w:hRule="exact"/>
        </w:trPr>
        <w:tc>
          <w:tcPr>
            <w:tcW w:w="2848" w:type="dxa"/>
          </w:tcPr>
          <w:p>
            <w:pPr>
              <w:pStyle w:val="TableParagraph"/>
              <w:spacing w:before="58"/>
              <w:ind w:left="86"/>
              <w:jc w:val="left"/>
              <w:rPr>
                <w:sz w:val="24"/>
              </w:rPr>
            </w:pPr>
            <w:r>
              <w:rPr>
                <w:sz w:val="24"/>
              </w:rPr>
              <w:t>TAB</w:t>
            </w:r>
          </w:p>
        </w:tc>
        <w:tc>
          <w:tcPr>
            <w:tcW w:w="2647" w:type="dxa"/>
          </w:tcPr>
          <w:p>
            <w:pPr>
              <w:pStyle w:val="TableParagraph"/>
              <w:spacing w:before="58"/>
              <w:ind w:right="778"/>
              <w:rPr>
                <w:sz w:val="24"/>
              </w:rPr>
            </w:pPr>
            <w:r>
              <w:rPr>
                <w:sz w:val="24"/>
              </w:rPr>
              <w:t>16</w:t>
            </w:r>
          </w:p>
        </w:tc>
        <w:tc>
          <w:tcPr>
            <w:tcW w:w="1553" w:type="dxa"/>
          </w:tcPr>
          <w:p>
            <w:pPr>
              <w:pStyle w:val="TableParagraph"/>
              <w:spacing w:before="58"/>
              <w:ind w:right="378"/>
              <w:rPr>
                <w:sz w:val="24"/>
              </w:rPr>
            </w:pPr>
            <w:r>
              <w:rPr>
                <w:w w:val="99"/>
                <w:sz w:val="24"/>
              </w:rPr>
              <w:t>0</w:t>
            </w:r>
          </w:p>
        </w:tc>
        <w:tc>
          <w:tcPr>
            <w:tcW w:w="1104" w:type="dxa"/>
          </w:tcPr>
          <w:p>
            <w:pPr>
              <w:pStyle w:val="TableParagraph"/>
              <w:spacing w:before="58"/>
              <w:ind w:right="459"/>
              <w:rPr>
                <w:sz w:val="24"/>
              </w:rPr>
            </w:pPr>
            <w:r>
              <w:rPr>
                <w:w w:val="99"/>
                <w:sz w:val="24"/>
              </w:rPr>
              <w:t>1</w:t>
            </w:r>
          </w:p>
        </w:tc>
        <w:tc>
          <w:tcPr>
            <w:tcW w:w="1128" w:type="dxa"/>
          </w:tcPr>
          <w:p>
            <w:pPr>
              <w:pStyle w:val="TableParagraph"/>
              <w:spacing w:before="58"/>
              <w:ind w:right="65"/>
              <w:rPr>
                <w:sz w:val="24"/>
              </w:rPr>
            </w:pPr>
            <w:r>
              <w:rPr>
                <w:sz w:val="24"/>
              </w:rPr>
              <w:t>17</w:t>
            </w:r>
          </w:p>
        </w:tc>
      </w:tr>
      <w:tr>
        <w:trPr>
          <w:trHeight w:val="413" w:hRule="exact"/>
        </w:trPr>
        <w:tc>
          <w:tcPr>
            <w:tcW w:w="2848" w:type="dxa"/>
          </w:tcPr>
          <w:p>
            <w:pPr>
              <w:pStyle w:val="TableParagraph"/>
              <w:ind w:left="86"/>
              <w:jc w:val="left"/>
              <w:rPr>
                <w:sz w:val="24"/>
              </w:rPr>
            </w:pPr>
            <w:r>
              <w:rPr>
                <w:sz w:val="24"/>
              </w:rPr>
              <w:t>TAMS</w:t>
            </w:r>
          </w:p>
        </w:tc>
        <w:tc>
          <w:tcPr>
            <w:tcW w:w="2647" w:type="dxa"/>
          </w:tcPr>
          <w:p>
            <w:pPr>
              <w:pStyle w:val="TableParagraph"/>
              <w:ind w:right="778"/>
              <w:rPr>
                <w:sz w:val="24"/>
              </w:rPr>
            </w:pPr>
            <w:r>
              <w:rPr>
                <w:sz w:val="24"/>
              </w:rPr>
              <w:t>18</w:t>
            </w:r>
          </w:p>
        </w:tc>
        <w:tc>
          <w:tcPr>
            <w:tcW w:w="1553" w:type="dxa"/>
          </w:tcPr>
          <w:p>
            <w:pPr>
              <w:pStyle w:val="TableParagraph"/>
              <w:ind w:right="378"/>
              <w:rPr>
                <w:sz w:val="24"/>
              </w:rPr>
            </w:pPr>
            <w:r>
              <w:rPr>
                <w:w w:val="99"/>
                <w:sz w:val="24"/>
              </w:rPr>
              <w:t>2</w:t>
            </w:r>
          </w:p>
        </w:tc>
        <w:tc>
          <w:tcPr>
            <w:tcW w:w="1104" w:type="dxa"/>
          </w:tcPr>
          <w:p>
            <w:pPr>
              <w:pStyle w:val="TableParagraph"/>
              <w:ind w:right="459"/>
              <w:rPr>
                <w:sz w:val="24"/>
              </w:rPr>
            </w:pPr>
            <w:r>
              <w:rPr>
                <w:w w:val="99"/>
                <w:sz w:val="24"/>
              </w:rPr>
              <w:t>4</w:t>
            </w:r>
          </w:p>
        </w:tc>
        <w:tc>
          <w:tcPr>
            <w:tcW w:w="1128" w:type="dxa"/>
          </w:tcPr>
          <w:p>
            <w:pPr>
              <w:pStyle w:val="TableParagraph"/>
              <w:ind w:right="65"/>
              <w:rPr>
                <w:sz w:val="24"/>
              </w:rPr>
            </w:pPr>
            <w:r>
              <w:rPr>
                <w:sz w:val="24"/>
              </w:rPr>
              <w:t>24</w:t>
            </w:r>
          </w:p>
        </w:tc>
      </w:tr>
      <w:tr>
        <w:trPr>
          <w:trHeight w:val="413" w:hRule="exact"/>
        </w:trPr>
        <w:tc>
          <w:tcPr>
            <w:tcW w:w="2848" w:type="dxa"/>
          </w:tcPr>
          <w:p>
            <w:pPr>
              <w:pStyle w:val="TableParagraph"/>
              <w:spacing w:before="56"/>
              <w:ind w:left="86"/>
              <w:jc w:val="left"/>
              <w:rPr>
                <w:sz w:val="24"/>
              </w:rPr>
            </w:pPr>
            <w:r>
              <w:rPr>
                <w:sz w:val="24"/>
              </w:rPr>
              <w:t>TLAX</w:t>
            </w:r>
          </w:p>
        </w:tc>
        <w:tc>
          <w:tcPr>
            <w:tcW w:w="2647" w:type="dxa"/>
          </w:tcPr>
          <w:p>
            <w:pPr>
              <w:pStyle w:val="TableParagraph"/>
              <w:spacing w:before="56"/>
              <w:ind w:right="779"/>
              <w:rPr>
                <w:sz w:val="24"/>
              </w:rPr>
            </w:pPr>
            <w:r>
              <w:rPr>
                <w:w w:val="99"/>
                <w:sz w:val="24"/>
              </w:rPr>
              <w:t>6</w:t>
            </w:r>
          </w:p>
        </w:tc>
        <w:tc>
          <w:tcPr>
            <w:tcW w:w="1553" w:type="dxa"/>
          </w:tcPr>
          <w:p>
            <w:pPr>
              <w:pStyle w:val="TableParagraph"/>
              <w:spacing w:before="56"/>
              <w:ind w:right="378"/>
              <w:rPr>
                <w:sz w:val="24"/>
              </w:rPr>
            </w:pPr>
            <w:r>
              <w:rPr>
                <w:w w:val="99"/>
                <w:sz w:val="24"/>
              </w:rPr>
              <w:t>3</w:t>
            </w:r>
          </w:p>
        </w:tc>
        <w:tc>
          <w:tcPr>
            <w:tcW w:w="1104" w:type="dxa"/>
          </w:tcPr>
          <w:p>
            <w:pPr>
              <w:pStyle w:val="TableParagraph"/>
              <w:spacing w:before="56"/>
              <w:ind w:right="459"/>
              <w:rPr>
                <w:sz w:val="24"/>
              </w:rPr>
            </w:pPr>
            <w:r>
              <w:rPr>
                <w:w w:val="99"/>
                <w:sz w:val="24"/>
              </w:rPr>
              <w:t>1</w:t>
            </w:r>
          </w:p>
        </w:tc>
        <w:tc>
          <w:tcPr>
            <w:tcW w:w="1128" w:type="dxa"/>
          </w:tcPr>
          <w:p>
            <w:pPr>
              <w:pStyle w:val="TableParagraph"/>
              <w:spacing w:before="56"/>
              <w:ind w:right="65"/>
              <w:rPr>
                <w:sz w:val="24"/>
              </w:rPr>
            </w:pPr>
            <w:r>
              <w:rPr>
                <w:sz w:val="24"/>
              </w:rPr>
              <w:t>10</w:t>
            </w:r>
          </w:p>
        </w:tc>
      </w:tr>
      <w:tr>
        <w:trPr>
          <w:trHeight w:val="415" w:hRule="exact"/>
        </w:trPr>
        <w:tc>
          <w:tcPr>
            <w:tcW w:w="2848" w:type="dxa"/>
          </w:tcPr>
          <w:p>
            <w:pPr>
              <w:pStyle w:val="TableParagraph"/>
              <w:ind w:left="86"/>
              <w:jc w:val="left"/>
              <w:rPr>
                <w:sz w:val="24"/>
              </w:rPr>
            </w:pPr>
            <w:r>
              <w:rPr>
                <w:sz w:val="24"/>
              </w:rPr>
              <w:t>VER</w:t>
            </w:r>
          </w:p>
        </w:tc>
        <w:tc>
          <w:tcPr>
            <w:tcW w:w="2647" w:type="dxa"/>
          </w:tcPr>
          <w:p>
            <w:pPr>
              <w:pStyle w:val="TableParagraph"/>
              <w:ind w:right="778"/>
              <w:rPr>
                <w:sz w:val="24"/>
              </w:rPr>
            </w:pPr>
            <w:r>
              <w:rPr>
                <w:sz w:val="24"/>
              </w:rPr>
              <w:t>62</w:t>
            </w:r>
          </w:p>
        </w:tc>
        <w:tc>
          <w:tcPr>
            <w:tcW w:w="1553" w:type="dxa"/>
          </w:tcPr>
          <w:p>
            <w:pPr>
              <w:pStyle w:val="TableParagraph"/>
              <w:ind w:right="377"/>
              <w:rPr>
                <w:sz w:val="24"/>
              </w:rPr>
            </w:pPr>
            <w:r>
              <w:rPr>
                <w:sz w:val="24"/>
              </w:rPr>
              <w:t>15</w:t>
            </w:r>
          </w:p>
        </w:tc>
        <w:tc>
          <w:tcPr>
            <w:tcW w:w="1104" w:type="dxa"/>
          </w:tcPr>
          <w:p>
            <w:pPr>
              <w:pStyle w:val="TableParagraph"/>
              <w:ind w:right="459"/>
              <w:rPr>
                <w:sz w:val="24"/>
              </w:rPr>
            </w:pPr>
            <w:r>
              <w:rPr>
                <w:w w:val="99"/>
                <w:sz w:val="24"/>
              </w:rPr>
              <w:t>5</w:t>
            </w:r>
          </w:p>
        </w:tc>
        <w:tc>
          <w:tcPr>
            <w:tcW w:w="1128" w:type="dxa"/>
          </w:tcPr>
          <w:p>
            <w:pPr>
              <w:pStyle w:val="TableParagraph"/>
              <w:ind w:right="65"/>
              <w:rPr>
                <w:sz w:val="24"/>
              </w:rPr>
            </w:pPr>
            <w:r>
              <w:rPr>
                <w:sz w:val="24"/>
              </w:rPr>
              <w:t>82</w:t>
            </w:r>
          </w:p>
        </w:tc>
      </w:tr>
      <w:tr>
        <w:trPr>
          <w:trHeight w:val="415" w:hRule="exact"/>
        </w:trPr>
        <w:tc>
          <w:tcPr>
            <w:tcW w:w="2848" w:type="dxa"/>
          </w:tcPr>
          <w:p>
            <w:pPr>
              <w:pStyle w:val="TableParagraph"/>
              <w:spacing w:before="58"/>
              <w:ind w:left="86"/>
              <w:jc w:val="left"/>
              <w:rPr>
                <w:sz w:val="24"/>
              </w:rPr>
            </w:pPr>
            <w:r>
              <w:rPr>
                <w:sz w:val="24"/>
              </w:rPr>
              <w:t>YUC</w:t>
            </w:r>
          </w:p>
        </w:tc>
        <w:tc>
          <w:tcPr>
            <w:tcW w:w="2647" w:type="dxa"/>
          </w:tcPr>
          <w:p>
            <w:pPr>
              <w:pStyle w:val="TableParagraph"/>
              <w:spacing w:before="58"/>
              <w:ind w:right="778"/>
              <w:rPr>
                <w:sz w:val="24"/>
              </w:rPr>
            </w:pPr>
            <w:r>
              <w:rPr>
                <w:sz w:val="24"/>
              </w:rPr>
              <w:t>30</w:t>
            </w:r>
          </w:p>
        </w:tc>
        <w:tc>
          <w:tcPr>
            <w:tcW w:w="1553" w:type="dxa"/>
          </w:tcPr>
          <w:p>
            <w:pPr>
              <w:pStyle w:val="TableParagraph"/>
              <w:spacing w:before="58"/>
              <w:ind w:right="378"/>
              <w:rPr>
                <w:sz w:val="24"/>
              </w:rPr>
            </w:pPr>
            <w:r>
              <w:rPr>
                <w:w w:val="99"/>
                <w:sz w:val="24"/>
              </w:rPr>
              <w:t>2</w:t>
            </w:r>
          </w:p>
        </w:tc>
        <w:tc>
          <w:tcPr>
            <w:tcW w:w="1104" w:type="dxa"/>
          </w:tcPr>
          <w:p>
            <w:pPr>
              <w:pStyle w:val="TableParagraph"/>
              <w:spacing w:before="58"/>
              <w:ind w:right="459"/>
              <w:rPr>
                <w:sz w:val="24"/>
              </w:rPr>
            </w:pPr>
            <w:r>
              <w:rPr>
                <w:w w:val="99"/>
                <w:sz w:val="24"/>
              </w:rPr>
              <w:t>4</w:t>
            </w:r>
          </w:p>
        </w:tc>
        <w:tc>
          <w:tcPr>
            <w:tcW w:w="1128" w:type="dxa"/>
          </w:tcPr>
          <w:p>
            <w:pPr>
              <w:pStyle w:val="TableParagraph"/>
              <w:spacing w:before="58"/>
              <w:ind w:right="65"/>
              <w:rPr>
                <w:sz w:val="24"/>
              </w:rPr>
            </w:pPr>
            <w:r>
              <w:rPr>
                <w:sz w:val="24"/>
              </w:rPr>
              <w:t>36</w:t>
            </w:r>
          </w:p>
        </w:tc>
      </w:tr>
      <w:tr>
        <w:trPr>
          <w:trHeight w:val="413" w:hRule="exact"/>
        </w:trPr>
        <w:tc>
          <w:tcPr>
            <w:tcW w:w="2848" w:type="dxa"/>
          </w:tcPr>
          <w:p>
            <w:pPr>
              <w:pStyle w:val="TableParagraph"/>
              <w:ind w:left="86"/>
              <w:jc w:val="left"/>
              <w:rPr>
                <w:sz w:val="24"/>
              </w:rPr>
            </w:pPr>
            <w:r>
              <w:rPr>
                <w:sz w:val="24"/>
              </w:rPr>
              <w:t>ZAC</w:t>
            </w:r>
          </w:p>
        </w:tc>
        <w:tc>
          <w:tcPr>
            <w:tcW w:w="2647" w:type="dxa"/>
          </w:tcPr>
          <w:p>
            <w:pPr>
              <w:pStyle w:val="TableParagraph"/>
              <w:ind w:right="778"/>
              <w:rPr>
                <w:sz w:val="24"/>
              </w:rPr>
            </w:pPr>
            <w:r>
              <w:rPr>
                <w:sz w:val="24"/>
              </w:rPr>
              <w:t>42</w:t>
            </w:r>
          </w:p>
        </w:tc>
        <w:tc>
          <w:tcPr>
            <w:tcW w:w="1553" w:type="dxa"/>
          </w:tcPr>
          <w:p>
            <w:pPr>
              <w:pStyle w:val="TableParagraph"/>
              <w:ind w:right="378"/>
              <w:rPr>
                <w:sz w:val="24"/>
              </w:rPr>
            </w:pPr>
            <w:r>
              <w:rPr>
                <w:w w:val="99"/>
                <w:sz w:val="24"/>
              </w:rPr>
              <w:t>2</w:t>
            </w:r>
          </w:p>
        </w:tc>
        <w:tc>
          <w:tcPr>
            <w:tcW w:w="1104" w:type="dxa"/>
          </w:tcPr>
          <w:p>
            <w:pPr>
              <w:pStyle w:val="TableParagraph"/>
              <w:ind w:right="459"/>
              <w:rPr>
                <w:sz w:val="24"/>
              </w:rPr>
            </w:pPr>
            <w:r>
              <w:rPr>
                <w:w w:val="99"/>
                <w:sz w:val="24"/>
              </w:rPr>
              <w:t>4</w:t>
            </w:r>
          </w:p>
        </w:tc>
        <w:tc>
          <w:tcPr>
            <w:tcW w:w="1128" w:type="dxa"/>
          </w:tcPr>
          <w:p>
            <w:pPr>
              <w:pStyle w:val="TableParagraph"/>
              <w:ind w:right="65"/>
              <w:rPr>
                <w:sz w:val="24"/>
              </w:rPr>
            </w:pPr>
            <w:r>
              <w:rPr>
                <w:sz w:val="24"/>
              </w:rPr>
              <w:t>48</w:t>
            </w:r>
          </w:p>
        </w:tc>
      </w:tr>
      <w:tr>
        <w:trPr>
          <w:trHeight w:val="413" w:hRule="exact"/>
        </w:trPr>
        <w:tc>
          <w:tcPr>
            <w:tcW w:w="2848" w:type="dxa"/>
          </w:tcPr>
          <w:p>
            <w:pPr>
              <w:pStyle w:val="TableParagraph"/>
              <w:spacing w:before="56"/>
              <w:ind w:left="86"/>
              <w:jc w:val="left"/>
              <w:rPr>
                <w:sz w:val="24"/>
              </w:rPr>
            </w:pPr>
            <w:r>
              <w:rPr>
                <w:sz w:val="24"/>
              </w:rPr>
              <w:t>R. LAGUNA</w:t>
            </w:r>
          </w:p>
        </w:tc>
        <w:tc>
          <w:tcPr>
            <w:tcW w:w="2647" w:type="dxa"/>
          </w:tcPr>
          <w:p>
            <w:pPr>
              <w:pStyle w:val="TableParagraph"/>
              <w:spacing w:before="56"/>
              <w:ind w:right="779"/>
              <w:rPr>
                <w:sz w:val="24"/>
              </w:rPr>
            </w:pPr>
            <w:r>
              <w:rPr>
                <w:w w:val="99"/>
                <w:sz w:val="24"/>
              </w:rPr>
              <w:t>2</w:t>
            </w:r>
          </w:p>
        </w:tc>
        <w:tc>
          <w:tcPr>
            <w:tcW w:w="1553" w:type="dxa"/>
          </w:tcPr>
          <w:p>
            <w:pPr>
              <w:pStyle w:val="TableParagraph"/>
              <w:spacing w:before="56"/>
              <w:ind w:right="378"/>
              <w:rPr>
                <w:sz w:val="24"/>
              </w:rPr>
            </w:pPr>
            <w:r>
              <w:rPr>
                <w:w w:val="99"/>
                <w:sz w:val="24"/>
              </w:rPr>
              <w:t>4</w:t>
            </w:r>
          </w:p>
        </w:tc>
        <w:tc>
          <w:tcPr>
            <w:tcW w:w="1104" w:type="dxa"/>
          </w:tcPr>
          <w:p>
            <w:pPr>
              <w:pStyle w:val="TableParagraph"/>
              <w:spacing w:before="56"/>
              <w:ind w:right="459"/>
              <w:rPr>
                <w:sz w:val="24"/>
              </w:rPr>
            </w:pPr>
            <w:r>
              <w:rPr>
                <w:w w:val="99"/>
                <w:sz w:val="24"/>
              </w:rPr>
              <w:t>4</w:t>
            </w:r>
          </w:p>
        </w:tc>
        <w:tc>
          <w:tcPr>
            <w:tcW w:w="1128" w:type="dxa"/>
          </w:tcPr>
          <w:p>
            <w:pPr>
              <w:pStyle w:val="TableParagraph"/>
              <w:spacing w:before="56"/>
              <w:ind w:right="65"/>
              <w:rPr>
                <w:sz w:val="24"/>
              </w:rPr>
            </w:pPr>
            <w:r>
              <w:rPr>
                <w:sz w:val="24"/>
              </w:rPr>
              <w:t>10</w:t>
            </w:r>
          </w:p>
        </w:tc>
      </w:tr>
      <w:tr>
        <w:trPr>
          <w:trHeight w:val="482" w:hRule="exact"/>
        </w:trPr>
        <w:tc>
          <w:tcPr>
            <w:tcW w:w="2848" w:type="dxa"/>
            <w:tcBorders>
              <w:bottom w:val="single" w:sz="4" w:space="0" w:color="000000"/>
            </w:tcBorders>
          </w:tcPr>
          <w:p>
            <w:pPr>
              <w:pStyle w:val="TableParagraph"/>
              <w:ind w:left="86"/>
              <w:jc w:val="left"/>
              <w:rPr>
                <w:sz w:val="24"/>
              </w:rPr>
            </w:pPr>
            <w:r>
              <w:rPr>
                <w:sz w:val="24"/>
              </w:rPr>
              <w:t>Total</w:t>
            </w:r>
          </w:p>
        </w:tc>
        <w:tc>
          <w:tcPr>
            <w:tcW w:w="2647" w:type="dxa"/>
            <w:tcBorders>
              <w:bottom w:val="single" w:sz="4" w:space="0" w:color="000000"/>
            </w:tcBorders>
          </w:tcPr>
          <w:p>
            <w:pPr>
              <w:pStyle w:val="TableParagraph"/>
              <w:ind w:right="773"/>
              <w:rPr>
                <w:sz w:val="24"/>
              </w:rPr>
            </w:pPr>
            <w:r>
              <w:rPr>
                <w:w w:val="95"/>
                <w:sz w:val="24"/>
              </w:rPr>
              <w:t>913</w:t>
            </w:r>
          </w:p>
        </w:tc>
        <w:tc>
          <w:tcPr>
            <w:tcW w:w="1553" w:type="dxa"/>
            <w:tcBorders>
              <w:bottom w:val="single" w:sz="4" w:space="0" w:color="000000"/>
            </w:tcBorders>
          </w:tcPr>
          <w:p>
            <w:pPr>
              <w:pStyle w:val="TableParagraph"/>
              <w:ind w:right="372"/>
              <w:rPr>
                <w:sz w:val="24"/>
              </w:rPr>
            </w:pPr>
            <w:r>
              <w:rPr>
                <w:w w:val="95"/>
                <w:sz w:val="24"/>
              </w:rPr>
              <w:t>141</w:t>
            </w:r>
          </w:p>
        </w:tc>
        <w:tc>
          <w:tcPr>
            <w:tcW w:w="1104" w:type="dxa"/>
            <w:tcBorders>
              <w:bottom w:val="single" w:sz="4" w:space="0" w:color="000000"/>
            </w:tcBorders>
          </w:tcPr>
          <w:p>
            <w:pPr>
              <w:pStyle w:val="TableParagraph"/>
              <w:ind w:right="460"/>
              <w:rPr>
                <w:sz w:val="24"/>
              </w:rPr>
            </w:pPr>
            <w:r>
              <w:rPr>
                <w:sz w:val="24"/>
              </w:rPr>
              <w:t>93</w:t>
            </w:r>
          </w:p>
        </w:tc>
        <w:tc>
          <w:tcPr>
            <w:tcW w:w="1128" w:type="dxa"/>
            <w:tcBorders>
              <w:bottom w:val="single" w:sz="4" w:space="0" w:color="000000"/>
            </w:tcBorders>
          </w:tcPr>
          <w:p>
            <w:pPr>
              <w:pStyle w:val="TableParagraph"/>
              <w:ind w:right="62"/>
              <w:rPr>
                <w:sz w:val="24"/>
              </w:rPr>
            </w:pPr>
            <w:r>
              <w:rPr>
                <w:sz w:val="24"/>
              </w:rPr>
              <w:t>1,147</w:t>
            </w:r>
          </w:p>
        </w:tc>
      </w:tr>
    </w:tbl>
    <w:p>
      <w:pPr>
        <w:spacing w:line="228" w:lineRule="exact" w:before="0"/>
        <w:ind w:left="199" w:right="0" w:firstLine="0"/>
        <w:jc w:val="both"/>
        <w:rPr>
          <w:sz w:val="20"/>
        </w:rPr>
      </w:pPr>
      <w:r>
        <w:rPr>
          <w:sz w:val="20"/>
        </w:rPr>
        <w:t>SAGARPA-SIAP, 2014.</w:t>
      </w:r>
    </w:p>
    <w:p>
      <w:pPr>
        <w:pStyle w:val="BodyText"/>
        <w:rPr>
          <w:sz w:val="20"/>
        </w:rPr>
      </w:pPr>
    </w:p>
    <w:p>
      <w:pPr>
        <w:pStyle w:val="BodyText"/>
        <w:rPr>
          <w:sz w:val="26"/>
        </w:rPr>
      </w:pPr>
    </w:p>
    <w:p>
      <w:pPr>
        <w:pStyle w:val="BodyText"/>
        <w:spacing w:line="360" w:lineRule="auto" w:before="1"/>
        <w:ind w:left="199" w:right="186"/>
        <w:jc w:val="both"/>
      </w:pPr>
      <w:r>
        <w:rPr/>
        <w:t>Con relación al Estado de México (Cuadro 6), esta entidad tiene 64 rastros, de los cuales, 41 (64.1 %) son municipales, 18 (28.1 %) son privados y cinco (7.8 %) TIF. Los rastros TIF se localizan al norte de la entidad, a más de 150 km de distancia con referencia a Tejupilco.</w:t>
      </w:r>
    </w:p>
    <w:p>
      <w:pPr>
        <w:pStyle w:val="BodyText"/>
      </w:pPr>
    </w:p>
    <w:p>
      <w:pPr>
        <w:pStyle w:val="BodyText"/>
        <w:spacing w:line="360" w:lineRule="auto" w:before="140"/>
        <w:ind w:left="199" w:right="190"/>
        <w:jc w:val="both"/>
      </w:pPr>
      <w:r>
        <w:rPr/>
        <w:t>Finalmente, cifras oficiales disponibles indican que, a nivel nacional, existen 23 centros de sacrificio inactivos, 17 en el Estado de México, dos en Campeche, dos en Nuevo León, uno en la Región Lagunera y uno en Veracruz.</w:t>
      </w:r>
    </w:p>
    <w:p>
      <w:pPr>
        <w:pStyle w:val="BodyText"/>
      </w:pPr>
    </w:p>
    <w:p>
      <w:pPr>
        <w:pStyle w:val="Heading2"/>
        <w:spacing w:before="140"/>
        <w:ind w:left="199"/>
      </w:pPr>
      <w:bookmarkStart w:name="_bookmark23" w:id="34"/>
      <w:bookmarkEnd w:id="34"/>
      <w:r>
        <w:rPr>
          <w:b w:val="0"/>
        </w:rPr>
      </w:r>
      <w:r>
        <w:rPr/>
        <w:t>Análisis de los precios</w:t>
      </w:r>
    </w:p>
    <w:p>
      <w:pPr>
        <w:pStyle w:val="BodyText"/>
        <w:rPr>
          <w:b/>
          <w:sz w:val="26"/>
        </w:rPr>
      </w:pPr>
    </w:p>
    <w:p>
      <w:pPr>
        <w:pStyle w:val="BodyText"/>
        <w:spacing w:before="3"/>
        <w:rPr>
          <w:b/>
          <w:sz w:val="22"/>
        </w:rPr>
      </w:pPr>
    </w:p>
    <w:p>
      <w:pPr>
        <w:pStyle w:val="BodyText"/>
        <w:spacing w:line="362" w:lineRule="auto"/>
        <w:ind w:left="199" w:right="185"/>
        <w:jc w:val="both"/>
      </w:pPr>
      <w:r>
        <w:rPr/>
        <w:t>En términos de definición, el precio es la cantidad monetaria a la cual los productores están dispuestos a vender y los consumidores a comprar un bien o servicio, cuando la oferta y la demanda están en equilibrio (Baca,</w:t>
      </w:r>
      <w:r>
        <w:rPr>
          <w:spacing w:val="-24"/>
        </w:rPr>
        <w:t> </w:t>
      </w:r>
      <w:r>
        <w:rPr/>
        <w:t>2013).</w:t>
      </w:r>
    </w:p>
    <w:p>
      <w:pPr>
        <w:pStyle w:val="BodyText"/>
        <w:spacing w:before="10"/>
        <w:rPr>
          <w:sz w:val="35"/>
        </w:rPr>
      </w:pPr>
    </w:p>
    <w:p>
      <w:pPr>
        <w:pStyle w:val="BodyText"/>
        <w:spacing w:line="360" w:lineRule="auto"/>
        <w:ind w:left="199" w:right="188"/>
        <w:jc w:val="both"/>
      </w:pPr>
      <w:r>
        <w:rPr/>
        <w:t>Generalmente, no resulta sencillo determinar un precio de venta, pero hay métodos para realizarlo. No debe olvidarse que el precio de venta es una función del costo de producción, administración y ventas, más una ganancia; así también del comportamiento del revendedor, estrategias de mercadeo, entre otros.</w:t>
      </w:r>
    </w:p>
    <w:p>
      <w:pPr>
        <w:spacing w:after="0" w:line="360" w:lineRule="auto"/>
        <w:jc w:val="both"/>
        <w:sectPr>
          <w:pgSz w:w="12240" w:h="15840"/>
          <w:pgMar w:header="0" w:footer="1173" w:top="1440" w:bottom="1380" w:left="1500" w:right="1240"/>
        </w:sectPr>
      </w:pPr>
    </w:p>
    <w:p>
      <w:pPr>
        <w:pStyle w:val="BodyText"/>
        <w:spacing w:line="360" w:lineRule="auto" w:before="52"/>
        <w:ind w:left="119" w:right="117"/>
        <w:jc w:val="both"/>
      </w:pPr>
      <w:r>
        <w:rPr/>
        <w:t>En este proyecto, el precio de venta por kilogramo de peso vivo, será en función al establecido en el mercado regional o local, pero también habrá el esquema de negociación que cada comprador y vendedor logren al momento de la transacción, que bien, puede estar arriba o abajo del de mercado local.</w:t>
      </w:r>
    </w:p>
    <w:p>
      <w:pPr>
        <w:pStyle w:val="BodyText"/>
      </w:pPr>
    </w:p>
    <w:p>
      <w:pPr>
        <w:pStyle w:val="BodyText"/>
        <w:spacing w:line="360" w:lineRule="auto" w:before="144"/>
        <w:ind w:left="119" w:right="117"/>
        <w:jc w:val="both"/>
      </w:pPr>
      <w:r>
        <w:rPr/>
        <w:t>No se dejará a un lado algún mecanismo oficial de control de precios del producto, pues la carne de bovino en México, está dentro de la canasta básica. En adición, se considerará como referencia al precio tanto </w:t>
      </w:r>
      <w:r>
        <w:rPr>
          <w:i/>
        </w:rPr>
        <w:t>in vivo </w:t>
      </w:r>
      <w:r>
        <w:rPr/>
        <w:t>como en canal que prevalezca en el mercado local, que puede ser Luvianos, en su caso, en la capacidad de negociación entre el productor y el comprador al momento de la transacción, incluso un precio pactado y asegurado entre el rastro y los abastecedores de ganado vivo y finalizado al sacrificio.</w:t>
      </w:r>
    </w:p>
    <w:p>
      <w:pPr>
        <w:pStyle w:val="BodyText"/>
      </w:pPr>
    </w:p>
    <w:p>
      <w:pPr>
        <w:pStyle w:val="BodyText"/>
        <w:spacing w:line="360" w:lineRule="auto" w:before="144"/>
        <w:ind w:left="119" w:right="116"/>
        <w:jc w:val="both"/>
      </w:pPr>
      <w:r>
        <w:rPr/>
        <w:t>En adición, la fuente oficial disponible, indicó que de 2006 a 2012, los precios que recibieron los productores, crecieron a una TCMA de 3.1 %, al pasar de 30.5 $/kg de carne en canal en 2006 a $36.7 en 2012. Sin embargo, a nivel DDR el precio registrado para 2012 fue $41 y $60 en junio de 2015 (Comunicación personal) por kg de carne en canal, en el rastro de Tejupilco; superior en 10.5 % al promedio nacional.</w:t>
      </w:r>
    </w:p>
    <w:p>
      <w:pPr>
        <w:pStyle w:val="BodyText"/>
      </w:pPr>
    </w:p>
    <w:p>
      <w:pPr>
        <w:pStyle w:val="BodyText"/>
        <w:spacing w:line="360" w:lineRule="auto" w:before="140"/>
        <w:ind w:left="119" w:right="114"/>
        <w:jc w:val="both"/>
      </w:pPr>
      <w:r>
        <w:rPr/>
        <w:t>No existe un modelo apropiado para proyectar precios de venta que permita ajustar la tendencia de los mismos, tampoco el precio proyectado puede utilizarse en los estados financieros proforma, pues la empresa no será quien venda directamente al consumidor. Más bien, en este proyecto, debe considerarse el precio de venta al primer intermediario y es el que se considerará para la estimación de los ingresos del proyecto, </w:t>
      </w:r>
      <w:r>
        <w:rPr>
          <w:spacing w:val="-3"/>
        </w:rPr>
        <w:t>más </w:t>
      </w:r>
      <w:r>
        <w:rPr/>
        <w:t>las costos de</w:t>
      </w:r>
      <w:r>
        <w:rPr>
          <w:spacing w:val="4"/>
        </w:rPr>
        <w:t> </w:t>
      </w:r>
      <w:r>
        <w:rPr/>
        <w:t>comercialización.</w:t>
      </w:r>
    </w:p>
    <w:p>
      <w:pPr>
        <w:pStyle w:val="BodyText"/>
      </w:pPr>
    </w:p>
    <w:p>
      <w:pPr>
        <w:pStyle w:val="BodyText"/>
        <w:spacing w:line="360" w:lineRule="auto" w:before="144"/>
        <w:ind w:left="119" w:right="111"/>
        <w:jc w:val="both"/>
      </w:pPr>
      <w:r>
        <w:rPr/>
        <w:t>La única alternativa para proyectar el precio de venta (Rebollar y Jaramillo, 2012; Baca, 2013), es conforme a la inflación esperada por la Banca oficial. Así, con  énfasis en una tasa de inflación esperada de 4 % anual en los próximos cinco años, que será el horizonte </w:t>
      </w:r>
      <w:r>
        <w:rPr>
          <w:spacing w:val="-3"/>
        </w:rPr>
        <w:t>del </w:t>
      </w:r>
      <w:r>
        <w:rPr/>
        <w:t>proyecto, el precio proyectado queda como</w:t>
      </w:r>
      <w:r>
        <w:rPr>
          <w:spacing w:val="-8"/>
        </w:rPr>
        <w:t> </w:t>
      </w:r>
      <w:r>
        <w:rPr/>
        <w:t>sigue:</w:t>
      </w:r>
    </w:p>
    <w:p>
      <w:pPr>
        <w:spacing w:after="0" w:line="360" w:lineRule="auto"/>
        <w:jc w:val="both"/>
        <w:sectPr>
          <w:pgSz w:w="12240" w:h="15840"/>
          <w:pgMar w:header="0" w:footer="1173" w:top="1360" w:bottom="1380" w:left="1580" w:right="1300"/>
        </w:sectPr>
      </w:pPr>
    </w:p>
    <w:p>
      <w:pPr>
        <w:spacing w:before="57"/>
        <w:ind w:left="3523" w:right="3519" w:firstLine="0"/>
        <w:jc w:val="center"/>
        <w:rPr>
          <w:i/>
          <w:sz w:val="16"/>
        </w:rPr>
      </w:pPr>
      <w:r>
        <w:rPr>
          <w:i/>
          <w:sz w:val="24"/>
        </w:rPr>
        <w:t>Pf = Pa (1+Inflación)</w:t>
      </w:r>
      <w:r>
        <w:rPr>
          <w:i/>
          <w:position w:val="9"/>
          <w:sz w:val="16"/>
        </w:rPr>
        <w:t>n</w:t>
      </w:r>
    </w:p>
    <w:p>
      <w:pPr>
        <w:pStyle w:val="BodyText"/>
        <w:rPr>
          <w:i/>
          <w:sz w:val="26"/>
        </w:rPr>
      </w:pPr>
    </w:p>
    <w:p>
      <w:pPr>
        <w:pStyle w:val="BodyText"/>
        <w:spacing w:before="2"/>
        <w:rPr>
          <w:i/>
          <w:sz w:val="22"/>
        </w:rPr>
      </w:pPr>
    </w:p>
    <w:p>
      <w:pPr>
        <w:pStyle w:val="BodyText"/>
        <w:spacing w:line="360" w:lineRule="auto"/>
        <w:ind w:left="119" w:right="111"/>
        <w:jc w:val="both"/>
      </w:pPr>
      <w:r>
        <w:rPr/>
        <w:t>Así, si el precio actual de un kg de peso vivo es $48, entonces, el precio proyectado permite dar referencia del precio al que deberá venderse cada kg de animal </w:t>
      </w:r>
      <w:r>
        <w:rPr>
          <w:i/>
        </w:rPr>
        <w:t>in </w:t>
      </w:r>
      <w:r>
        <w:rPr/>
        <w:t>vivo finalizado. Para los ingresos de este proyecto, se utilizará el precio de la serie y, será de $45.0 (Comunicación personal con un engordador de la zona, diciembre de 2015) por kg </w:t>
      </w:r>
      <w:r>
        <w:rPr>
          <w:i/>
        </w:rPr>
        <w:t>in vivo</w:t>
      </w:r>
      <w:r>
        <w:rPr/>
        <w:t>, por cada animal de 500 kg de peso vivo final al sacrificio en rastro.</w:t>
      </w:r>
    </w:p>
    <w:p>
      <w:pPr>
        <w:pStyle w:val="BodyText"/>
      </w:pPr>
    </w:p>
    <w:p>
      <w:pPr>
        <w:pStyle w:val="BodyText"/>
        <w:spacing w:line="360" w:lineRule="auto" w:before="140"/>
        <w:ind w:left="119" w:right="111"/>
        <w:jc w:val="both"/>
      </w:pPr>
      <w:r>
        <w:rPr/>
        <w:t>Se realizó una breve encuesta al 10% de carnicerías de la cabecera municipal de Tejupilco, concluyendo que 100 %, adquieren las canales del rastro municipal a un precio equivalente al del peso vivo. Sin embargo, en este proyecto, se consideró un precio de $45.0 por kilogramo de peso vivo en animales finalizados en el corral en la estimación de los ingresos principales.</w:t>
      </w:r>
    </w:p>
    <w:p>
      <w:pPr>
        <w:spacing w:after="0" w:line="360" w:lineRule="auto"/>
        <w:jc w:val="both"/>
        <w:sectPr>
          <w:pgSz w:w="12240" w:h="15840"/>
          <w:pgMar w:header="0" w:footer="1173" w:top="1340" w:bottom="1380" w:left="1580" w:right="1300"/>
        </w:sectPr>
      </w:pPr>
    </w:p>
    <w:p>
      <w:pPr>
        <w:pStyle w:val="Heading2"/>
      </w:pPr>
      <w:bookmarkStart w:name="_bookmark24" w:id="35"/>
      <w:bookmarkEnd w:id="35"/>
      <w:r>
        <w:rPr>
          <w:b w:val="0"/>
        </w:rPr>
      </w:r>
      <w:r>
        <w:rPr/>
        <w:t>Análisis de la comercialización</w:t>
      </w:r>
    </w:p>
    <w:p>
      <w:pPr>
        <w:pStyle w:val="BodyText"/>
        <w:rPr>
          <w:b/>
          <w:sz w:val="26"/>
        </w:rPr>
      </w:pPr>
    </w:p>
    <w:p>
      <w:pPr>
        <w:pStyle w:val="BodyText"/>
        <w:spacing w:before="5"/>
        <w:rPr>
          <w:b/>
          <w:sz w:val="23"/>
        </w:rPr>
      </w:pPr>
    </w:p>
    <w:p>
      <w:pPr>
        <w:pStyle w:val="BodyText"/>
        <w:spacing w:line="360" w:lineRule="auto" w:before="1"/>
        <w:ind w:left="119" w:right="122"/>
        <w:jc w:val="both"/>
      </w:pPr>
      <w:r>
        <w:rPr/>
        <w:t>La comercialización es parte esencial </w:t>
      </w:r>
      <w:r>
        <w:rPr>
          <w:spacing w:val="-3"/>
        </w:rPr>
        <w:t>del </w:t>
      </w:r>
      <w:r>
        <w:rPr/>
        <w:t>funcionamiento de cualquier empresa y, trata de todos los mecanismos, estrategias, caminos, etc., para poder hacer llegar el producto al consumidor final con eficiencia y eficacia, es decir, bien y a tiempo. En ese proceso, pueden añadirse, al precio del producto, varias utilidades, según el tipo de intermediario que participe. Una de ellas es la utilidad de tiempo y de lugar.  Debido a que no siempre será posible que el consumidor acuda al lugar donde se produce el bien o servicio, es que los intermediarios justifican su presencia en el proceso de comercialización y/o distribución de los productos para el</w:t>
      </w:r>
      <w:r>
        <w:rPr>
          <w:spacing w:val="-33"/>
        </w:rPr>
        <w:t> </w:t>
      </w:r>
      <w:r>
        <w:rPr/>
        <w:t>consumo.</w:t>
      </w:r>
    </w:p>
    <w:p>
      <w:pPr>
        <w:pStyle w:val="BodyText"/>
      </w:pPr>
    </w:p>
    <w:p>
      <w:pPr>
        <w:pStyle w:val="BodyText"/>
        <w:spacing w:line="360" w:lineRule="auto" w:before="140"/>
        <w:ind w:left="119" w:right="113"/>
        <w:jc w:val="both"/>
      </w:pPr>
      <w:r>
        <w:rPr/>
        <w:t>En este proyecto, el canal de comercialización que se sugiere, será: Productor de ganadogordo-finalizado-Rastromunicipal-Carnicerías (agente minorista)-Consumidor final. </w:t>
      </w:r>
      <w:r>
        <w:rPr>
          <w:spacing w:val="-4"/>
        </w:rPr>
        <w:t>El </w:t>
      </w:r>
      <w:r>
        <w:rPr/>
        <w:t>productor, previa determinación del precio de venta </w:t>
      </w:r>
      <w:r>
        <w:rPr>
          <w:i/>
          <w:spacing w:val="-3"/>
        </w:rPr>
        <w:t>in </w:t>
      </w:r>
      <w:r>
        <w:rPr>
          <w:i/>
        </w:rPr>
        <w:t>vivo </w:t>
      </w:r>
      <w:r>
        <w:rPr/>
        <w:t>ofrecerá el animal al comprador en rastro, donde se tomará el peso de la canal caliente de ese animal  ya sacrificado y será el precio de venta del animal entre productor e intermediario, que puede ser el propietario de la carnicería. El resto de las comisiones del rastro serán a cuenta del</w:t>
      </w:r>
      <w:r>
        <w:rPr>
          <w:spacing w:val="-13"/>
        </w:rPr>
        <w:t> </w:t>
      </w:r>
      <w:r>
        <w:rPr/>
        <w:t>comprador.</w:t>
      </w:r>
    </w:p>
    <w:p>
      <w:pPr>
        <w:spacing w:after="0" w:line="360" w:lineRule="auto"/>
        <w:jc w:val="both"/>
        <w:sectPr>
          <w:footerReference w:type="default" r:id="rId14"/>
          <w:pgSz w:w="12240" w:h="15840"/>
          <w:pgMar w:footer="1180" w:header="0" w:top="1360" w:bottom="1380" w:left="1580" w:right="1300"/>
        </w:sectPr>
      </w:pPr>
    </w:p>
    <w:p>
      <w:pPr>
        <w:pStyle w:val="Heading2"/>
        <w:numPr>
          <w:ilvl w:val="1"/>
          <w:numId w:val="9"/>
        </w:numPr>
        <w:tabs>
          <w:tab w:pos="553" w:val="left" w:leader="none"/>
        </w:tabs>
        <w:spacing w:line="520" w:lineRule="auto" w:before="47" w:after="0"/>
        <w:ind w:left="119" w:right="6051" w:firstLine="0"/>
        <w:jc w:val="left"/>
      </w:pPr>
      <w:bookmarkStart w:name="_bookmark25" w:id="36"/>
      <w:bookmarkEnd w:id="36"/>
      <w:r>
        <w:rPr>
          <w:b w:val="0"/>
        </w:rPr>
      </w:r>
      <w:bookmarkStart w:name="_bookmark25" w:id="37"/>
      <w:bookmarkEnd w:id="37"/>
      <w:r>
        <w:rPr/>
        <w:t>E</w:t>
      </w:r>
      <w:r>
        <w:rPr/>
        <w:t>STUDIO TÉCNICO </w:t>
      </w:r>
      <w:bookmarkStart w:name="_bookmark26" w:id="38"/>
      <w:bookmarkEnd w:id="38"/>
      <w:r>
        <w:rPr/>
      </w:r>
      <w:r>
        <w:rPr/>
        <w:t>Consideraciones</w:t>
      </w:r>
      <w:r>
        <w:rPr>
          <w:spacing w:val="-10"/>
        </w:rPr>
        <w:t> </w:t>
      </w:r>
      <w:r>
        <w:rPr/>
        <w:t>iniciales</w:t>
      </w:r>
    </w:p>
    <w:p>
      <w:pPr>
        <w:pStyle w:val="BodyText"/>
        <w:spacing w:before="9"/>
        <w:rPr>
          <w:b/>
          <w:sz w:val="25"/>
        </w:rPr>
      </w:pPr>
    </w:p>
    <w:p>
      <w:pPr>
        <w:pStyle w:val="BodyText"/>
        <w:spacing w:line="360" w:lineRule="auto" w:before="1"/>
        <w:ind w:left="119" w:right="112"/>
        <w:jc w:val="both"/>
      </w:pPr>
      <w:r>
        <w:rPr/>
        <w:t>La propuesta de inversión de una engorda intensiva o bajo condiciones estabuladas, término también usado como en confinamiento, en corral, operará mediante abastecimiento de animales de razas de carne, con un peso vivo inicial (PVI) de 350 a 380 kg, provenientes de la región de influencia al</w:t>
      </w:r>
      <w:r>
        <w:rPr>
          <w:spacing w:val="-26"/>
        </w:rPr>
        <w:t> </w:t>
      </w:r>
      <w:r>
        <w:rPr/>
        <w:t>proyecto.</w:t>
      </w:r>
    </w:p>
    <w:p>
      <w:pPr>
        <w:pStyle w:val="BodyText"/>
      </w:pPr>
    </w:p>
    <w:p>
      <w:pPr>
        <w:pStyle w:val="BodyText"/>
        <w:spacing w:line="360" w:lineRule="auto" w:before="144"/>
        <w:ind w:left="119" w:right="111"/>
        <w:jc w:val="both"/>
      </w:pPr>
      <w:r>
        <w:rPr/>
        <w:t>Con la participación de algunos agentes de mercadeo, como el productor de becerros, productor de becerros destetados, que estaría produciendo con bajos costos de producción (por suponer que la producción de becerros es bajo pastoreo semi-extensivo), debido a que la actividad desarrollada es semiextensiva o bajo un sistema que es baca-becerro y de doble propósito y, la alimentación del ganado es  en agostaderos y praderas inducidas (Salas </w:t>
      </w:r>
      <w:r>
        <w:rPr>
          <w:i/>
        </w:rPr>
        <w:t>et al</w:t>
      </w:r>
      <w:r>
        <w:rPr/>
        <w:t>., 2013); un acopiador de becerros, localizado entre el productor y el engordador y que, generalmente, percibe </w:t>
      </w:r>
      <w:r>
        <w:rPr>
          <w:spacing w:val="2"/>
        </w:rPr>
        <w:t>entre </w:t>
      </w:r>
      <w:r>
        <w:rPr/>
        <w:t>5 y 15 % del valor pagado por el</w:t>
      </w:r>
      <w:r>
        <w:rPr>
          <w:spacing w:val="-16"/>
        </w:rPr>
        <w:t> </w:t>
      </w:r>
      <w:r>
        <w:rPr/>
        <w:t>engordador.</w:t>
      </w:r>
    </w:p>
    <w:p>
      <w:pPr>
        <w:pStyle w:val="BodyText"/>
      </w:pPr>
    </w:p>
    <w:p>
      <w:pPr>
        <w:pStyle w:val="BodyText"/>
        <w:spacing w:line="360" w:lineRule="auto" w:before="139"/>
        <w:ind w:left="119" w:right="114"/>
        <w:jc w:val="both"/>
      </w:pPr>
      <w:r>
        <w:rPr/>
        <w:t>El engordador de becerros destetados, quien los lleva a un peso comercial (engorda o finalización), con importantes inversiones para desarrollar la actividad (alimentación en confinamiento, instalaciones, alimentación, vacunas, desparasitantes, servicios  del veterinario,</w:t>
      </w:r>
      <w:r>
        <w:rPr>
          <w:spacing w:val="-3"/>
        </w:rPr>
        <w:t> </w:t>
      </w:r>
      <w:r>
        <w:rPr/>
        <w:t>etc.).</w:t>
      </w:r>
    </w:p>
    <w:p>
      <w:pPr>
        <w:pStyle w:val="BodyText"/>
      </w:pPr>
    </w:p>
    <w:p>
      <w:pPr>
        <w:pStyle w:val="BodyText"/>
        <w:spacing w:line="360" w:lineRule="auto" w:before="140"/>
        <w:ind w:left="119" w:right="121"/>
        <w:jc w:val="both"/>
      </w:pPr>
      <w:r>
        <w:rPr/>
        <w:t>Un introductor de ganado gordo, quien, generalmente, opera o podría operar en las propias instalaciones del rastro municipal, dispone de mayor conocimiento del sacrificio del ganado y medidas prácticas para disminuir mermas en el peso del ganado.</w:t>
      </w:r>
    </w:p>
    <w:p>
      <w:pPr>
        <w:pStyle w:val="BodyText"/>
      </w:pPr>
    </w:p>
    <w:p>
      <w:pPr>
        <w:pStyle w:val="BodyText"/>
        <w:spacing w:line="360" w:lineRule="auto" w:before="144"/>
        <w:ind w:left="119" w:right="128"/>
        <w:jc w:val="both"/>
      </w:pPr>
      <w:r>
        <w:rPr/>
        <w:t>En particular, para este proyecto, la distribución planeada será al detalle; es decir, a los titulares de carnicerías, principalmente de Tejupilco y desde el mediano plazo a municipios aledaños, en la medida en que el rastro vaya diversificando su   esquema</w:t>
      </w:r>
    </w:p>
    <w:p>
      <w:pPr>
        <w:spacing w:after="0" w:line="360" w:lineRule="auto"/>
        <w:jc w:val="both"/>
        <w:sectPr>
          <w:footerReference w:type="default" r:id="rId15"/>
          <w:pgSz w:w="12240" w:h="15840"/>
          <w:pgMar w:footer="1180" w:header="0" w:top="1360" w:bottom="1380" w:left="1580" w:right="1300"/>
          <w:pgNumType w:start="51"/>
        </w:sectPr>
      </w:pPr>
    </w:p>
    <w:p>
      <w:pPr>
        <w:pStyle w:val="BodyText"/>
        <w:spacing w:line="362" w:lineRule="auto" w:before="52"/>
        <w:ind w:left="119" w:right="132"/>
        <w:jc w:val="both"/>
      </w:pPr>
      <w:r>
        <w:rPr/>
        <w:t>de distribución e incremente la capacidad de producción y e infraestructura de distribución.</w:t>
      </w:r>
    </w:p>
    <w:p>
      <w:pPr>
        <w:pStyle w:val="BodyText"/>
      </w:pPr>
    </w:p>
    <w:p>
      <w:pPr>
        <w:pStyle w:val="Heading3"/>
        <w:spacing w:before="176"/>
      </w:pPr>
      <w:r>
        <w:rPr/>
        <w:t>Determinación del tamaño</w:t>
      </w:r>
    </w:p>
    <w:p>
      <w:pPr>
        <w:pStyle w:val="BodyText"/>
        <w:rPr>
          <w:b/>
        </w:rPr>
      </w:pPr>
    </w:p>
    <w:p>
      <w:pPr>
        <w:pStyle w:val="BodyText"/>
        <w:spacing w:before="4"/>
        <w:rPr>
          <w:b/>
          <w:sz w:val="28"/>
        </w:rPr>
      </w:pPr>
    </w:p>
    <w:p>
      <w:pPr>
        <w:pStyle w:val="BodyText"/>
        <w:spacing w:line="360" w:lineRule="auto"/>
        <w:ind w:left="119" w:right="110"/>
        <w:jc w:val="both"/>
      </w:pPr>
      <w:r>
        <w:rPr/>
        <w:t>El tamaño del proyecto es su capacidad instalada (Sapag, 2011; Rebollar y Jaramillo, 2012; Baca, 2013) y depende, principalmente, del mercado, pero también es importante, la disponibilidad de financiamiento (con o sin préstamos) (FIRA, 2010; FIRA, 2012) del socio o socios, de la capacidad de abastecer cierto porcentaje de demanda insatisfecha regional; entre otras cosas, del número de turnos de trabajo (Sapag, 2011; Baca, 2013).</w:t>
      </w:r>
    </w:p>
    <w:p>
      <w:pPr>
        <w:pStyle w:val="BodyText"/>
      </w:pPr>
    </w:p>
    <w:p>
      <w:pPr>
        <w:pStyle w:val="BodyText"/>
        <w:spacing w:line="360" w:lineRule="auto" w:before="144"/>
        <w:ind w:left="119" w:right="110"/>
        <w:jc w:val="both"/>
      </w:pPr>
      <w:r>
        <w:rPr/>
        <w:t>Para este proyecto, en términos de disponibilidad financiera </w:t>
      </w:r>
      <w:r>
        <w:rPr>
          <w:spacing w:val="6"/>
        </w:rPr>
        <w:t>de </w:t>
      </w:r>
      <w:r>
        <w:rPr/>
        <w:t>socios y de inversión, el tamaño estará en función a un millón de pesos, </w:t>
      </w:r>
      <w:r>
        <w:rPr>
          <w:spacing w:val="-3"/>
        </w:rPr>
        <w:t>más </w:t>
      </w:r>
      <w:r>
        <w:rPr/>
        <w:t>la posibilidad de incrementarlo, según disponibilidad del socio o socios. La disponibilidad inicial de recursos, será destinada a obra física, como instalaciones rústicas, equipo (capital inmovilizado: comederos, bebederos, una bodega para almacenar el alimento, palas, picos, dos carretillas), inversión diferida o capital inmovilizado, capital de trabajo y costos de operación (compra de animales para la engorda) del </w:t>
      </w:r>
      <w:r>
        <w:rPr>
          <w:spacing w:val="-2"/>
        </w:rPr>
        <w:t>mismo, </w:t>
      </w:r>
      <w:r>
        <w:rPr/>
        <w:t>para reponerlo, de forma fraccional, hasta el momento en que ocurra la  primera producción</w:t>
      </w:r>
      <w:r>
        <w:rPr>
          <w:spacing w:val="-7"/>
        </w:rPr>
        <w:t> </w:t>
      </w:r>
      <w:r>
        <w:rPr/>
        <w:t>comercial.</w:t>
      </w:r>
    </w:p>
    <w:p>
      <w:pPr>
        <w:pStyle w:val="BodyText"/>
      </w:pPr>
    </w:p>
    <w:p>
      <w:pPr>
        <w:pStyle w:val="BodyText"/>
        <w:spacing w:line="360" w:lineRule="auto" w:before="139"/>
        <w:ind w:left="119" w:right="112"/>
        <w:jc w:val="both"/>
      </w:pPr>
      <w:r>
        <w:rPr/>
        <w:t>Los primeros tres conceptos de destino del financiamiento, se insertan en el presupuesto de inversión total inicial. Como primera producción comercial se refiere ala engorda, finalización y venta de bovinos, en un sistema de engorda intensiva en confinamiento, a un peso, promedio de 500 kg.</w:t>
      </w:r>
    </w:p>
    <w:p>
      <w:pPr>
        <w:pStyle w:val="BodyText"/>
      </w:pPr>
    </w:p>
    <w:p>
      <w:pPr>
        <w:pStyle w:val="BodyText"/>
        <w:spacing w:line="360" w:lineRule="auto" w:before="140"/>
        <w:ind w:left="119" w:right="111"/>
        <w:jc w:val="both"/>
      </w:pPr>
      <w:r>
        <w:rPr/>
        <w:t>Las razas de ganado bovino, a engordar, serán, de preferencia, especializadas en carne y libres de cualquier tipo de anabólico o </w:t>
      </w:r>
      <w:r>
        <w:rPr>
          <w:i/>
        </w:rPr>
        <w:t>B</w:t>
      </w:r>
      <w:r>
        <w:rPr/>
        <w:t>-agonistas (como clembuterol), que puedan poner en riesgo la salud humana al momento de consumir la carne, de las</w:t>
      </w:r>
    </w:p>
    <w:p>
      <w:pPr>
        <w:spacing w:after="0" w:line="360" w:lineRule="auto"/>
        <w:jc w:val="both"/>
        <w:sectPr>
          <w:pgSz w:w="12240" w:h="15840"/>
          <w:pgMar w:header="0" w:footer="1180" w:top="1360" w:bottom="1380" w:left="1580" w:right="1300"/>
        </w:sectPr>
      </w:pPr>
    </w:p>
    <w:p>
      <w:pPr>
        <w:pStyle w:val="BodyText"/>
        <w:spacing w:line="362" w:lineRule="auto" w:before="52"/>
        <w:ind w:left="119"/>
      </w:pPr>
      <w:r>
        <w:rPr/>
        <w:t>cruzas </w:t>
      </w:r>
      <w:r>
        <w:rPr>
          <w:i/>
        </w:rPr>
        <w:t>Bostaurus </w:t>
      </w:r>
      <w:r>
        <w:rPr/>
        <w:t>x </w:t>
      </w:r>
      <w:r>
        <w:rPr>
          <w:i/>
        </w:rPr>
        <w:t>Bosindicus</w:t>
      </w:r>
      <w:r>
        <w:rPr/>
        <w:t>, entre las que destacan: Cebú, Charoláis, Indobrasil, Suizo americano.</w:t>
      </w:r>
    </w:p>
    <w:p>
      <w:pPr>
        <w:spacing w:after="0" w:line="362" w:lineRule="auto"/>
        <w:sectPr>
          <w:pgSz w:w="12240" w:h="15840"/>
          <w:pgMar w:header="0" w:footer="1180" w:top="1360" w:bottom="1380" w:left="1580" w:right="1320"/>
        </w:sectPr>
      </w:pPr>
    </w:p>
    <w:p>
      <w:pPr>
        <w:pStyle w:val="Heading3"/>
        <w:spacing w:before="47"/>
      </w:pPr>
      <w:r>
        <w:rPr/>
        <w:t>Localización del proyecto</w:t>
      </w:r>
    </w:p>
    <w:p>
      <w:pPr>
        <w:pStyle w:val="BodyText"/>
        <w:rPr>
          <w:b/>
        </w:rPr>
      </w:pPr>
    </w:p>
    <w:p>
      <w:pPr>
        <w:pStyle w:val="BodyText"/>
        <w:spacing w:before="11"/>
        <w:rPr>
          <w:b/>
          <w:sz w:val="27"/>
        </w:rPr>
      </w:pPr>
    </w:p>
    <w:p>
      <w:pPr>
        <w:pStyle w:val="Heading3"/>
      </w:pPr>
      <w:bookmarkStart w:name="_bookmark27" w:id="39"/>
      <w:bookmarkEnd w:id="39"/>
      <w:r>
        <w:rPr>
          <w:b w:val="0"/>
        </w:rPr>
      </w:r>
      <w:r>
        <w:rPr/>
        <w:t>Macrolocalización</w:t>
      </w:r>
    </w:p>
    <w:p>
      <w:pPr>
        <w:pStyle w:val="BodyText"/>
        <w:rPr>
          <w:b/>
        </w:rPr>
      </w:pPr>
    </w:p>
    <w:p>
      <w:pPr>
        <w:pStyle w:val="BodyText"/>
        <w:spacing w:before="3"/>
        <w:rPr>
          <w:b/>
          <w:sz w:val="21"/>
        </w:rPr>
      </w:pPr>
    </w:p>
    <w:p>
      <w:pPr>
        <w:pStyle w:val="BodyText"/>
        <w:spacing w:line="360" w:lineRule="auto" w:before="1"/>
        <w:ind w:left="119" w:right="111"/>
        <w:jc w:val="both"/>
      </w:pPr>
      <w:r>
        <w:rPr/>
        <w:t>A nivel macro, el proyecto se ubicará en el Estado de México, municipio de Tejupilco, a 108 km de la ciudad de Toluca, capital de la entidad. Tejupilco, tiene varios climas, pero predomina el templado subhúmedo con lluvias en verano. La Cabecera municipal se sitúa a 1,350 </w:t>
      </w:r>
      <w:r>
        <w:rPr>
          <w:spacing w:val="-3"/>
        </w:rPr>
        <w:t>msnm, </w:t>
      </w:r>
      <w:r>
        <w:rPr/>
        <w:t>a 102º25´15´´ de latitud norte y 105º20´12´´ longitud oeste. La temperatura promedio anual es 22ºC y 2,000 mm anuales de precipitación. La época de lluvias va de junio a octubre de cada año y el estiaje de noviembre a mayo. En 25% de su territorio predomina vegetación pino-encino, con predominancia de selva baja caducifolia y clima de trópico semi-seco (Cardoso, 1997).</w:t>
      </w:r>
    </w:p>
    <w:p>
      <w:pPr>
        <w:pStyle w:val="BodyText"/>
      </w:pPr>
    </w:p>
    <w:p>
      <w:pPr>
        <w:pStyle w:val="Heading3"/>
        <w:spacing w:before="139"/>
      </w:pPr>
      <w:bookmarkStart w:name="_bookmark28" w:id="40"/>
      <w:bookmarkEnd w:id="40"/>
      <w:r>
        <w:rPr>
          <w:b w:val="0"/>
        </w:rPr>
      </w:r>
      <w:r>
        <w:rPr/>
        <w:t>Microlocalización</w:t>
      </w:r>
    </w:p>
    <w:p>
      <w:pPr>
        <w:pStyle w:val="BodyText"/>
        <w:rPr>
          <w:b/>
        </w:rPr>
      </w:pPr>
    </w:p>
    <w:p>
      <w:pPr>
        <w:pStyle w:val="BodyText"/>
        <w:spacing w:before="3"/>
        <w:rPr>
          <w:b/>
          <w:sz w:val="21"/>
        </w:rPr>
      </w:pPr>
    </w:p>
    <w:p>
      <w:pPr>
        <w:pStyle w:val="BodyText"/>
        <w:spacing w:line="360" w:lineRule="auto"/>
        <w:ind w:left="119" w:right="113"/>
        <w:jc w:val="both"/>
      </w:pPr>
      <w:r>
        <w:rPr/>
        <w:t>El proyecto de a engorda intensiva en corral, se ubicará dentro del municipio de Tejupilco (Anexo 1), en la comunidad Almoloya de las Granadas; en un predio propiedad de uno de los socios, cuyas dimensiones son 50 m X 50 m, al norte del pueblo sobre la carretera principal y única. El predio tiene un costo estimado de</w:t>
      </w:r>
    </w:p>
    <w:p>
      <w:pPr>
        <w:pStyle w:val="BodyText"/>
        <w:spacing w:before="2"/>
        <w:ind w:left="119"/>
        <w:jc w:val="both"/>
      </w:pPr>
      <w:r>
        <w:rPr/>
        <w:t>$625,000.0.</w:t>
      </w:r>
    </w:p>
    <w:p>
      <w:pPr>
        <w:spacing w:after="0"/>
        <w:jc w:val="both"/>
        <w:sectPr>
          <w:pgSz w:w="12240" w:h="15840"/>
          <w:pgMar w:header="0" w:footer="1180" w:top="1360" w:bottom="1380" w:left="1580" w:right="1300"/>
        </w:sectPr>
      </w:pPr>
    </w:p>
    <w:p>
      <w:pPr>
        <w:pStyle w:val="BodyText"/>
        <w:ind w:left="119"/>
        <w:rPr>
          <w:sz w:val="20"/>
        </w:rPr>
      </w:pPr>
      <w:r>
        <w:rPr>
          <w:sz w:val="20"/>
        </w:rPr>
        <w:drawing>
          <wp:inline distT="0" distB="0" distL="0" distR="0">
            <wp:extent cx="5605258" cy="420624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6" cstate="print"/>
                    <a:stretch>
                      <a:fillRect/>
                    </a:stretch>
                  </pic:blipFill>
                  <pic:spPr>
                    <a:xfrm>
                      <a:off x="0" y="0"/>
                      <a:ext cx="5605258" cy="4206240"/>
                    </a:xfrm>
                    <a:prstGeom prst="rect">
                      <a:avLst/>
                    </a:prstGeom>
                  </pic:spPr>
                </pic:pic>
              </a:graphicData>
            </a:graphic>
          </wp:inline>
        </w:drawing>
      </w:r>
      <w:r>
        <w:rPr>
          <w:sz w:val="20"/>
        </w:rPr>
      </w:r>
    </w:p>
    <w:p>
      <w:pPr>
        <w:spacing w:before="108"/>
        <w:ind w:left="119" w:right="0" w:firstLine="0"/>
        <w:jc w:val="both"/>
        <w:rPr>
          <w:sz w:val="20"/>
        </w:rPr>
      </w:pPr>
      <w:r>
        <w:rPr>
          <w:sz w:val="20"/>
        </w:rPr>
        <w:t>Figura 1. Vista del pueblo de Almoloya de las Granadas, Tejupilco, Estado de México.</w:t>
      </w:r>
    </w:p>
    <w:p>
      <w:pPr>
        <w:pStyle w:val="BodyText"/>
        <w:rPr>
          <w:sz w:val="20"/>
        </w:rPr>
      </w:pPr>
    </w:p>
    <w:p>
      <w:pPr>
        <w:pStyle w:val="BodyText"/>
        <w:rPr>
          <w:sz w:val="26"/>
        </w:rPr>
      </w:pPr>
    </w:p>
    <w:p>
      <w:pPr>
        <w:pStyle w:val="BodyText"/>
        <w:spacing w:line="360" w:lineRule="auto"/>
        <w:ind w:left="119" w:right="111"/>
        <w:jc w:val="both"/>
      </w:pPr>
      <w:r>
        <w:rPr/>
        <w:t>Esta comunidad, tiene una altitud de 1,550 msnm (con GPS). Su población es, aproximadamente, 1,300 habitantes (58% mujeres, 42% hombres) (Com. Personal con Delegado Municipal). Dispone de vías de acceso primarias y secundarias, es decir, una carretera regional, pavimentada Tejupilco-Almoloya, desviación a partir de carretera pavimentada estatal, con un tramo de terracería, en buen estado; que conecta a la comunidad de Río Grande; energía eléctrica con cableado de la CFE, acceso a telefonía fija con capacidad para comunicación inalámbrica de Internet en casa. Algunos pueblosde importancia e influencia a la comunidad son: Tenería, Río Grande, Ojo de Agua, Cerro Alto y Los Martínez.</w:t>
      </w:r>
    </w:p>
    <w:p>
      <w:pPr>
        <w:spacing w:after="0" w:line="360" w:lineRule="auto"/>
        <w:jc w:val="both"/>
        <w:sectPr>
          <w:pgSz w:w="12240" w:h="15840"/>
          <w:pgMar w:header="0" w:footer="1180" w:top="1420" w:bottom="1380" w:left="1580" w:right="1300"/>
        </w:sectPr>
      </w:pPr>
    </w:p>
    <w:p>
      <w:pPr>
        <w:pStyle w:val="Heading3"/>
        <w:spacing w:before="47"/>
      </w:pPr>
      <w:r>
        <w:rPr/>
        <w:t>Extensión</w:t>
      </w:r>
    </w:p>
    <w:p>
      <w:pPr>
        <w:pStyle w:val="BodyText"/>
        <w:rPr>
          <w:b/>
        </w:rPr>
      </w:pPr>
    </w:p>
    <w:p>
      <w:pPr>
        <w:pStyle w:val="BodyText"/>
        <w:spacing w:before="7"/>
        <w:rPr>
          <w:b/>
        </w:rPr>
      </w:pPr>
    </w:p>
    <w:p>
      <w:pPr>
        <w:pStyle w:val="BodyText"/>
        <w:spacing w:line="360" w:lineRule="auto"/>
        <w:ind w:left="119" w:right="117"/>
        <w:jc w:val="both"/>
      </w:pPr>
      <w:r>
        <w:rPr/>
        <w:t>6,254.3 ha le corresponden al municipio de Tejupilco, según datos registrados por la Subdirección de Estudios y consulta del territorio estatal, de la Secretaría de Finanzas y Planeación del Gobierno del Estado de</w:t>
      </w:r>
      <w:r>
        <w:rPr>
          <w:spacing w:val="-23"/>
        </w:rPr>
        <w:t> </w:t>
      </w:r>
      <w:r>
        <w:rPr/>
        <w:t>México.</w:t>
      </w:r>
    </w:p>
    <w:p>
      <w:pPr>
        <w:pStyle w:val="BodyText"/>
      </w:pPr>
    </w:p>
    <w:p>
      <w:pPr>
        <w:pStyle w:val="Heading3"/>
        <w:spacing w:before="182"/>
      </w:pPr>
      <w:r>
        <w:rPr/>
        <w:t>Orografía</w:t>
      </w:r>
    </w:p>
    <w:p>
      <w:pPr>
        <w:pStyle w:val="BodyText"/>
        <w:rPr>
          <w:b/>
        </w:rPr>
      </w:pPr>
    </w:p>
    <w:p>
      <w:pPr>
        <w:pStyle w:val="BodyText"/>
        <w:spacing w:before="2"/>
        <w:rPr>
          <w:b/>
        </w:rPr>
      </w:pPr>
    </w:p>
    <w:p>
      <w:pPr>
        <w:pStyle w:val="BodyText"/>
        <w:spacing w:line="362" w:lineRule="auto" w:before="1"/>
        <w:ind w:left="119" w:right="122"/>
        <w:jc w:val="both"/>
      </w:pPr>
      <w:r>
        <w:rPr/>
        <w:t>El Pueblo de Almoloya de las Granadas, representa grandes abismos, profundas barrancas y depresiones que determinan parte del sistema montañoso de Tejupilco.</w:t>
      </w:r>
    </w:p>
    <w:p>
      <w:pPr>
        <w:pStyle w:val="BodyText"/>
        <w:rPr>
          <w:sz w:val="20"/>
        </w:rPr>
      </w:pPr>
    </w:p>
    <w:p>
      <w:pPr>
        <w:pStyle w:val="BodyText"/>
        <w:spacing w:before="8"/>
        <w:rPr>
          <w:sz w:val="12"/>
        </w:rPr>
      </w:pPr>
      <w:r>
        <w:rPr/>
        <w:drawing>
          <wp:anchor distT="0" distB="0" distL="0" distR="0" allowOverlap="1" layoutInCell="1" locked="0" behindDoc="0" simplePos="0" relativeHeight="1264">
            <wp:simplePos x="0" y="0"/>
            <wp:positionH relativeFrom="page">
              <wp:posOffset>1078991</wp:posOffset>
            </wp:positionH>
            <wp:positionV relativeFrom="paragraph">
              <wp:posOffset>117993</wp:posOffset>
            </wp:positionV>
            <wp:extent cx="5605258" cy="4206239"/>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7" cstate="print"/>
                    <a:stretch>
                      <a:fillRect/>
                    </a:stretch>
                  </pic:blipFill>
                  <pic:spPr>
                    <a:xfrm>
                      <a:off x="0" y="0"/>
                      <a:ext cx="5605258" cy="4206239"/>
                    </a:xfrm>
                    <a:prstGeom prst="rect">
                      <a:avLst/>
                    </a:prstGeom>
                  </pic:spPr>
                </pic:pic>
              </a:graphicData>
            </a:graphic>
          </wp:anchor>
        </w:drawing>
      </w:r>
    </w:p>
    <w:p>
      <w:pPr>
        <w:spacing w:before="85"/>
        <w:ind w:left="119" w:right="0" w:firstLine="0"/>
        <w:jc w:val="both"/>
        <w:rPr>
          <w:sz w:val="20"/>
        </w:rPr>
      </w:pPr>
      <w:r>
        <w:rPr>
          <w:sz w:val="20"/>
        </w:rPr>
        <w:t>Figura 2. Almoloya de las Granadas, Tejupilco. Estado de México. Imagen propiedad de los autores.</w:t>
      </w:r>
    </w:p>
    <w:p>
      <w:pPr>
        <w:spacing w:after="0"/>
        <w:jc w:val="both"/>
        <w:rPr>
          <w:sz w:val="20"/>
        </w:rPr>
        <w:sectPr>
          <w:pgSz w:w="12240" w:h="15840"/>
          <w:pgMar w:header="0" w:footer="1180" w:top="1360" w:bottom="1380" w:left="1580" w:right="1300"/>
        </w:sectPr>
      </w:pPr>
    </w:p>
    <w:p>
      <w:pPr>
        <w:pStyle w:val="Heading3"/>
        <w:spacing w:before="47"/>
      </w:pPr>
      <w:r>
        <w:rPr/>
        <w:t>Hidrografía</w:t>
      </w:r>
    </w:p>
    <w:p>
      <w:pPr>
        <w:pStyle w:val="BodyText"/>
        <w:rPr>
          <w:b/>
        </w:rPr>
      </w:pPr>
    </w:p>
    <w:p>
      <w:pPr>
        <w:pStyle w:val="BodyText"/>
        <w:spacing w:before="7"/>
        <w:rPr>
          <w:b/>
        </w:rPr>
      </w:pPr>
    </w:p>
    <w:p>
      <w:pPr>
        <w:pStyle w:val="BodyText"/>
        <w:spacing w:line="360" w:lineRule="auto"/>
        <w:ind w:left="119" w:right="111"/>
        <w:jc w:val="both"/>
      </w:pPr>
      <w:r>
        <w:rPr/>
        <w:t>Lo accidentado del municipio hace que tenga escurrimientos que al sumarse unos a otros forman arroyuelos y ríos, el río Temascaltepeces el más importante porque conserva su caudal todo el año, este río corre de norte a sur, desemboca en el río Cutzamala, éste a su vez vierte sus aguas en el río Balsas.</w:t>
      </w:r>
    </w:p>
    <w:p>
      <w:pPr>
        <w:pStyle w:val="BodyText"/>
        <w:rPr>
          <w:sz w:val="20"/>
        </w:rPr>
      </w:pPr>
    </w:p>
    <w:p>
      <w:pPr>
        <w:pStyle w:val="BodyText"/>
        <w:rPr>
          <w:sz w:val="13"/>
        </w:rPr>
      </w:pPr>
      <w:r>
        <w:rPr/>
        <w:drawing>
          <wp:anchor distT="0" distB="0" distL="0" distR="0" allowOverlap="1" layoutInCell="1" locked="0" behindDoc="0" simplePos="0" relativeHeight="1288">
            <wp:simplePos x="0" y="0"/>
            <wp:positionH relativeFrom="page">
              <wp:posOffset>1078991</wp:posOffset>
            </wp:positionH>
            <wp:positionV relativeFrom="paragraph">
              <wp:posOffset>119949</wp:posOffset>
            </wp:positionV>
            <wp:extent cx="5609341" cy="420624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8" cstate="print"/>
                    <a:stretch>
                      <a:fillRect/>
                    </a:stretch>
                  </pic:blipFill>
                  <pic:spPr>
                    <a:xfrm>
                      <a:off x="0" y="0"/>
                      <a:ext cx="5609341" cy="4206240"/>
                    </a:xfrm>
                    <a:prstGeom prst="rect">
                      <a:avLst/>
                    </a:prstGeom>
                  </pic:spPr>
                </pic:pic>
              </a:graphicData>
            </a:graphic>
          </wp:anchor>
        </w:drawing>
      </w:r>
    </w:p>
    <w:p>
      <w:pPr>
        <w:spacing w:line="360" w:lineRule="auto" w:before="84"/>
        <w:ind w:left="119" w:right="119" w:firstLine="0"/>
        <w:jc w:val="both"/>
        <w:rPr>
          <w:sz w:val="20"/>
        </w:rPr>
      </w:pPr>
      <w:r>
        <w:rPr>
          <w:sz w:val="20"/>
        </w:rPr>
        <w:t>Figura 3. Arroyo principal de Almoloya de las Granadas en la época de secas. Imagen propiedad de los</w:t>
      </w:r>
      <w:r>
        <w:rPr>
          <w:spacing w:val="-7"/>
          <w:sz w:val="20"/>
        </w:rPr>
        <w:t> </w:t>
      </w:r>
      <w:r>
        <w:rPr>
          <w:sz w:val="20"/>
        </w:rPr>
        <w:t>autores.</w:t>
      </w:r>
    </w:p>
    <w:p>
      <w:pPr>
        <w:pStyle w:val="BodyText"/>
        <w:rPr>
          <w:sz w:val="20"/>
        </w:rPr>
      </w:pPr>
    </w:p>
    <w:p>
      <w:pPr>
        <w:pStyle w:val="BodyText"/>
        <w:spacing w:before="10"/>
        <w:rPr>
          <w:sz w:val="15"/>
        </w:rPr>
      </w:pPr>
    </w:p>
    <w:p>
      <w:pPr>
        <w:pStyle w:val="Heading3"/>
      </w:pPr>
      <w:r>
        <w:rPr/>
        <w:t>Clima</w:t>
      </w:r>
    </w:p>
    <w:p>
      <w:pPr>
        <w:pStyle w:val="BodyText"/>
        <w:rPr>
          <w:b/>
        </w:rPr>
      </w:pPr>
    </w:p>
    <w:p>
      <w:pPr>
        <w:pStyle w:val="BodyText"/>
        <w:spacing w:before="2"/>
        <w:rPr>
          <w:b/>
        </w:rPr>
      </w:pPr>
    </w:p>
    <w:p>
      <w:pPr>
        <w:pStyle w:val="BodyText"/>
        <w:spacing w:line="360" w:lineRule="auto" w:before="1"/>
        <w:ind w:left="119" w:right="124"/>
        <w:jc w:val="both"/>
      </w:pPr>
      <w:r>
        <w:rPr/>
        <w:t>De acuerdo a la situación topográfica del municipio predominan principalmente dos tipos de climas, el templado y el subtropical, éste último se localiza en las delegaciones municipales que se encuentran en la parte sur del municipio,   mientras</w:t>
      </w:r>
    </w:p>
    <w:p>
      <w:pPr>
        <w:spacing w:after="0" w:line="360" w:lineRule="auto"/>
        <w:jc w:val="both"/>
        <w:sectPr>
          <w:pgSz w:w="12240" w:h="15840"/>
          <w:pgMar w:header="0" w:footer="1180" w:top="1360" w:bottom="1380" w:left="1580" w:right="1300"/>
        </w:sectPr>
      </w:pPr>
    </w:p>
    <w:p>
      <w:pPr>
        <w:pStyle w:val="BodyText"/>
        <w:spacing w:line="360" w:lineRule="auto" w:before="52"/>
        <w:ind w:left="119" w:right="124"/>
        <w:jc w:val="both"/>
      </w:pPr>
      <w:r>
        <w:rPr/>
        <w:t>que el clima templado se tiene al norte por las comunidades de Tenería, Río Grande, Almoloya de las Granadas, San Lucas del Maíz, San José la Laguna, entre otros y otras delegaciones que se poco más hacia el sur, como Bejucos, Palmar Chico, Palmar Grande.</w:t>
      </w:r>
    </w:p>
    <w:p>
      <w:pPr>
        <w:pStyle w:val="BodyText"/>
      </w:pPr>
    </w:p>
    <w:p>
      <w:pPr>
        <w:pStyle w:val="BodyText"/>
        <w:spacing w:line="360" w:lineRule="auto" w:before="144"/>
        <w:ind w:left="119" w:right="123"/>
        <w:jc w:val="both"/>
      </w:pPr>
      <w:r>
        <w:rPr/>
        <w:t>En verano aparecen las lluvias, se renuevan las plantas, árboles y se inicia el periodo agrícola. En otoño, el productor agrícola recoge las cosechas de maíz, frijol,  calabaza, caña de azúcar y ajonjolí; también aparecen las flores en el campo, se recolecta la guayaba, la naranja y la lima entre otras</w:t>
      </w:r>
      <w:r>
        <w:rPr>
          <w:spacing w:val="-19"/>
        </w:rPr>
        <w:t> </w:t>
      </w:r>
      <w:r>
        <w:rPr/>
        <w:t>frutas.</w:t>
      </w:r>
    </w:p>
    <w:p>
      <w:pPr>
        <w:pStyle w:val="BodyText"/>
      </w:pPr>
    </w:p>
    <w:p>
      <w:pPr>
        <w:pStyle w:val="BodyText"/>
        <w:spacing w:line="360" w:lineRule="auto" w:before="144"/>
        <w:ind w:left="119" w:right="125"/>
        <w:jc w:val="both"/>
      </w:pPr>
      <w:r>
        <w:rPr/>
        <w:t>En el invierno los árboles pierden su follaje, se marchitan algunas flores, se obtienen en la región productos de algunos cítricos; jícamas, chirimoya y cacahuates. La temperatura varía de 15º hasta los 40°C.</w:t>
      </w:r>
    </w:p>
    <w:p>
      <w:pPr>
        <w:pStyle w:val="BodyText"/>
      </w:pPr>
    </w:p>
    <w:p>
      <w:pPr>
        <w:pStyle w:val="Heading3"/>
        <w:spacing w:before="182"/>
      </w:pPr>
      <w:r>
        <w:rPr/>
        <w:t>Características y uso de suelo</w:t>
      </w:r>
    </w:p>
    <w:p>
      <w:pPr>
        <w:pStyle w:val="BodyText"/>
        <w:rPr>
          <w:b/>
        </w:rPr>
      </w:pPr>
    </w:p>
    <w:p>
      <w:pPr>
        <w:pStyle w:val="BodyText"/>
        <w:spacing w:before="2"/>
        <w:rPr>
          <w:b/>
        </w:rPr>
      </w:pPr>
    </w:p>
    <w:p>
      <w:pPr>
        <w:pStyle w:val="BodyText"/>
        <w:spacing w:line="360" w:lineRule="auto" w:before="1"/>
        <w:ind w:left="119" w:right="123"/>
        <w:jc w:val="both"/>
      </w:pPr>
      <w:r>
        <w:rPr/>
        <w:t>Los suelos existentes son, según su uso, de tipo pecuario agrícola, forestal y urbano, cuyas superficies terrestres se componen por terrenos arcillosos, calcáreos,  arenosos y</w:t>
      </w:r>
      <w:r>
        <w:rPr>
          <w:spacing w:val="-9"/>
        </w:rPr>
        <w:t> </w:t>
      </w:r>
      <w:r>
        <w:rPr/>
        <w:t>rocosos.</w:t>
      </w:r>
    </w:p>
    <w:p>
      <w:pPr>
        <w:pStyle w:val="BodyText"/>
      </w:pPr>
    </w:p>
    <w:p>
      <w:pPr>
        <w:pStyle w:val="BodyText"/>
        <w:spacing w:line="360" w:lineRule="auto" w:before="140"/>
        <w:ind w:left="119" w:right="115"/>
        <w:jc w:val="both"/>
      </w:pPr>
      <w:r>
        <w:rPr/>
        <w:t>Los terrenos del ramo forestal se localizan en: Río Grande, Tenería, Almoloya de las Granadas, con especies de pinos (</w:t>
      </w:r>
      <w:r>
        <w:rPr>
          <w:i/>
        </w:rPr>
        <w:t>P. ocarpa</w:t>
      </w:r>
      <w:r>
        <w:rPr/>
        <w:t>), </w:t>
      </w:r>
      <w:r>
        <w:rPr>
          <w:i/>
        </w:rPr>
        <w:t>Quercussp</w:t>
      </w:r>
      <w:r>
        <w:rPr/>
        <w:t>, La laguna y la zona arqueológica existente en el pueblo de San Miguel Ixtapan.</w:t>
      </w:r>
    </w:p>
    <w:p>
      <w:pPr>
        <w:pStyle w:val="BodyText"/>
      </w:pPr>
    </w:p>
    <w:p>
      <w:pPr>
        <w:pStyle w:val="BodyText"/>
        <w:spacing w:line="360" w:lineRule="auto" w:before="140"/>
        <w:ind w:left="119" w:right="126"/>
        <w:jc w:val="both"/>
      </w:pPr>
      <w:r>
        <w:rPr/>
        <w:t>En el renglón agrícola, se encuentra constituido por Cerro Gordo, Lodo Prieto, La Labor y por otro lado, la región de Bejucos, el resto de todo el municipio está considerado como pecuario y representa casi el 70%.</w:t>
      </w:r>
    </w:p>
    <w:p>
      <w:pPr>
        <w:spacing w:after="0" w:line="360" w:lineRule="auto"/>
        <w:jc w:val="both"/>
        <w:sectPr>
          <w:pgSz w:w="12240" w:h="15840"/>
          <w:pgMar w:header="0" w:footer="1180" w:top="1360" w:bottom="1380" w:left="1580" w:right="1300"/>
        </w:sectPr>
      </w:pPr>
    </w:p>
    <w:p>
      <w:pPr>
        <w:pStyle w:val="Heading1"/>
      </w:pPr>
      <w:r>
        <w:rPr/>
        <w:t>Ingeniería del proyecto</w:t>
      </w:r>
    </w:p>
    <w:p>
      <w:pPr>
        <w:pStyle w:val="BodyText"/>
        <w:rPr>
          <w:b/>
          <w:sz w:val="28"/>
        </w:rPr>
      </w:pPr>
    </w:p>
    <w:p>
      <w:pPr>
        <w:pStyle w:val="BodyText"/>
        <w:spacing w:before="3"/>
        <w:rPr>
          <w:b/>
          <w:sz w:val="23"/>
        </w:rPr>
      </w:pPr>
    </w:p>
    <w:p>
      <w:pPr>
        <w:pStyle w:val="Heading3"/>
      </w:pPr>
      <w:r>
        <w:rPr/>
        <w:t>Descripciónde actividades a realizar</w:t>
      </w:r>
    </w:p>
    <w:p>
      <w:pPr>
        <w:pStyle w:val="BodyText"/>
        <w:rPr>
          <w:b/>
        </w:rPr>
      </w:pPr>
    </w:p>
    <w:p>
      <w:pPr>
        <w:pStyle w:val="BodyText"/>
        <w:spacing w:before="7"/>
        <w:rPr>
          <w:b/>
        </w:rPr>
      </w:pPr>
    </w:p>
    <w:p>
      <w:pPr>
        <w:pStyle w:val="BodyText"/>
        <w:spacing w:line="360" w:lineRule="auto"/>
        <w:ind w:left="119" w:right="112"/>
        <w:jc w:val="both"/>
      </w:pPr>
      <w:r>
        <w:rPr>
          <w:i/>
        </w:rPr>
        <w:t>Llegada del ganado a engordar</w:t>
      </w:r>
      <w:r>
        <w:rPr/>
        <w:t>. Será el </w:t>
      </w:r>
      <w:r>
        <w:rPr>
          <w:spacing w:val="-3"/>
        </w:rPr>
        <w:t>primer </w:t>
      </w:r>
      <w:r>
        <w:rPr/>
        <w:t>paso del proceso de engorda,que consiste en el desembarque, donde los animales descienden del transporte en el que llegaron al corral, para tomar un periodo de ambientación de una semana, previo al inicio de la alimentación intensiva. Esto se hace necesario porque los animales provienen de un sistema de producción distinto al de la engorda en corral y tienen que ambientarse, de lo contrario, están en riesgo de caer en situaciones de ansiedad lo que trae consigo ineficiencias técnicas de la</w:t>
      </w:r>
      <w:r>
        <w:rPr>
          <w:spacing w:val="-28"/>
        </w:rPr>
        <w:t> </w:t>
      </w:r>
      <w:r>
        <w:rPr/>
        <w:t>producción.</w:t>
      </w:r>
    </w:p>
    <w:p>
      <w:pPr>
        <w:pStyle w:val="BodyText"/>
        <w:spacing w:before="5"/>
      </w:pPr>
    </w:p>
    <w:p>
      <w:pPr>
        <w:pStyle w:val="BodyText"/>
        <w:spacing w:line="360" w:lineRule="auto"/>
        <w:ind w:left="119" w:right="115"/>
        <w:jc w:val="both"/>
      </w:pPr>
      <w:r>
        <w:rPr>
          <w:i/>
        </w:rPr>
        <w:t>Desparasitación y vitaminación.</w:t>
      </w:r>
      <w:r>
        <w:rPr/>
        <w:t>Inmediatamente, se les tiene que aplicar el desparasitante común, así como aplicación de vitaminas para propiciar la mejor conversión de alimento en carne. La dosis considerada es de un frasco para cada 20 animales. El frasco tiene un costo estimado de $180.0, son dos frascos, por tanto,</w:t>
      </w:r>
    </w:p>
    <w:p>
      <w:pPr>
        <w:pStyle w:val="BodyText"/>
        <w:spacing w:before="7"/>
        <w:ind w:left="119"/>
        <w:jc w:val="both"/>
      </w:pPr>
      <w:r>
        <w:rPr/>
        <w:t>$360.0.</w:t>
      </w:r>
    </w:p>
    <w:p>
      <w:pPr>
        <w:pStyle w:val="BodyText"/>
      </w:pPr>
    </w:p>
    <w:p>
      <w:pPr>
        <w:pStyle w:val="BodyText"/>
        <w:rPr>
          <w:sz w:val="23"/>
        </w:rPr>
      </w:pPr>
    </w:p>
    <w:p>
      <w:pPr>
        <w:pStyle w:val="Heading1"/>
        <w:spacing w:before="0"/>
      </w:pPr>
      <w:r>
        <w:rPr/>
        <w:t>Necesidades de maquinaria y equipo</w:t>
      </w:r>
    </w:p>
    <w:p>
      <w:pPr>
        <w:pStyle w:val="BodyText"/>
        <w:rPr>
          <w:b/>
          <w:sz w:val="28"/>
        </w:rPr>
      </w:pPr>
    </w:p>
    <w:p>
      <w:pPr>
        <w:pStyle w:val="BodyText"/>
        <w:spacing w:before="9"/>
        <w:rPr>
          <w:b/>
          <w:sz w:val="22"/>
        </w:rPr>
      </w:pPr>
    </w:p>
    <w:p>
      <w:pPr>
        <w:pStyle w:val="BodyText"/>
        <w:spacing w:line="360" w:lineRule="auto"/>
        <w:ind w:left="119" w:right="114"/>
        <w:jc w:val="both"/>
      </w:pPr>
      <w:r>
        <w:rPr/>
        <w:t>Para la operación normal dela engorda intensiva en corral, se hará necesario disponer de equipo adecuado, ubicado e instalado adentro de las instalaciones, orientado a procurar el desarrolloadecuado de los animales hasta la finalización y sacrificio en</w:t>
      </w:r>
      <w:r>
        <w:rPr>
          <w:spacing w:val="-3"/>
        </w:rPr>
        <w:t> </w:t>
      </w:r>
      <w:r>
        <w:rPr/>
        <w:t>rastro.</w:t>
      </w:r>
    </w:p>
    <w:p>
      <w:pPr>
        <w:pStyle w:val="BodyText"/>
      </w:pPr>
    </w:p>
    <w:p>
      <w:pPr>
        <w:pStyle w:val="BodyText"/>
        <w:spacing w:line="362" w:lineRule="auto" w:before="139"/>
        <w:ind w:left="119" w:right="116"/>
        <w:jc w:val="both"/>
      </w:pPr>
      <w:r>
        <w:rPr/>
        <w:t>A continuación, se presenta una lista de equipo necesario para todas las actividades de sacrificio y preparación de canales:</w:t>
      </w:r>
    </w:p>
    <w:p>
      <w:pPr>
        <w:pStyle w:val="BodyText"/>
        <w:spacing w:before="9"/>
        <w:rPr>
          <w:sz w:val="35"/>
        </w:rPr>
      </w:pPr>
    </w:p>
    <w:p>
      <w:pPr>
        <w:pStyle w:val="ListParagraph"/>
        <w:numPr>
          <w:ilvl w:val="2"/>
          <w:numId w:val="9"/>
        </w:numPr>
        <w:tabs>
          <w:tab w:pos="840" w:val="left" w:leader="none"/>
          <w:tab w:pos="841" w:val="left" w:leader="none"/>
        </w:tabs>
        <w:spacing w:line="355" w:lineRule="auto" w:before="0" w:after="0"/>
        <w:ind w:left="840" w:right="117" w:hanging="360"/>
        <w:jc w:val="left"/>
        <w:rPr>
          <w:sz w:val="24"/>
        </w:rPr>
      </w:pPr>
      <w:r>
        <w:rPr>
          <w:sz w:val="24"/>
        </w:rPr>
        <w:t>Una pileta de agua, como bebedero de 1 m de altura por 1.5 m de largo. Costo estimado (material </w:t>
      </w:r>
      <w:r>
        <w:rPr>
          <w:spacing w:val="-3"/>
          <w:sz w:val="24"/>
        </w:rPr>
        <w:t>más </w:t>
      </w:r>
      <w:r>
        <w:rPr>
          <w:sz w:val="24"/>
        </w:rPr>
        <w:t>mano de obra):</w:t>
      </w:r>
      <w:r>
        <w:rPr>
          <w:spacing w:val="-14"/>
          <w:sz w:val="24"/>
        </w:rPr>
        <w:t> </w:t>
      </w:r>
      <w:r>
        <w:rPr>
          <w:sz w:val="24"/>
        </w:rPr>
        <w:t>$3,000.0</w:t>
      </w:r>
    </w:p>
    <w:p>
      <w:pPr>
        <w:pStyle w:val="ListParagraph"/>
        <w:numPr>
          <w:ilvl w:val="2"/>
          <w:numId w:val="9"/>
        </w:numPr>
        <w:tabs>
          <w:tab w:pos="840" w:val="left" w:leader="none"/>
          <w:tab w:pos="841" w:val="left" w:leader="none"/>
        </w:tabs>
        <w:spacing w:line="240" w:lineRule="auto" w:before="6" w:after="0"/>
        <w:ind w:left="840" w:right="0" w:hanging="360"/>
        <w:jc w:val="left"/>
        <w:rPr>
          <w:sz w:val="24"/>
        </w:rPr>
      </w:pPr>
      <w:r>
        <w:rPr>
          <w:sz w:val="24"/>
        </w:rPr>
        <w:t>5 comederos de lámina de aluminio. Valor estimado:</w:t>
      </w:r>
      <w:r>
        <w:rPr>
          <w:spacing w:val="-15"/>
          <w:sz w:val="24"/>
        </w:rPr>
        <w:t> </w:t>
      </w:r>
      <w:r>
        <w:rPr>
          <w:sz w:val="24"/>
        </w:rPr>
        <w:t>$2,500.0</w:t>
      </w:r>
    </w:p>
    <w:p>
      <w:pPr>
        <w:spacing w:after="0" w:line="240" w:lineRule="auto"/>
        <w:jc w:val="left"/>
        <w:rPr>
          <w:sz w:val="24"/>
        </w:rPr>
        <w:sectPr>
          <w:pgSz w:w="12240" w:h="15840"/>
          <w:pgMar w:header="0" w:footer="1180" w:top="1360" w:bottom="1380" w:left="1580" w:right="1300"/>
        </w:sectPr>
      </w:pPr>
    </w:p>
    <w:p>
      <w:pPr>
        <w:pStyle w:val="ListParagraph"/>
        <w:numPr>
          <w:ilvl w:val="0"/>
          <w:numId w:val="10"/>
        </w:numPr>
        <w:tabs>
          <w:tab w:pos="700" w:val="left" w:leader="none"/>
          <w:tab w:pos="701" w:val="left" w:leader="none"/>
        </w:tabs>
        <w:spacing w:line="240" w:lineRule="auto" w:before="30" w:after="0"/>
        <w:ind w:left="700" w:right="0" w:hanging="360"/>
        <w:jc w:val="left"/>
        <w:rPr>
          <w:sz w:val="24"/>
        </w:rPr>
      </w:pPr>
      <w:r>
        <w:rPr>
          <w:sz w:val="24"/>
        </w:rPr>
        <w:t>3 carretillas marca truper: gasto estimado:</w:t>
      </w:r>
      <w:r>
        <w:rPr>
          <w:spacing w:val="-20"/>
          <w:sz w:val="24"/>
        </w:rPr>
        <w:t> </w:t>
      </w:r>
      <w:r>
        <w:rPr>
          <w:sz w:val="24"/>
        </w:rPr>
        <w:t>$2,100.0</w:t>
      </w:r>
    </w:p>
    <w:p>
      <w:pPr>
        <w:pStyle w:val="ListParagraph"/>
        <w:numPr>
          <w:ilvl w:val="0"/>
          <w:numId w:val="10"/>
        </w:numPr>
        <w:tabs>
          <w:tab w:pos="700" w:val="left" w:leader="none"/>
          <w:tab w:pos="701" w:val="left" w:leader="none"/>
        </w:tabs>
        <w:spacing w:line="240" w:lineRule="auto" w:before="138" w:after="0"/>
        <w:ind w:left="700" w:right="0" w:hanging="360"/>
        <w:jc w:val="left"/>
        <w:rPr>
          <w:sz w:val="24"/>
        </w:rPr>
      </w:pPr>
      <w:r>
        <w:rPr>
          <w:sz w:val="24"/>
        </w:rPr>
        <w:t>5 palas revolvedoras. Gasto estimado:</w:t>
      </w:r>
      <w:r>
        <w:rPr>
          <w:spacing w:val="-20"/>
          <w:sz w:val="24"/>
        </w:rPr>
        <w:t> </w:t>
      </w:r>
      <w:r>
        <w:rPr>
          <w:sz w:val="24"/>
        </w:rPr>
        <w:t>$1,000.0</w:t>
      </w:r>
    </w:p>
    <w:p>
      <w:pPr>
        <w:pStyle w:val="ListParagraph"/>
        <w:numPr>
          <w:ilvl w:val="0"/>
          <w:numId w:val="10"/>
        </w:numPr>
        <w:tabs>
          <w:tab w:pos="700" w:val="left" w:leader="none"/>
          <w:tab w:pos="701" w:val="left" w:leader="none"/>
        </w:tabs>
        <w:spacing w:line="240" w:lineRule="auto" w:before="138" w:after="0"/>
        <w:ind w:left="700" w:right="0" w:hanging="360"/>
        <w:jc w:val="left"/>
        <w:rPr>
          <w:sz w:val="24"/>
        </w:rPr>
      </w:pPr>
      <w:r>
        <w:rPr>
          <w:sz w:val="24"/>
        </w:rPr>
        <w:t>2 picos. Gasto estimado:</w:t>
      </w:r>
      <w:r>
        <w:rPr>
          <w:spacing w:val="-12"/>
          <w:sz w:val="24"/>
        </w:rPr>
        <w:t> </w:t>
      </w:r>
      <w:r>
        <w:rPr>
          <w:sz w:val="24"/>
        </w:rPr>
        <w:t>$350.0</w:t>
      </w:r>
    </w:p>
    <w:p>
      <w:pPr>
        <w:pStyle w:val="ListParagraph"/>
        <w:numPr>
          <w:ilvl w:val="0"/>
          <w:numId w:val="10"/>
        </w:numPr>
        <w:tabs>
          <w:tab w:pos="700" w:val="left" w:leader="none"/>
          <w:tab w:pos="701" w:val="left" w:leader="none"/>
        </w:tabs>
        <w:spacing w:line="240" w:lineRule="auto" w:before="133" w:after="0"/>
        <w:ind w:left="700" w:right="0" w:hanging="360"/>
        <w:jc w:val="left"/>
        <w:rPr>
          <w:sz w:val="24"/>
        </w:rPr>
      </w:pPr>
      <w:r>
        <w:rPr>
          <w:sz w:val="24"/>
        </w:rPr>
        <w:t>1 barra para cavar hoyos. Gasto estimado:</w:t>
      </w:r>
      <w:r>
        <w:rPr>
          <w:spacing w:val="-17"/>
          <w:sz w:val="24"/>
        </w:rPr>
        <w:t> </w:t>
      </w:r>
      <w:r>
        <w:rPr>
          <w:sz w:val="24"/>
        </w:rPr>
        <w:t>$200.0</w:t>
      </w:r>
    </w:p>
    <w:p>
      <w:pPr>
        <w:pStyle w:val="ListParagraph"/>
        <w:numPr>
          <w:ilvl w:val="0"/>
          <w:numId w:val="10"/>
        </w:numPr>
        <w:tabs>
          <w:tab w:pos="700" w:val="left" w:leader="none"/>
          <w:tab w:pos="701" w:val="left" w:leader="none"/>
        </w:tabs>
        <w:spacing w:line="240" w:lineRule="auto" w:before="138" w:after="0"/>
        <w:ind w:left="700" w:right="0" w:hanging="360"/>
        <w:jc w:val="left"/>
        <w:rPr>
          <w:sz w:val="24"/>
        </w:rPr>
      </w:pPr>
      <w:r>
        <w:rPr>
          <w:sz w:val="24"/>
        </w:rPr>
        <w:t>5 botes de plástico, de 19 </w:t>
      </w:r>
      <w:r>
        <w:rPr>
          <w:spacing w:val="2"/>
          <w:sz w:val="24"/>
        </w:rPr>
        <w:t>L. </w:t>
      </w:r>
      <w:r>
        <w:rPr>
          <w:sz w:val="24"/>
        </w:rPr>
        <w:t>Gasto estimado:</w:t>
      </w:r>
      <w:r>
        <w:rPr>
          <w:spacing w:val="-23"/>
          <w:sz w:val="24"/>
        </w:rPr>
        <w:t> </w:t>
      </w:r>
      <w:r>
        <w:rPr>
          <w:sz w:val="24"/>
        </w:rPr>
        <w:t>$100.0</w:t>
      </w:r>
    </w:p>
    <w:p>
      <w:pPr>
        <w:pStyle w:val="ListParagraph"/>
        <w:numPr>
          <w:ilvl w:val="0"/>
          <w:numId w:val="10"/>
        </w:numPr>
        <w:tabs>
          <w:tab w:pos="700" w:val="left" w:leader="none"/>
          <w:tab w:pos="701" w:val="left" w:leader="none"/>
        </w:tabs>
        <w:spacing w:line="355" w:lineRule="auto" w:before="133" w:after="0"/>
        <w:ind w:left="700" w:right="118" w:hanging="360"/>
        <w:jc w:val="left"/>
        <w:rPr>
          <w:sz w:val="24"/>
        </w:rPr>
      </w:pPr>
      <w:r>
        <w:rPr>
          <w:sz w:val="24"/>
        </w:rPr>
        <w:t>1 mini-bodega para almacenar el alimento de los animales. Gasto estimado, sin plano ingenieril:</w:t>
      </w:r>
      <w:r>
        <w:rPr>
          <w:spacing w:val="-13"/>
          <w:sz w:val="24"/>
        </w:rPr>
        <w:t> </w:t>
      </w:r>
      <w:r>
        <w:rPr>
          <w:sz w:val="24"/>
        </w:rPr>
        <w:t>$10,000.0</w:t>
      </w:r>
    </w:p>
    <w:p>
      <w:pPr>
        <w:pStyle w:val="ListParagraph"/>
        <w:numPr>
          <w:ilvl w:val="0"/>
          <w:numId w:val="10"/>
        </w:numPr>
        <w:tabs>
          <w:tab w:pos="700" w:val="left" w:leader="none"/>
          <w:tab w:pos="701" w:val="left" w:leader="none"/>
        </w:tabs>
        <w:spacing w:line="355" w:lineRule="auto" w:before="6" w:after="0"/>
        <w:ind w:left="700" w:right="110" w:hanging="360"/>
        <w:jc w:val="left"/>
        <w:rPr>
          <w:sz w:val="24"/>
        </w:rPr>
      </w:pPr>
      <w:r>
        <w:rPr>
          <w:sz w:val="24"/>
        </w:rPr>
        <w:t>1 camioneta marca Nissan, 4.0 cilindros, de 1.5 t, modelo 2010, con redilas, para actividades inherentes al proyecto. Gasto estimado:</w:t>
      </w:r>
      <w:r>
        <w:rPr>
          <w:spacing w:val="-26"/>
          <w:sz w:val="24"/>
        </w:rPr>
        <w:t> </w:t>
      </w:r>
      <w:r>
        <w:rPr>
          <w:sz w:val="24"/>
        </w:rPr>
        <w:t>$80,000.0</w:t>
      </w:r>
    </w:p>
    <w:p>
      <w:pPr>
        <w:pStyle w:val="ListParagraph"/>
        <w:numPr>
          <w:ilvl w:val="0"/>
          <w:numId w:val="10"/>
        </w:numPr>
        <w:tabs>
          <w:tab w:pos="700" w:val="left" w:leader="none"/>
          <w:tab w:pos="701" w:val="left" w:leader="none"/>
        </w:tabs>
        <w:spacing w:line="240" w:lineRule="auto" w:before="6" w:after="0"/>
        <w:ind w:left="700" w:right="0" w:hanging="360"/>
        <w:jc w:val="left"/>
        <w:rPr>
          <w:sz w:val="24"/>
        </w:rPr>
      </w:pPr>
      <w:r>
        <w:rPr>
          <w:sz w:val="24"/>
        </w:rPr>
        <w:t>Herramientas distintas (machetes, etc). Gasto estimado:</w:t>
      </w:r>
      <w:r>
        <w:rPr>
          <w:spacing w:val="-23"/>
          <w:sz w:val="24"/>
        </w:rPr>
        <w:t> </w:t>
      </w:r>
      <w:r>
        <w:rPr>
          <w:sz w:val="24"/>
        </w:rPr>
        <w:t>$500.0</w:t>
      </w:r>
    </w:p>
    <w:p>
      <w:pPr>
        <w:pStyle w:val="ListParagraph"/>
        <w:numPr>
          <w:ilvl w:val="0"/>
          <w:numId w:val="10"/>
        </w:numPr>
        <w:tabs>
          <w:tab w:pos="700" w:val="left" w:leader="none"/>
          <w:tab w:pos="701" w:val="left" w:leader="none"/>
        </w:tabs>
        <w:spacing w:line="240" w:lineRule="auto" w:before="138" w:after="0"/>
        <w:ind w:left="700" w:right="0" w:hanging="360"/>
        <w:jc w:val="left"/>
        <w:rPr>
          <w:sz w:val="24"/>
        </w:rPr>
      </w:pPr>
      <w:r>
        <w:rPr>
          <w:sz w:val="24"/>
        </w:rPr>
        <w:t>Otros. Gasto estimado:</w:t>
      </w:r>
      <w:r>
        <w:rPr>
          <w:spacing w:val="-15"/>
          <w:sz w:val="24"/>
        </w:rPr>
        <w:t> </w:t>
      </w:r>
      <w:r>
        <w:rPr>
          <w:sz w:val="24"/>
        </w:rPr>
        <w:t>$1,000.0</w:t>
      </w:r>
    </w:p>
    <w:p>
      <w:pPr>
        <w:spacing w:after="0" w:line="240" w:lineRule="auto"/>
        <w:jc w:val="left"/>
        <w:rPr>
          <w:sz w:val="24"/>
        </w:rPr>
        <w:sectPr>
          <w:footerReference w:type="default" r:id="rId19"/>
          <w:pgSz w:w="12240" w:h="15840"/>
          <w:pgMar w:footer="1180" w:header="0" w:top="1380" w:bottom="1380" w:left="1720" w:right="1300"/>
        </w:sectPr>
      </w:pPr>
    </w:p>
    <w:p>
      <w:pPr>
        <w:pStyle w:val="BodyText"/>
        <w:ind w:left="119"/>
        <w:rPr>
          <w:sz w:val="20"/>
        </w:rPr>
      </w:pPr>
      <w:r>
        <w:rPr>
          <w:sz w:val="20"/>
        </w:rPr>
        <w:drawing>
          <wp:inline distT="0" distB="0" distL="0" distR="0">
            <wp:extent cx="5596150" cy="670560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1" cstate="print"/>
                    <a:stretch>
                      <a:fillRect/>
                    </a:stretch>
                  </pic:blipFill>
                  <pic:spPr>
                    <a:xfrm>
                      <a:off x="0" y="0"/>
                      <a:ext cx="5596150" cy="6705600"/>
                    </a:xfrm>
                    <a:prstGeom prst="rect">
                      <a:avLst/>
                    </a:prstGeom>
                  </pic:spPr>
                </pic:pic>
              </a:graphicData>
            </a:graphic>
          </wp:inline>
        </w:drawing>
      </w:r>
      <w:r>
        <w:rPr>
          <w:sz w:val="20"/>
        </w:rPr>
      </w:r>
    </w:p>
    <w:p>
      <w:pPr>
        <w:spacing w:before="104"/>
        <w:ind w:left="119" w:right="0" w:firstLine="0"/>
        <w:jc w:val="left"/>
        <w:rPr>
          <w:sz w:val="20"/>
        </w:rPr>
      </w:pPr>
      <w:bookmarkStart w:name="_bookmark29" w:id="41"/>
      <w:bookmarkEnd w:id="41"/>
      <w:r>
        <w:rPr/>
      </w:r>
      <w:r>
        <w:rPr>
          <w:sz w:val="20"/>
        </w:rPr>
        <w:t>Figura 4. Comedero típico para una engorda en corral. Sur del Estado de México. 2016.</w:t>
      </w:r>
    </w:p>
    <w:p>
      <w:pPr>
        <w:spacing w:after="0"/>
        <w:jc w:val="left"/>
        <w:rPr>
          <w:sz w:val="20"/>
        </w:rPr>
        <w:sectPr>
          <w:footerReference w:type="default" r:id="rId20"/>
          <w:pgSz w:w="12240" w:h="15840"/>
          <w:pgMar w:footer="1180" w:header="0" w:top="1420" w:bottom="1380" w:left="1580" w:right="1640"/>
          <w:pgNumType w:start="61"/>
        </w:sectPr>
      </w:pPr>
    </w:p>
    <w:p>
      <w:pPr>
        <w:pStyle w:val="BodyText"/>
        <w:ind w:left="119"/>
        <w:rPr>
          <w:sz w:val="20"/>
        </w:rPr>
      </w:pPr>
      <w:r>
        <w:rPr>
          <w:sz w:val="20"/>
        </w:rPr>
        <w:drawing>
          <wp:inline distT="0" distB="0" distL="0" distR="0">
            <wp:extent cx="5628140" cy="4220337"/>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2" cstate="print"/>
                    <a:stretch>
                      <a:fillRect/>
                    </a:stretch>
                  </pic:blipFill>
                  <pic:spPr>
                    <a:xfrm>
                      <a:off x="0" y="0"/>
                      <a:ext cx="5628140" cy="4220337"/>
                    </a:xfrm>
                    <a:prstGeom prst="rect">
                      <a:avLst/>
                    </a:prstGeom>
                  </pic:spPr>
                </pic:pic>
              </a:graphicData>
            </a:graphic>
          </wp:inline>
        </w:drawing>
      </w:r>
      <w:r>
        <w:rPr>
          <w:sz w:val="20"/>
        </w:rPr>
      </w:r>
    </w:p>
    <w:p>
      <w:pPr>
        <w:spacing w:before="128"/>
        <w:ind w:left="119" w:right="113" w:firstLine="0"/>
        <w:jc w:val="both"/>
        <w:rPr>
          <w:sz w:val="20"/>
        </w:rPr>
      </w:pPr>
      <w:bookmarkStart w:name="_bookmark30" w:id="42"/>
      <w:bookmarkEnd w:id="42"/>
      <w:r>
        <w:rPr/>
      </w:r>
      <w:r>
        <w:rPr>
          <w:sz w:val="20"/>
        </w:rPr>
        <w:t>Figura 5. Corral rústico en una engorda intensiva de bovinos carne. Tejupilco, enero 2016. Imagen propiedad de los autores.</w:t>
      </w:r>
    </w:p>
    <w:p>
      <w:pPr>
        <w:pStyle w:val="BodyText"/>
        <w:rPr>
          <w:sz w:val="20"/>
        </w:rPr>
      </w:pPr>
    </w:p>
    <w:p>
      <w:pPr>
        <w:pStyle w:val="Heading3"/>
        <w:spacing w:before="179"/>
      </w:pPr>
      <w:bookmarkStart w:name="_bookmark31" w:id="43"/>
      <w:bookmarkEnd w:id="43"/>
      <w:r>
        <w:rPr>
          <w:b w:val="0"/>
        </w:rPr>
      </w:r>
      <w:r>
        <w:rPr/>
        <w:t>Necesidades de agua para proceso de producción</w:t>
      </w:r>
    </w:p>
    <w:p>
      <w:pPr>
        <w:pStyle w:val="BodyText"/>
        <w:rPr>
          <w:b/>
        </w:rPr>
      </w:pPr>
    </w:p>
    <w:p>
      <w:pPr>
        <w:pStyle w:val="BodyText"/>
        <w:spacing w:before="7"/>
        <w:rPr>
          <w:b/>
        </w:rPr>
      </w:pPr>
    </w:p>
    <w:p>
      <w:pPr>
        <w:pStyle w:val="BodyText"/>
        <w:spacing w:line="360" w:lineRule="auto"/>
        <w:ind w:left="119" w:right="117"/>
        <w:jc w:val="both"/>
      </w:pPr>
      <w:r>
        <w:rPr/>
        <w:t>El recurso agua, necesaria para las actividades de producción, provendrá de un arroyo cercano al proyecto, </w:t>
      </w:r>
      <w:r>
        <w:rPr>
          <w:spacing w:val="-3"/>
        </w:rPr>
        <w:t>más </w:t>
      </w:r>
      <w:r>
        <w:rPr/>
        <w:t>agua potable para necesidades menores. El costo  se obvia, debido a que en el pueblo no se paga este</w:t>
      </w:r>
      <w:r>
        <w:rPr>
          <w:spacing w:val="-23"/>
        </w:rPr>
        <w:t> </w:t>
      </w:r>
      <w:r>
        <w:rPr/>
        <w:t>servicio.</w:t>
      </w:r>
    </w:p>
    <w:p>
      <w:pPr>
        <w:pStyle w:val="BodyText"/>
        <w:spacing w:before="1"/>
        <w:rPr>
          <w:sz w:val="29"/>
        </w:rPr>
      </w:pPr>
    </w:p>
    <w:p>
      <w:pPr>
        <w:pStyle w:val="Heading1"/>
        <w:spacing w:before="0"/>
      </w:pPr>
      <w:bookmarkStart w:name="_bookmark32" w:id="44"/>
      <w:bookmarkEnd w:id="44"/>
      <w:r>
        <w:rPr>
          <w:b w:val="0"/>
        </w:rPr>
      </w:r>
      <w:r>
        <w:rPr/>
        <w:t>Necesidades de energía eléctrica</w:t>
      </w:r>
    </w:p>
    <w:p>
      <w:pPr>
        <w:pStyle w:val="BodyText"/>
        <w:rPr>
          <w:b/>
          <w:sz w:val="28"/>
        </w:rPr>
      </w:pPr>
    </w:p>
    <w:p>
      <w:pPr>
        <w:pStyle w:val="BodyText"/>
        <w:spacing w:before="9"/>
        <w:rPr>
          <w:b/>
          <w:sz w:val="22"/>
        </w:rPr>
      </w:pPr>
    </w:p>
    <w:p>
      <w:pPr>
        <w:pStyle w:val="BodyText"/>
        <w:ind w:left="119"/>
        <w:jc w:val="both"/>
      </w:pPr>
      <w:r>
        <w:rPr/>
        <w:t>Dada la naturaleza del proyecto, no se consideró gasto por este concepto.</w:t>
      </w:r>
    </w:p>
    <w:p>
      <w:pPr>
        <w:spacing w:after="0"/>
        <w:jc w:val="both"/>
        <w:sectPr>
          <w:pgSz w:w="12240" w:h="15840"/>
          <w:pgMar w:header="0" w:footer="1180" w:top="1420" w:bottom="1380" w:left="1580" w:right="1300"/>
        </w:sectPr>
      </w:pPr>
    </w:p>
    <w:p>
      <w:pPr>
        <w:pStyle w:val="Heading1"/>
        <w:spacing w:before="43"/>
        <w:ind w:left="199"/>
      </w:pPr>
      <w:bookmarkStart w:name="_bookmark33" w:id="45"/>
      <w:bookmarkEnd w:id="45"/>
      <w:r>
        <w:rPr>
          <w:b w:val="0"/>
        </w:rPr>
      </w:r>
      <w:r>
        <w:rPr/>
        <w:t>Necesidades de mano de obra (MO)</w:t>
      </w:r>
    </w:p>
    <w:p>
      <w:pPr>
        <w:pStyle w:val="BodyText"/>
        <w:rPr>
          <w:b/>
          <w:sz w:val="28"/>
        </w:rPr>
      </w:pPr>
    </w:p>
    <w:p>
      <w:pPr>
        <w:pStyle w:val="BodyText"/>
        <w:rPr>
          <w:b/>
          <w:sz w:val="22"/>
        </w:rPr>
      </w:pPr>
    </w:p>
    <w:p>
      <w:pPr>
        <w:pStyle w:val="BodyText"/>
        <w:spacing w:line="360" w:lineRule="auto"/>
        <w:ind w:left="199" w:right="183"/>
        <w:jc w:val="both"/>
      </w:pPr>
      <w:r>
        <w:rPr/>
        <w:t>Por estimaciones propias, junto con los interesados del proyecto, en especial, el líder del proyecto, se decidió que para que la engorda opere en condiciones normales o aceptables, en su caso, para cumplir las actividades fundamentales en tiempo y forma, se requerirán dos empleados permanentes, esto es, en forma de empleos directos, con sueldo bruto por día; mismos que deberán tener una edad entre 18 y 50 años, sólo hombres:</w:t>
      </w:r>
    </w:p>
    <w:p>
      <w:pPr>
        <w:pStyle w:val="BodyText"/>
      </w:pPr>
    </w:p>
    <w:p>
      <w:pPr>
        <w:pStyle w:val="Heading1"/>
        <w:spacing w:before="179"/>
        <w:ind w:left="199"/>
      </w:pPr>
      <w:r>
        <w:rPr/>
        <w:t>Turnos de ocho horas:</w:t>
      </w:r>
    </w:p>
    <w:p>
      <w:pPr>
        <w:pStyle w:val="BodyText"/>
        <w:rPr>
          <w:b/>
          <w:sz w:val="28"/>
        </w:rPr>
      </w:pPr>
    </w:p>
    <w:p>
      <w:pPr>
        <w:pStyle w:val="BodyText"/>
        <w:spacing w:before="10"/>
        <w:rPr>
          <w:b/>
          <w:sz w:val="22"/>
        </w:rPr>
      </w:pPr>
    </w:p>
    <w:p>
      <w:pPr>
        <w:pStyle w:val="BodyText"/>
        <w:ind w:left="199"/>
        <w:jc w:val="both"/>
      </w:pPr>
      <w:r>
        <w:rPr/>
        <w:t>Mano de obra de operación. Área deengorda de animales.</w:t>
      </w:r>
    </w:p>
    <w:p>
      <w:pPr>
        <w:pStyle w:val="BodyText"/>
        <w:spacing w:before="3"/>
        <w:rPr>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7"/>
        <w:gridCol w:w="1626"/>
        <w:gridCol w:w="1405"/>
        <w:gridCol w:w="971"/>
        <w:gridCol w:w="1468"/>
        <w:gridCol w:w="1415"/>
      </w:tblGrid>
      <w:tr>
        <w:trPr>
          <w:trHeight w:val="422" w:hRule="exact"/>
        </w:trPr>
        <w:tc>
          <w:tcPr>
            <w:tcW w:w="2397" w:type="dxa"/>
            <w:tcBorders>
              <w:left w:val="nil"/>
              <w:right w:val="nil"/>
            </w:tcBorders>
          </w:tcPr>
          <w:p>
            <w:pPr>
              <w:pStyle w:val="TableParagraph"/>
              <w:spacing w:line="272" w:lineRule="exact" w:before="0"/>
              <w:ind w:left="86"/>
              <w:jc w:val="left"/>
              <w:rPr>
                <w:sz w:val="24"/>
              </w:rPr>
            </w:pPr>
            <w:r>
              <w:rPr>
                <w:sz w:val="24"/>
              </w:rPr>
              <w:t>Concepto</w:t>
            </w:r>
          </w:p>
        </w:tc>
        <w:tc>
          <w:tcPr>
            <w:tcW w:w="1626" w:type="dxa"/>
            <w:tcBorders>
              <w:left w:val="nil"/>
              <w:right w:val="nil"/>
            </w:tcBorders>
          </w:tcPr>
          <w:p>
            <w:pPr>
              <w:pStyle w:val="TableParagraph"/>
              <w:spacing w:line="272" w:lineRule="exact" w:before="0"/>
              <w:ind w:right="266"/>
              <w:rPr>
                <w:sz w:val="24"/>
              </w:rPr>
            </w:pPr>
            <w:r>
              <w:rPr>
                <w:sz w:val="24"/>
              </w:rPr>
              <w:t>Sexo</w:t>
            </w:r>
          </w:p>
        </w:tc>
        <w:tc>
          <w:tcPr>
            <w:tcW w:w="1405" w:type="dxa"/>
            <w:tcBorders>
              <w:left w:val="nil"/>
              <w:right w:val="nil"/>
            </w:tcBorders>
          </w:tcPr>
          <w:p>
            <w:pPr>
              <w:pStyle w:val="TableParagraph"/>
              <w:spacing w:line="272" w:lineRule="exact" w:before="0"/>
              <w:ind w:right="179"/>
              <w:rPr>
                <w:sz w:val="24"/>
              </w:rPr>
            </w:pPr>
            <w:r>
              <w:rPr>
                <w:sz w:val="24"/>
              </w:rPr>
              <w:t>Cantidad</w:t>
            </w:r>
          </w:p>
        </w:tc>
        <w:tc>
          <w:tcPr>
            <w:tcW w:w="971" w:type="dxa"/>
            <w:tcBorders>
              <w:left w:val="nil"/>
              <w:right w:val="nil"/>
            </w:tcBorders>
          </w:tcPr>
          <w:p>
            <w:pPr>
              <w:pStyle w:val="TableParagraph"/>
              <w:spacing w:line="272" w:lineRule="exact" w:before="0"/>
              <w:ind w:right="251"/>
              <w:rPr>
                <w:sz w:val="24"/>
              </w:rPr>
            </w:pPr>
            <w:r>
              <w:rPr>
                <w:sz w:val="24"/>
              </w:rPr>
              <w:t>$/día</w:t>
            </w:r>
          </w:p>
        </w:tc>
        <w:tc>
          <w:tcPr>
            <w:tcW w:w="1468" w:type="dxa"/>
            <w:tcBorders>
              <w:left w:val="nil"/>
              <w:right w:val="nil"/>
            </w:tcBorders>
          </w:tcPr>
          <w:p>
            <w:pPr>
              <w:pStyle w:val="TableParagraph"/>
              <w:spacing w:line="272" w:lineRule="exact" w:before="0"/>
              <w:ind w:right="282"/>
              <w:rPr>
                <w:sz w:val="24"/>
              </w:rPr>
            </w:pPr>
            <w:r>
              <w:rPr>
                <w:sz w:val="24"/>
              </w:rPr>
              <w:t>$/mes</w:t>
            </w:r>
          </w:p>
        </w:tc>
        <w:tc>
          <w:tcPr>
            <w:tcW w:w="1415" w:type="dxa"/>
            <w:tcBorders>
              <w:left w:val="nil"/>
              <w:right w:val="nil"/>
            </w:tcBorders>
          </w:tcPr>
          <w:p>
            <w:pPr>
              <w:pStyle w:val="TableParagraph"/>
              <w:spacing w:line="272" w:lineRule="exact" w:before="0"/>
              <w:ind w:right="66"/>
              <w:rPr>
                <w:sz w:val="24"/>
              </w:rPr>
            </w:pPr>
            <w:r>
              <w:rPr>
                <w:sz w:val="24"/>
              </w:rPr>
              <w:t>$/año</w:t>
            </w:r>
          </w:p>
        </w:tc>
      </w:tr>
      <w:tr>
        <w:trPr>
          <w:trHeight w:val="360" w:hRule="exact"/>
        </w:trPr>
        <w:tc>
          <w:tcPr>
            <w:tcW w:w="2397" w:type="dxa"/>
            <w:tcBorders>
              <w:left w:val="nil"/>
              <w:bottom w:val="nil"/>
              <w:right w:val="nil"/>
            </w:tcBorders>
          </w:tcPr>
          <w:p>
            <w:pPr>
              <w:pStyle w:val="TableParagraph"/>
              <w:spacing w:line="272" w:lineRule="exact" w:before="0"/>
              <w:ind w:left="86"/>
              <w:jc w:val="left"/>
              <w:rPr>
                <w:sz w:val="24"/>
              </w:rPr>
            </w:pPr>
            <w:r>
              <w:rPr>
                <w:sz w:val="24"/>
              </w:rPr>
              <w:t>Jefe de producción</w:t>
            </w:r>
          </w:p>
        </w:tc>
        <w:tc>
          <w:tcPr>
            <w:tcW w:w="1626" w:type="dxa"/>
            <w:tcBorders>
              <w:left w:val="nil"/>
              <w:bottom w:val="nil"/>
              <w:right w:val="nil"/>
            </w:tcBorders>
          </w:tcPr>
          <w:p>
            <w:pPr>
              <w:pStyle w:val="TableParagraph"/>
              <w:spacing w:line="272" w:lineRule="exact" w:before="0"/>
              <w:ind w:right="258"/>
              <w:rPr>
                <w:sz w:val="24"/>
              </w:rPr>
            </w:pPr>
            <w:r>
              <w:rPr>
                <w:sz w:val="24"/>
              </w:rPr>
              <w:t>Masculino</w:t>
            </w:r>
          </w:p>
        </w:tc>
        <w:tc>
          <w:tcPr>
            <w:tcW w:w="1405" w:type="dxa"/>
            <w:tcBorders>
              <w:left w:val="nil"/>
              <w:bottom w:val="nil"/>
              <w:right w:val="nil"/>
            </w:tcBorders>
          </w:tcPr>
          <w:p>
            <w:pPr>
              <w:pStyle w:val="TableParagraph"/>
              <w:spacing w:line="272" w:lineRule="exact" w:before="0"/>
              <w:ind w:right="183"/>
              <w:rPr>
                <w:sz w:val="24"/>
              </w:rPr>
            </w:pPr>
            <w:r>
              <w:rPr>
                <w:w w:val="99"/>
                <w:sz w:val="24"/>
              </w:rPr>
              <w:t>1</w:t>
            </w:r>
          </w:p>
        </w:tc>
        <w:tc>
          <w:tcPr>
            <w:tcW w:w="971" w:type="dxa"/>
            <w:tcBorders>
              <w:left w:val="nil"/>
              <w:bottom w:val="nil"/>
              <w:right w:val="nil"/>
            </w:tcBorders>
          </w:tcPr>
          <w:p>
            <w:pPr>
              <w:pStyle w:val="TableParagraph"/>
              <w:spacing w:line="272" w:lineRule="exact" w:before="0"/>
              <w:ind w:right="251"/>
              <w:rPr>
                <w:sz w:val="24"/>
              </w:rPr>
            </w:pPr>
            <w:r>
              <w:rPr>
                <w:w w:val="95"/>
                <w:sz w:val="24"/>
              </w:rPr>
              <w:t>250</w:t>
            </w:r>
          </w:p>
        </w:tc>
        <w:tc>
          <w:tcPr>
            <w:tcW w:w="1468" w:type="dxa"/>
            <w:tcBorders>
              <w:left w:val="nil"/>
              <w:bottom w:val="nil"/>
              <w:right w:val="nil"/>
            </w:tcBorders>
          </w:tcPr>
          <w:p>
            <w:pPr>
              <w:pStyle w:val="TableParagraph"/>
              <w:spacing w:line="272" w:lineRule="exact" w:before="0"/>
              <w:ind w:right="275"/>
              <w:rPr>
                <w:sz w:val="24"/>
              </w:rPr>
            </w:pPr>
            <w:r>
              <w:rPr>
                <w:sz w:val="24"/>
              </w:rPr>
              <w:t>7,500.0</w:t>
            </w:r>
          </w:p>
        </w:tc>
        <w:tc>
          <w:tcPr>
            <w:tcW w:w="1415" w:type="dxa"/>
            <w:tcBorders>
              <w:left w:val="nil"/>
              <w:bottom w:val="nil"/>
              <w:right w:val="nil"/>
            </w:tcBorders>
          </w:tcPr>
          <w:p>
            <w:pPr>
              <w:pStyle w:val="TableParagraph"/>
              <w:spacing w:line="272" w:lineRule="exact" w:before="0"/>
              <w:ind w:right="67"/>
              <w:rPr>
                <w:sz w:val="24"/>
              </w:rPr>
            </w:pPr>
            <w:r>
              <w:rPr>
                <w:sz w:val="24"/>
              </w:rPr>
              <w:t>90,000.0</w:t>
            </w:r>
          </w:p>
        </w:tc>
      </w:tr>
      <w:tr>
        <w:trPr>
          <w:trHeight w:val="415" w:hRule="exact"/>
        </w:trPr>
        <w:tc>
          <w:tcPr>
            <w:tcW w:w="2397" w:type="dxa"/>
            <w:tcBorders>
              <w:top w:val="nil"/>
              <w:left w:val="nil"/>
              <w:bottom w:val="nil"/>
              <w:right w:val="nil"/>
            </w:tcBorders>
          </w:tcPr>
          <w:p>
            <w:pPr>
              <w:pStyle w:val="TableParagraph"/>
              <w:spacing w:before="58"/>
              <w:ind w:left="86"/>
              <w:jc w:val="left"/>
              <w:rPr>
                <w:sz w:val="24"/>
              </w:rPr>
            </w:pPr>
            <w:r>
              <w:rPr>
                <w:sz w:val="24"/>
              </w:rPr>
              <w:t>Ayudante general</w:t>
            </w:r>
          </w:p>
        </w:tc>
        <w:tc>
          <w:tcPr>
            <w:tcW w:w="1626" w:type="dxa"/>
            <w:tcBorders>
              <w:top w:val="nil"/>
              <w:left w:val="nil"/>
              <w:bottom w:val="nil"/>
              <w:right w:val="nil"/>
            </w:tcBorders>
          </w:tcPr>
          <w:p>
            <w:pPr>
              <w:pStyle w:val="TableParagraph"/>
              <w:spacing w:before="58"/>
              <w:ind w:right="258"/>
              <w:rPr>
                <w:sz w:val="24"/>
              </w:rPr>
            </w:pPr>
            <w:r>
              <w:rPr>
                <w:sz w:val="24"/>
              </w:rPr>
              <w:t>Masculino</w:t>
            </w:r>
          </w:p>
        </w:tc>
        <w:tc>
          <w:tcPr>
            <w:tcW w:w="1405" w:type="dxa"/>
            <w:tcBorders>
              <w:top w:val="nil"/>
              <w:left w:val="nil"/>
              <w:bottom w:val="nil"/>
              <w:right w:val="nil"/>
            </w:tcBorders>
          </w:tcPr>
          <w:p>
            <w:pPr>
              <w:pStyle w:val="TableParagraph"/>
              <w:spacing w:before="58"/>
              <w:ind w:right="183"/>
              <w:rPr>
                <w:sz w:val="24"/>
              </w:rPr>
            </w:pPr>
            <w:r>
              <w:rPr>
                <w:w w:val="99"/>
                <w:sz w:val="24"/>
              </w:rPr>
              <w:t>1</w:t>
            </w:r>
          </w:p>
        </w:tc>
        <w:tc>
          <w:tcPr>
            <w:tcW w:w="971" w:type="dxa"/>
            <w:tcBorders>
              <w:top w:val="nil"/>
              <w:left w:val="nil"/>
              <w:bottom w:val="nil"/>
              <w:right w:val="nil"/>
            </w:tcBorders>
          </w:tcPr>
          <w:p>
            <w:pPr>
              <w:pStyle w:val="TableParagraph"/>
              <w:spacing w:before="58"/>
              <w:ind w:right="251"/>
              <w:rPr>
                <w:sz w:val="24"/>
              </w:rPr>
            </w:pPr>
            <w:r>
              <w:rPr>
                <w:w w:val="95"/>
                <w:sz w:val="24"/>
              </w:rPr>
              <w:t>200</w:t>
            </w:r>
          </w:p>
        </w:tc>
        <w:tc>
          <w:tcPr>
            <w:tcW w:w="1468" w:type="dxa"/>
            <w:tcBorders>
              <w:top w:val="nil"/>
              <w:left w:val="nil"/>
              <w:bottom w:val="nil"/>
              <w:right w:val="nil"/>
            </w:tcBorders>
          </w:tcPr>
          <w:p>
            <w:pPr>
              <w:pStyle w:val="TableParagraph"/>
              <w:spacing w:before="58"/>
              <w:ind w:right="275"/>
              <w:rPr>
                <w:sz w:val="24"/>
              </w:rPr>
            </w:pPr>
            <w:r>
              <w:rPr>
                <w:sz w:val="24"/>
              </w:rPr>
              <w:t>6,000.0</w:t>
            </w:r>
          </w:p>
        </w:tc>
        <w:tc>
          <w:tcPr>
            <w:tcW w:w="1415" w:type="dxa"/>
            <w:tcBorders>
              <w:top w:val="nil"/>
              <w:left w:val="nil"/>
              <w:bottom w:val="nil"/>
              <w:right w:val="nil"/>
            </w:tcBorders>
          </w:tcPr>
          <w:p>
            <w:pPr>
              <w:pStyle w:val="TableParagraph"/>
              <w:spacing w:before="58"/>
              <w:ind w:right="67"/>
              <w:rPr>
                <w:sz w:val="24"/>
              </w:rPr>
            </w:pPr>
            <w:r>
              <w:rPr>
                <w:sz w:val="24"/>
              </w:rPr>
              <w:t>72,000.0</w:t>
            </w:r>
          </w:p>
        </w:tc>
      </w:tr>
      <w:tr>
        <w:trPr>
          <w:trHeight w:val="478" w:hRule="exact"/>
        </w:trPr>
        <w:tc>
          <w:tcPr>
            <w:tcW w:w="2397" w:type="dxa"/>
            <w:tcBorders>
              <w:top w:val="nil"/>
              <w:left w:val="nil"/>
              <w:right w:val="nil"/>
            </w:tcBorders>
          </w:tcPr>
          <w:p>
            <w:pPr>
              <w:pStyle w:val="TableParagraph"/>
              <w:ind w:left="86"/>
              <w:jc w:val="left"/>
              <w:rPr>
                <w:sz w:val="24"/>
              </w:rPr>
            </w:pPr>
            <w:r>
              <w:rPr>
                <w:sz w:val="24"/>
              </w:rPr>
              <w:t>Total anual</w:t>
            </w:r>
          </w:p>
        </w:tc>
        <w:tc>
          <w:tcPr>
            <w:tcW w:w="1626" w:type="dxa"/>
            <w:tcBorders>
              <w:top w:val="nil"/>
              <w:left w:val="nil"/>
              <w:right w:val="nil"/>
            </w:tcBorders>
          </w:tcPr>
          <w:p>
            <w:pPr/>
          </w:p>
        </w:tc>
        <w:tc>
          <w:tcPr>
            <w:tcW w:w="1405" w:type="dxa"/>
            <w:tcBorders>
              <w:top w:val="nil"/>
              <w:left w:val="nil"/>
              <w:right w:val="nil"/>
            </w:tcBorders>
          </w:tcPr>
          <w:p>
            <w:pPr>
              <w:pStyle w:val="TableParagraph"/>
              <w:ind w:right="183"/>
              <w:rPr>
                <w:sz w:val="24"/>
              </w:rPr>
            </w:pPr>
            <w:r>
              <w:rPr>
                <w:w w:val="99"/>
                <w:sz w:val="24"/>
              </w:rPr>
              <w:t>2</w:t>
            </w:r>
          </w:p>
        </w:tc>
        <w:tc>
          <w:tcPr>
            <w:tcW w:w="971" w:type="dxa"/>
            <w:tcBorders>
              <w:top w:val="nil"/>
              <w:left w:val="nil"/>
              <w:right w:val="nil"/>
            </w:tcBorders>
          </w:tcPr>
          <w:p>
            <w:pPr>
              <w:pStyle w:val="TableParagraph"/>
              <w:ind w:right="251"/>
              <w:rPr>
                <w:sz w:val="24"/>
              </w:rPr>
            </w:pPr>
            <w:r>
              <w:rPr>
                <w:w w:val="95"/>
                <w:sz w:val="24"/>
              </w:rPr>
              <w:t>450</w:t>
            </w:r>
          </w:p>
        </w:tc>
        <w:tc>
          <w:tcPr>
            <w:tcW w:w="1468" w:type="dxa"/>
            <w:tcBorders>
              <w:top w:val="nil"/>
              <w:left w:val="nil"/>
              <w:right w:val="nil"/>
            </w:tcBorders>
          </w:tcPr>
          <w:p>
            <w:pPr>
              <w:pStyle w:val="TableParagraph"/>
              <w:ind w:right="275"/>
              <w:rPr>
                <w:sz w:val="24"/>
              </w:rPr>
            </w:pPr>
            <w:r>
              <w:rPr>
                <w:sz w:val="24"/>
              </w:rPr>
              <w:t>13,500.0</w:t>
            </w:r>
          </w:p>
        </w:tc>
        <w:tc>
          <w:tcPr>
            <w:tcW w:w="1415" w:type="dxa"/>
            <w:tcBorders>
              <w:top w:val="nil"/>
              <w:left w:val="nil"/>
              <w:right w:val="nil"/>
            </w:tcBorders>
          </w:tcPr>
          <w:p>
            <w:pPr>
              <w:pStyle w:val="TableParagraph"/>
              <w:ind w:right="67"/>
              <w:rPr>
                <w:sz w:val="24"/>
              </w:rPr>
            </w:pPr>
            <w:r>
              <w:rPr>
                <w:sz w:val="24"/>
              </w:rPr>
              <w:t>162,000.0</w:t>
            </w:r>
          </w:p>
        </w:tc>
      </w:tr>
    </w:tbl>
    <w:p>
      <w:pPr>
        <w:spacing w:line="225" w:lineRule="exact" w:before="0"/>
        <w:ind w:left="199" w:right="0" w:firstLine="0"/>
        <w:jc w:val="both"/>
        <w:rPr>
          <w:sz w:val="20"/>
        </w:rPr>
      </w:pPr>
      <w:r>
        <w:rPr>
          <w:sz w:val="20"/>
        </w:rPr>
        <w:t>Elaboración propia.</w:t>
      </w:r>
    </w:p>
    <w:p>
      <w:pPr>
        <w:pStyle w:val="BodyText"/>
        <w:rPr>
          <w:sz w:val="20"/>
        </w:rPr>
      </w:pPr>
    </w:p>
    <w:p>
      <w:pPr>
        <w:pStyle w:val="BodyText"/>
        <w:rPr>
          <w:sz w:val="26"/>
        </w:rPr>
      </w:pPr>
    </w:p>
    <w:p>
      <w:pPr>
        <w:pStyle w:val="BodyText"/>
        <w:spacing w:line="360" w:lineRule="auto"/>
        <w:ind w:left="199" w:right="172"/>
        <w:jc w:val="both"/>
      </w:pPr>
      <w:r>
        <w:rPr/>
        <w:t>Gastos fijos de operación. Área: Vigilancia, mantenimiento, corrales, alimentación, manejo de residuos (subproductos). Se considera el gasto de labores que realizará el ayudante general.</w:t>
      </w:r>
    </w:p>
    <w:p>
      <w:pPr>
        <w:pStyle w:val="BodyText"/>
      </w:pPr>
    </w:p>
    <w:p>
      <w:pPr>
        <w:pStyle w:val="BodyText"/>
        <w:spacing w:line="360" w:lineRule="auto" w:before="139"/>
        <w:ind w:left="199" w:right="176"/>
        <w:jc w:val="both"/>
      </w:pPr>
      <w:r>
        <w:rPr/>
        <w:t>Área de administración (gastos de administración). Se considerará el gasto de las labores tanto del jefe de producción como del ayudante general.</w:t>
      </w:r>
    </w:p>
    <w:p>
      <w:pPr>
        <w:pStyle w:val="BodyText"/>
      </w:pPr>
    </w:p>
    <w:p>
      <w:pPr>
        <w:pStyle w:val="BodyText"/>
        <w:spacing w:line="360" w:lineRule="auto" w:before="144"/>
        <w:ind w:left="199" w:right="171"/>
        <w:jc w:val="both"/>
      </w:pPr>
      <w:r>
        <w:rPr/>
        <w:t>Costo y gasto total estimado anual, para todo el tipo de personal, $162,000.0, sin considerar deducciones estatales, ni federales, ni prestaciones a los trabajadores, tampoco participación de trabajadores en las utilidades (PTU). Dada la naturaleza del proyecto, no habrá deducciones oficiales, a considerar en el Flujo del Proyecto.</w:t>
      </w:r>
    </w:p>
    <w:p>
      <w:pPr>
        <w:spacing w:after="0" w:line="360" w:lineRule="auto"/>
        <w:jc w:val="both"/>
        <w:sectPr>
          <w:pgSz w:w="12240" w:h="15840"/>
          <w:pgMar w:header="0" w:footer="1180" w:top="1360" w:bottom="1380" w:left="1500" w:right="1240"/>
        </w:sectPr>
      </w:pPr>
    </w:p>
    <w:p>
      <w:pPr>
        <w:pStyle w:val="Heading1"/>
      </w:pPr>
      <w:bookmarkStart w:name="_bookmark34" w:id="46"/>
      <w:bookmarkEnd w:id="46"/>
      <w:r>
        <w:rPr>
          <w:b w:val="0"/>
        </w:rPr>
      </w:r>
      <w:r>
        <w:rPr/>
        <w:t>Estimación de costo operativo de producción</w:t>
      </w:r>
    </w:p>
    <w:p>
      <w:pPr>
        <w:pStyle w:val="BodyText"/>
        <w:spacing w:before="6"/>
        <w:rPr>
          <w:b/>
          <w:sz w:val="39"/>
        </w:rPr>
      </w:pPr>
    </w:p>
    <w:p>
      <w:pPr>
        <w:pStyle w:val="BodyText"/>
        <w:spacing w:line="360" w:lineRule="auto"/>
        <w:ind w:left="119" w:right="3016"/>
      </w:pPr>
      <w:r>
        <w:rPr/>
        <w:t>Desparasitantes: cantidad, costo y dosis por animal Vitaminas: nombre, cantidad, costo y dosis por animal</w:t>
      </w:r>
    </w:p>
    <w:p>
      <w:pPr>
        <w:pStyle w:val="BodyText"/>
        <w:spacing w:line="360" w:lineRule="auto" w:before="7"/>
        <w:ind w:left="119" w:right="125"/>
        <w:jc w:val="both"/>
      </w:pPr>
      <w:r>
        <w:rPr/>
        <w:t>Grosso </w:t>
      </w:r>
      <w:r>
        <w:rPr>
          <w:i/>
        </w:rPr>
        <w:t>modo</w:t>
      </w:r>
      <w:r>
        <w:rPr/>
        <w:t>, se estimó un total por torete, dado que sólo se realiza al inicio de la engorda en cada periodo de producción, de $10.0 por animal, por ciclo. Total por 100 toretes al año: $1,000.0.</w:t>
      </w:r>
    </w:p>
    <w:p>
      <w:pPr>
        <w:pStyle w:val="BodyText"/>
      </w:pPr>
    </w:p>
    <w:p>
      <w:pPr>
        <w:spacing w:before="144"/>
        <w:ind w:left="119" w:right="0" w:firstLine="0"/>
        <w:jc w:val="both"/>
        <w:rPr>
          <w:i/>
          <w:sz w:val="24"/>
        </w:rPr>
      </w:pPr>
      <w:r>
        <w:rPr>
          <w:i/>
          <w:sz w:val="24"/>
        </w:rPr>
        <w:t>Necesidades de combustible</w:t>
      </w:r>
    </w:p>
    <w:p>
      <w:pPr>
        <w:pStyle w:val="BodyText"/>
        <w:rPr>
          <w:i/>
        </w:rPr>
      </w:pPr>
    </w:p>
    <w:p>
      <w:pPr>
        <w:pStyle w:val="BodyText"/>
        <w:spacing w:before="9"/>
        <w:rPr>
          <w:i/>
          <w:sz w:val="23"/>
        </w:rPr>
      </w:pPr>
    </w:p>
    <w:p>
      <w:pPr>
        <w:pStyle w:val="BodyText"/>
        <w:spacing w:line="362" w:lineRule="auto"/>
        <w:ind w:left="119" w:right="125"/>
        <w:jc w:val="both"/>
      </w:pPr>
      <w:r>
        <w:rPr/>
        <w:t>Este rubro, se consideró como un gasto de venta variable, destinado al abasto de cualquier recurso inherente a la producción, como acarrear insumos para la dieta, mover animales, etc. Se estimó $300.0 por semana, lo que dio un total anual de</w:t>
      </w:r>
    </w:p>
    <w:p>
      <w:pPr>
        <w:pStyle w:val="BodyText"/>
        <w:ind w:left="119"/>
        <w:jc w:val="both"/>
      </w:pPr>
      <w:r>
        <w:rPr/>
        <w:t>$15,600. En adición, se estimó un gasto anual por concepto de telefonía celular de</w:t>
      </w:r>
    </w:p>
    <w:p>
      <w:pPr>
        <w:pStyle w:val="BodyText"/>
        <w:spacing w:before="137"/>
        <w:ind w:left="119"/>
        <w:jc w:val="both"/>
      </w:pPr>
      <w:r>
        <w:rPr/>
        <w:t>$3,600.</w:t>
      </w:r>
    </w:p>
    <w:p>
      <w:pPr>
        <w:pStyle w:val="BodyText"/>
      </w:pPr>
    </w:p>
    <w:p>
      <w:pPr>
        <w:pStyle w:val="BodyText"/>
        <w:spacing w:before="2"/>
      </w:pPr>
    </w:p>
    <w:p>
      <w:pPr>
        <w:spacing w:before="1"/>
        <w:ind w:left="119" w:right="0" w:firstLine="0"/>
        <w:jc w:val="both"/>
        <w:rPr>
          <w:i/>
          <w:sz w:val="24"/>
        </w:rPr>
      </w:pPr>
      <w:r>
        <w:rPr>
          <w:i/>
          <w:sz w:val="24"/>
        </w:rPr>
        <w:t>Gastos de venta fijos</w:t>
      </w:r>
    </w:p>
    <w:p>
      <w:pPr>
        <w:pStyle w:val="BodyText"/>
        <w:rPr>
          <w:i/>
        </w:rPr>
      </w:pPr>
    </w:p>
    <w:p>
      <w:pPr>
        <w:pStyle w:val="BodyText"/>
        <w:spacing w:before="9"/>
        <w:rPr>
          <w:i/>
          <w:sz w:val="23"/>
        </w:rPr>
      </w:pPr>
    </w:p>
    <w:p>
      <w:pPr>
        <w:pStyle w:val="BodyText"/>
        <w:spacing w:line="362" w:lineRule="auto"/>
        <w:ind w:left="119" w:right="116"/>
        <w:jc w:val="both"/>
      </w:pPr>
      <w:r>
        <w:rPr/>
        <w:t>En este rubro, sólo se consideraron, mantenimiento de corrales y de vehículos, el gasto anual para este apartado fue: $2,400 para corrales y $2,000 para vehículos. Total anual: $4,400.0</w:t>
      </w:r>
    </w:p>
    <w:p>
      <w:pPr>
        <w:pStyle w:val="BodyText"/>
        <w:spacing w:before="10"/>
        <w:rPr>
          <w:sz w:val="35"/>
        </w:rPr>
      </w:pPr>
    </w:p>
    <w:p>
      <w:pPr>
        <w:spacing w:before="0"/>
        <w:ind w:left="119" w:right="0" w:firstLine="0"/>
        <w:jc w:val="both"/>
        <w:rPr>
          <w:i/>
          <w:sz w:val="24"/>
        </w:rPr>
      </w:pPr>
      <w:r>
        <w:rPr>
          <w:i/>
          <w:sz w:val="24"/>
        </w:rPr>
        <w:t>Costos fijos de producción y gastos de administración</w:t>
      </w:r>
    </w:p>
    <w:p>
      <w:pPr>
        <w:pStyle w:val="BodyText"/>
        <w:rPr>
          <w:i/>
        </w:rPr>
      </w:pPr>
    </w:p>
    <w:p>
      <w:pPr>
        <w:pStyle w:val="BodyText"/>
        <w:spacing w:before="3"/>
        <w:rPr>
          <w:i/>
        </w:rPr>
      </w:pPr>
    </w:p>
    <w:p>
      <w:pPr>
        <w:pStyle w:val="BodyText"/>
        <w:spacing w:line="360" w:lineRule="auto"/>
        <w:ind w:left="119" w:right="125"/>
        <w:jc w:val="both"/>
      </w:pPr>
      <w:r>
        <w:rPr/>
        <w:t>En estos rubros, se consideró cero desembolsos, debido a que no fue pertinente o en este sistema de producción de engorda en corral, no se hace necesario este gasto. Incluso, se cubren el requerimiento con los gastos de venta fijos.</w:t>
      </w:r>
    </w:p>
    <w:p>
      <w:pPr>
        <w:spacing w:after="0" w:line="360" w:lineRule="auto"/>
        <w:jc w:val="both"/>
        <w:sectPr>
          <w:pgSz w:w="12240" w:h="15840"/>
          <w:pgMar w:header="0" w:footer="1180" w:top="1360" w:bottom="1380" w:left="1580" w:right="1300"/>
        </w:sectPr>
      </w:pPr>
    </w:p>
    <w:p>
      <w:pPr>
        <w:spacing w:before="52"/>
        <w:ind w:left="119" w:right="0" w:firstLine="0"/>
        <w:jc w:val="both"/>
        <w:rPr>
          <w:i/>
          <w:sz w:val="24"/>
        </w:rPr>
      </w:pPr>
      <w:r>
        <w:rPr>
          <w:i/>
          <w:sz w:val="24"/>
        </w:rPr>
        <w:t>Impuestos</w:t>
      </w:r>
    </w:p>
    <w:p>
      <w:pPr>
        <w:pStyle w:val="BodyText"/>
        <w:rPr>
          <w:i/>
        </w:rPr>
      </w:pPr>
    </w:p>
    <w:p>
      <w:pPr>
        <w:pStyle w:val="BodyText"/>
        <w:spacing w:before="2"/>
        <w:rPr>
          <w:i/>
        </w:rPr>
      </w:pPr>
    </w:p>
    <w:p>
      <w:pPr>
        <w:pStyle w:val="BodyText"/>
        <w:spacing w:line="360" w:lineRule="auto"/>
        <w:ind w:left="119" w:right="104"/>
        <w:jc w:val="both"/>
      </w:pPr>
      <w:r>
        <w:rPr/>
        <w:t>Debido a que los ingresos provendrán de una actividad primaria, la LISR 2015, exime, a este negocio pecuario, del pago de este impuesto directo. También del reparto de utilidades (PTU). Asimismo, los empleados percibirán sus ingresos en forma directa y por día. En este proyecto, se obvia el presupuesto de nómina y deducciones de ley, debido a la naturaleza del </w:t>
      </w:r>
      <w:r>
        <w:rPr>
          <w:spacing w:val="-2"/>
        </w:rPr>
        <w:t>mismo. </w:t>
      </w:r>
      <w:r>
        <w:rPr/>
        <w:t>Se ha dicho, que las deducciones por seguridad social, se obviaron, por el acuerdo entre el propietario y los empleados en que cada quien, ante situaciones de enfermedad o malestar en la salud, los gastos correrán por cuenta</w:t>
      </w:r>
      <w:r>
        <w:rPr>
          <w:spacing w:val="-18"/>
        </w:rPr>
        <w:t> </w:t>
      </w:r>
      <w:r>
        <w:rPr/>
        <w:t>propia.</w:t>
      </w:r>
    </w:p>
    <w:p>
      <w:pPr>
        <w:spacing w:after="0" w:line="360" w:lineRule="auto"/>
        <w:jc w:val="both"/>
        <w:sectPr>
          <w:pgSz w:w="12240" w:h="15840"/>
          <w:pgMar w:header="0" w:footer="1180" w:top="1360" w:bottom="1380" w:left="1580" w:right="1320"/>
        </w:sectPr>
      </w:pPr>
    </w:p>
    <w:p>
      <w:pPr>
        <w:pStyle w:val="Heading1"/>
        <w:spacing w:before="43"/>
      </w:pPr>
      <w:r>
        <w:rPr/>
        <w:t>Adquisición de ganado para la engorda</w:t>
      </w:r>
    </w:p>
    <w:p>
      <w:pPr>
        <w:pStyle w:val="BodyText"/>
        <w:rPr>
          <w:b/>
          <w:sz w:val="28"/>
        </w:rPr>
      </w:pPr>
    </w:p>
    <w:p>
      <w:pPr>
        <w:pStyle w:val="BodyText"/>
        <w:spacing w:before="1"/>
        <w:rPr>
          <w:b/>
          <w:sz w:val="29"/>
        </w:rPr>
      </w:pPr>
    </w:p>
    <w:p>
      <w:pPr>
        <w:pStyle w:val="BodyText"/>
        <w:spacing w:line="360" w:lineRule="auto"/>
        <w:ind w:left="119" w:right="118"/>
        <w:jc w:val="both"/>
      </w:pPr>
      <w:r>
        <w:rPr/>
        <w:t>Se planeó adquirir 50 toretes por periodo de engorda, dos engordas al año; total 100 cabezas. </w:t>
      </w:r>
      <w:r>
        <w:rPr>
          <w:spacing w:val="-4"/>
        </w:rPr>
        <w:t>El </w:t>
      </w:r>
      <w:r>
        <w:rPr/>
        <w:t>ganado que se someterá a la engorda en corral, provendrá de la </w:t>
      </w:r>
      <w:r>
        <w:rPr>
          <w:spacing w:val="-3"/>
        </w:rPr>
        <w:t>misma </w:t>
      </w:r>
      <w:r>
        <w:rPr/>
        <w:t>región. El peso vivo a entrada en corral será, en promedio, 350.0 kg. </w:t>
      </w:r>
      <w:r>
        <w:rPr>
          <w:spacing w:val="-4"/>
        </w:rPr>
        <w:t>El </w:t>
      </w:r>
      <w:r>
        <w:rPr/>
        <w:t>precio, hasta el momento de la investigación (diciembre de 2015) que se consideró para adquirir los animales fue de 42.0 $/kg </w:t>
      </w:r>
      <w:r>
        <w:rPr>
          <w:i/>
          <w:spacing w:val="-3"/>
        </w:rPr>
        <w:t>in </w:t>
      </w:r>
      <w:r>
        <w:rPr>
          <w:i/>
        </w:rPr>
        <w:t>vivo</w:t>
      </w:r>
      <w:r>
        <w:rPr/>
        <w:t>. Lo que equivale a un desembolso por este  rubro de: (100 cab) x (350 kg) x ($42.0) = $1, 470,000.0, </w:t>
      </w:r>
      <w:r>
        <w:rPr>
          <w:spacing w:val="-2"/>
        </w:rPr>
        <w:t>mismos </w:t>
      </w:r>
      <w:r>
        <w:rPr/>
        <w:t>que serán  aportados por el socio o</w:t>
      </w:r>
      <w:r>
        <w:rPr>
          <w:spacing w:val="-9"/>
        </w:rPr>
        <w:t> </w:t>
      </w:r>
      <w:r>
        <w:rPr/>
        <w:t>socios.</w:t>
      </w:r>
    </w:p>
    <w:p>
      <w:pPr>
        <w:pStyle w:val="BodyText"/>
        <w:rPr>
          <w:sz w:val="20"/>
        </w:rPr>
      </w:pPr>
    </w:p>
    <w:p>
      <w:pPr>
        <w:pStyle w:val="BodyText"/>
        <w:spacing w:before="3"/>
        <w:rPr>
          <w:sz w:val="19"/>
        </w:rPr>
      </w:pPr>
      <w:r>
        <w:rPr/>
        <w:drawing>
          <wp:anchor distT="0" distB="0" distL="0" distR="0" allowOverlap="1" layoutInCell="1" locked="0" behindDoc="0" simplePos="0" relativeHeight="1312">
            <wp:simplePos x="0" y="0"/>
            <wp:positionH relativeFrom="page">
              <wp:posOffset>1078991</wp:posOffset>
            </wp:positionH>
            <wp:positionV relativeFrom="paragraph">
              <wp:posOffset>165416</wp:posOffset>
            </wp:positionV>
            <wp:extent cx="5641881" cy="3383279"/>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3" cstate="print"/>
                    <a:stretch>
                      <a:fillRect/>
                    </a:stretch>
                  </pic:blipFill>
                  <pic:spPr>
                    <a:xfrm>
                      <a:off x="0" y="0"/>
                      <a:ext cx="5641881" cy="3383279"/>
                    </a:xfrm>
                    <a:prstGeom prst="rect">
                      <a:avLst/>
                    </a:prstGeom>
                  </pic:spPr>
                </pic:pic>
              </a:graphicData>
            </a:graphic>
          </wp:anchor>
        </w:drawing>
      </w:r>
    </w:p>
    <w:p>
      <w:pPr>
        <w:spacing w:line="226" w:lineRule="exact" w:before="91"/>
        <w:ind w:left="119" w:right="115" w:firstLine="0"/>
        <w:jc w:val="both"/>
        <w:rPr>
          <w:sz w:val="20"/>
        </w:rPr>
      </w:pPr>
      <w:r>
        <w:rPr>
          <w:sz w:val="20"/>
        </w:rPr>
        <w:t>Figura 6. Toretes destinados a engorda en corral, Tejupilco, enero de 2016. Imagen propiedad de los autores.</w:t>
      </w:r>
    </w:p>
    <w:p>
      <w:pPr>
        <w:pStyle w:val="BodyText"/>
        <w:spacing w:before="5"/>
        <w:rPr>
          <w:sz w:val="27"/>
        </w:rPr>
      </w:pPr>
    </w:p>
    <w:p>
      <w:pPr>
        <w:pStyle w:val="Heading1"/>
        <w:spacing w:before="0"/>
      </w:pPr>
      <w:r>
        <w:rPr/>
        <w:t>Alimentación</w:t>
      </w:r>
    </w:p>
    <w:p>
      <w:pPr>
        <w:pStyle w:val="BodyText"/>
        <w:rPr>
          <w:b/>
          <w:sz w:val="28"/>
        </w:rPr>
      </w:pPr>
    </w:p>
    <w:p>
      <w:pPr>
        <w:pStyle w:val="BodyText"/>
        <w:spacing w:before="5"/>
        <w:rPr>
          <w:b/>
          <w:sz w:val="32"/>
        </w:rPr>
      </w:pPr>
    </w:p>
    <w:p>
      <w:pPr>
        <w:pStyle w:val="BodyText"/>
        <w:spacing w:line="360" w:lineRule="auto"/>
        <w:ind w:left="119" w:right="111"/>
        <w:jc w:val="both"/>
      </w:pPr>
      <w:r>
        <w:rPr/>
        <w:t>La alimentación se basará en la asignación de una dieta balanceada (Cuadro 7), que provendrá de lo que la mayoría de los engordadores de la región utilizan en cada periodo de engorda y con base en Posadas et al. (2011). De acuerdo con Rebollar et</w:t>
      </w:r>
    </w:p>
    <w:p>
      <w:pPr>
        <w:spacing w:after="0" w:line="360" w:lineRule="auto"/>
        <w:jc w:val="both"/>
        <w:sectPr>
          <w:pgSz w:w="12240" w:h="15840"/>
          <w:pgMar w:header="0" w:footer="1180" w:top="1360" w:bottom="1380" w:left="1580" w:right="1300"/>
        </w:sectPr>
      </w:pPr>
    </w:p>
    <w:p>
      <w:pPr>
        <w:pStyle w:val="BodyText"/>
        <w:spacing w:line="360" w:lineRule="auto" w:before="52"/>
        <w:ind w:left="119" w:right="116"/>
        <w:jc w:val="both"/>
      </w:pPr>
      <w:r>
        <w:rPr/>
        <w:t>al. (2011a) y Rebollar et al. (2011b), un bovino de tal naturaleza, durante 90 días de engorda en corral, para alcanzar un peso vivo final de aproximadamente, 500.0 kg, requiere consumir 990 kg de alimento. Por tanto, previo a la engorda, se necesita tener, en bodega, todo el insumo alimento, necesario para que el sistema opere sin problemas de este tipo.</w:t>
      </w:r>
    </w:p>
    <w:p>
      <w:pPr>
        <w:pStyle w:val="BodyText"/>
        <w:rPr>
          <w:sz w:val="20"/>
        </w:rPr>
      </w:pPr>
    </w:p>
    <w:p>
      <w:pPr>
        <w:pStyle w:val="BodyText"/>
        <w:spacing w:before="5"/>
        <w:rPr>
          <w:sz w:val="13"/>
        </w:rPr>
      </w:pPr>
      <w:r>
        <w:rPr/>
        <w:drawing>
          <wp:anchor distT="0" distB="0" distL="0" distR="0" allowOverlap="1" layoutInCell="1" locked="0" behindDoc="0" simplePos="0" relativeHeight="1336">
            <wp:simplePos x="0" y="0"/>
            <wp:positionH relativeFrom="page">
              <wp:posOffset>1078991</wp:posOffset>
            </wp:positionH>
            <wp:positionV relativeFrom="paragraph">
              <wp:posOffset>122997</wp:posOffset>
            </wp:positionV>
            <wp:extent cx="5641881" cy="3383279"/>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4" cstate="print"/>
                    <a:stretch>
                      <a:fillRect/>
                    </a:stretch>
                  </pic:blipFill>
                  <pic:spPr>
                    <a:xfrm>
                      <a:off x="0" y="0"/>
                      <a:ext cx="5641881" cy="3383279"/>
                    </a:xfrm>
                    <a:prstGeom prst="rect">
                      <a:avLst/>
                    </a:prstGeom>
                  </pic:spPr>
                </pic:pic>
              </a:graphicData>
            </a:graphic>
          </wp:anchor>
        </w:drawing>
      </w:r>
    </w:p>
    <w:p>
      <w:pPr>
        <w:spacing w:line="355" w:lineRule="auto" w:before="60"/>
        <w:ind w:left="119" w:right="116" w:firstLine="0"/>
        <w:jc w:val="both"/>
        <w:rPr>
          <w:sz w:val="20"/>
        </w:rPr>
      </w:pPr>
      <w:r>
        <w:rPr>
          <w:sz w:val="20"/>
        </w:rPr>
        <w:t>Figura 6. Bodega típica, para almacenar el alimento en engorda en corral. Enero, 2016. Imagen propiedad de los autores.</w:t>
      </w:r>
    </w:p>
    <w:p>
      <w:pPr>
        <w:pStyle w:val="BodyText"/>
        <w:rPr>
          <w:sz w:val="20"/>
        </w:rPr>
      </w:pPr>
    </w:p>
    <w:p>
      <w:pPr>
        <w:pStyle w:val="BodyText"/>
        <w:spacing w:line="362" w:lineRule="auto" w:before="125"/>
        <w:ind w:left="119" w:right="126"/>
        <w:jc w:val="both"/>
      </w:pPr>
      <w:r>
        <w:rPr/>
        <w:t>Los insumos para la dieta, se adquirirán en la cosecha de maíz del periodo otoño/invierno 2015/2016, el resto de los insumos en lugares de abastecimiento de la ciudad de Tejupilco, Estado de México.</w:t>
      </w:r>
    </w:p>
    <w:p>
      <w:pPr>
        <w:pStyle w:val="BodyText"/>
        <w:spacing w:before="10"/>
        <w:rPr>
          <w:sz w:val="35"/>
        </w:rPr>
      </w:pPr>
    </w:p>
    <w:p>
      <w:pPr>
        <w:pStyle w:val="BodyText"/>
        <w:spacing w:line="362" w:lineRule="auto"/>
        <w:ind w:left="119" w:right="110"/>
        <w:jc w:val="both"/>
      </w:pPr>
      <w:r>
        <w:rPr/>
        <w:t>Por tanto, al realizar las estimaciones de forma anual, se requerirán: (100 cabezas) x (990 kg de alimento por cabeza) x ($3.6 por kg) = $356,400.0, por concepto de compra de alimento.</w:t>
      </w:r>
    </w:p>
    <w:p>
      <w:pPr>
        <w:spacing w:after="0" w:line="362" w:lineRule="auto"/>
        <w:jc w:val="both"/>
        <w:sectPr>
          <w:pgSz w:w="12240" w:h="15840"/>
          <w:pgMar w:header="0" w:footer="1180" w:top="1360" w:bottom="1380" w:left="1580" w:right="1300"/>
        </w:sectPr>
      </w:pPr>
    </w:p>
    <w:p>
      <w:pPr>
        <w:pStyle w:val="BodyText"/>
        <w:spacing w:before="52"/>
        <w:ind w:left="199" w:right="15"/>
      </w:pPr>
      <w:r>
        <w:rPr/>
        <w:t>Cuadro 7. Dieta a utilizar en la engorda en corral. Almoloya de las Granadas, 2016.</w:t>
      </w:r>
    </w:p>
    <w:p>
      <w:pPr>
        <w:pStyle w:val="BodyText"/>
        <w:spacing w:before="7" w:after="1"/>
        <w:rPr>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0"/>
        <w:gridCol w:w="1627"/>
        <w:gridCol w:w="1624"/>
        <w:gridCol w:w="1494"/>
        <w:gridCol w:w="1352"/>
        <w:gridCol w:w="1165"/>
      </w:tblGrid>
      <w:tr>
        <w:trPr>
          <w:trHeight w:val="1666" w:hRule="exact"/>
        </w:trPr>
        <w:tc>
          <w:tcPr>
            <w:tcW w:w="2020" w:type="dxa"/>
            <w:tcBorders>
              <w:left w:val="nil"/>
              <w:right w:val="nil"/>
            </w:tcBorders>
          </w:tcPr>
          <w:p>
            <w:pPr>
              <w:pStyle w:val="TableParagraph"/>
              <w:spacing w:before="0"/>
              <w:jc w:val="left"/>
              <w:rPr>
                <w:sz w:val="24"/>
              </w:rPr>
            </w:pPr>
          </w:p>
          <w:p>
            <w:pPr>
              <w:pStyle w:val="TableParagraph"/>
              <w:spacing w:before="0"/>
              <w:jc w:val="left"/>
              <w:rPr>
                <w:sz w:val="24"/>
              </w:rPr>
            </w:pPr>
          </w:p>
          <w:p>
            <w:pPr>
              <w:pStyle w:val="TableParagraph"/>
              <w:spacing w:before="0"/>
              <w:jc w:val="left"/>
              <w:rPr>
                <w:sz w:val="24"/>
              </w:rPr>
            </w:pPr>
          </w:p>
          <w:p>
            <w:pPr>
              <w:pStyle w:val="TableParagraph"/>
              <w:spacing w:before="4"/>
              <w:jc w:val="left"/>
              <w:rPr>
                <w:sz w:val="35"/>
              </w:rPr>
            </w:pPr>
          </w:p>
          <w:p>
            <w:pPr>
              <w:pStyle w:val="TableParagraph"/>
              <w:spacing w:before="0"/>
              <w:ind w:left="86"/>
              <w:jc w:val="left"/>
              <w:rPr>
                <w:sz w:val="24"/>
              </w:rPr>
            </w:pPr>
            <w:r>
              <w:rPr>
                <w:sz w:val="24"/>
              </w:rPr>
              <w:t>Ingrediente</w:t>
            </w:r>
          </w:p>
        </w:tc>
        <w:tc>
          <w:tcPr>
            <w:tcW w:w="1627" w:type="dxa"/>
            <w:tcBorders>
              <w:left w:val="nil"/>
              <w:right w:val="nil"/>
            </w:tcBorders>
          </w:tcPr>
          <w:p>
            <w:pPr>
              <w:pStyle w:val="TableParagraph"/>
              <w:spacing w:before="0"/>
              <w:jc w:val="left"/>
              <w:rPr>
                <w:sz w:val="24"/>
              </w:rPr>
            </w:pPr>
          </w:p>
          <w:p>
            <w:pPr>
              <w:pStyle w:val="TableParagraph"/>
              <w:spacing w:before="0"/>
              <w:jc w:val="left"/>
              <w:rPr>
                <w:sz w:val="24"/>
              </w:rPr>
            </w:pPr>
          </w:p>
          <w:p>
            <w:pPr>
              <w:pStyle w:val="TableParagraph"/>
              <w:spacing w:before="0"/>
              <w:jc w:val="left"/>
              <w:rPr>
                <w:sz w:val="24"/>
              </w:rPr>
            </w:pPr>
          </w:p>
          <w:p>
            <w:pPr>
              <w:pStyle w:val="TableParagraph"/>
              <w:spacing w:before="4"/>
              <w:jc w:val="left"/>
              <w:rPr>
                <w:sz w:val="35"/>
              </w:rPr>
            </w:pPr>
          </w:p>
          <w:p>
            <w:pPr>
              <w:pStyle w:val="TableParagraph"/>
              <w:spacing w:before="0"/>
              <w:ind w:right="94"/>
              <w:rPr>
                <w:sz w:val="24"/>
              </w:rPr>
            </w:pPr>
            <w:r>
              <w:rPr>
                <w:sz w:val="24"/>
              </w:rPr>
              <w:t>Presentación</w:t>
            </w:r>
          </w:p>
        </w:tc>
        <w:tc>
          <w:tcPr>
            <w:tcW w:w="1624" w:type="dxa"/>
            <w:tcBorders>
              <w:left w:val="nil"/>
              <w:right w:val="nil"/>
            </w:tcBorders>
          </w:tcPr>
          <w:p>
            <w:pPr>
              <w:pStyle w:val="TableParagraph"/>
              <w:spacing w:before="0"/>
              <w:jc w:val="left"/>
              <w:rPr>
                <w:sz w:val="24"/>
              </w:rPr>
            </w:pPr>
          </w:p>
          <w:p>
            <w:pPr>
              <w:pStyle w:val="TableParagraph"/>
              <w:spacing w:before="0"/>
              <w:jc w:val="left"/>
              <w:rPr>
                <w:sz w:val="24"/>
              </w:rPr>
            </w:pPr>
          </w:p>
          <w:p>
            <w:pPr>
              <w:pStyle w:val="TableParagraph"/>
              <w:spacing w:before="0"/>
              <w:jc w:val="left"/>
              <w:rPr>
                <w:sz w:val="24"/>
              </w:rPr>
            </w:pPr>
          </w:p>
          <w:p>
            <w:pPr>
              <w:pStyle w:val="TableParagraph"/>
              <w:spacing w:before="4"/>
              <w:jc w:val="left"/>
              <w:rPr>
                <w:sz w:val="35"/>
              </w:rPr>
            </w:pPr>
          </w:p>
          <w:p>
            <w:pPr>
              <w:pStyle w:val="TableParagraph"/>
              <w:spacing w:before="0"/>
              <w:ind w:right="86"/>
              <w:rPr>
                <w:sz w:val="24"/>
              </w:rPr>
            </w:pPr>
            <w:r>
              <w:rPr>
                <w:sz w:val="24"/>
              </w:rPr>
              <w:t>Cantidad (kg)</w:t>
            </w:r>
          </w:p>
        </w:tc>
        <w:tc>
          <w:tcPr>
            <w:tcW w:w="1494" w:type="dxa"/>
            <w:tcBorders>
              <w:left w:val="nil"/>
              <w:right w:val="nil"/>
            </w:tcBorders>
          </w:tcPr>
          <w:p>
            <w:pPr>
              <w:pStyle w:val="TableParagraph"/>
              <w:spacing w:before="0"/>
              <w:jc w:val="left"/>
              <w:rPr>
                <w:sz w:val="24"/>
              </w:rPr>
            </w:pPr>
          </w:p>
          <w:p>
            <w:pPr>
              <w:pStyle w:val="TableParagraph"/>
              <w:spacing w:before="0"/>
              <w:jc w:val="left"/>
              <w:rPr>
                <w:sz w:val="24"/>
              </w:rPr>
            </w:pPr>
          </w:p>
          <w:p>
            <w:pPr>
              <w:pStyle w:val="TableParagraph"/>
              <w:spacing w:before="0"/>
              <w:jc w:val="left"/>
              <w:rPr>
                <w:sz w:val="24"/>
              </w:rPr>
            </w:pPr>
          </w:p>
          <w:p>
            <w:pPr>
              <w:pStyle w:val="TableParagraph"/>
              <w:spacing w:before="4"/>
              <w:jc w:val="left"/>
              <w:rPr>
                <w:sz w:val="35"/>
              </w:rPr>
            </w:pPr>
          </w:p>
          <w:p>
            <w:pPr>
              <w:pStyle w:val="TableParagraph"/>
              <w:spacing w:before="0"/>
              <w:ind w:right="96"/>
              <w:rPr>
                <w:sz w:val="24"/>
              </w:rPr>
            </w:pPr>
            <w:r>
              <w:rPr>
                <w:sz w:val="24"/>
              </w:rPr>
              <w:t>Costo ($/kg)</w:t>
            </w:r>
          </w:p>
        </w:tc>
        <w:tc>
          <w:tcPr>
            <w:tcW w:w="1352" w:type="dxa"/>
            <w:tcBorders>
              <w:left w:val="nil"/>
              <w:right w:val="nil"/>
            </w:tcBorders>
          </w:tcPr>
          <w:p>
            <w:pPr>
              <w:pStyle w:val="TableParagraph"/>
              <w:spacing w:line="360" w:lineRule="auto" w:before="0"/>
              <w:ind w:left="97" w:right="155" w:firstLine="134"/>
              <w:rPr>
                <w:sz w:val="24"/>
              </w:rPr>
            </w:pPr>
            <w:r>
              <w:rPr>
                <w:sz w:val="24"/>
              </w:rPr>
              <w:t>Costo de</w:t>
            </w:r>
            <w:r>
              <w:rPr>
                <w:w w:val="99"/>
                <w:sz w:val="24"/>
              </w:rPr>
              <w:t> </w:t>
            </w:r>
            <w:r>
              <w:rPr>
                <w:sz w:val="24"/>
              </w:rPr>
              <w:t>la dieta</w:t>
            </w:r>
            <w:r>
              <w:rPr>
                <w:w w:val="100"/>
                <w:sz w:val="24"/>
              </w:rPr>
              <w:t> </w:t>
            </w:r>
            <w:r>
              <w:rPr>
                <w:sz w:val="24"/>
              </w:rPr>
              <w:t>preparada</w:t>
            </w:r>
          </w:p>
          <w:p>
            <w:pPr>
              <w:pStyle w:val="TableParagraph"/>
              <w:spacing w:before="2"/>
              <w:ind w:right="150"/>
              <w:rPr>
                <w:sz w:val="24"/>
              </w:rPr>
            </w:pPr>
            <w:r>
              <w:rPr>
                <w:sz w:val="24"/>
              </w:rPr>
              <w:t>($/kg)</w:t>
            </w:r>
          </w:p>
        </w:tc>
        <w:tc>
          <w:tcPr>
            <w:tcW w:w="1165" w:type="dxa"/>
            <w:tcBorders>
              <w:left w:val="nil"/>
              <w:right w:val="nil"/>
            </w:tcBorders>
          </w:tcPr>
          <w:p>
            <w:pPr>
              <w:pStyle w:val="TableParagraph"/>
              <w:spacing w:before="0"/>
              <w:jc w:val="left"/>
              <w:rPr>
                <w:sz w:val="24"/>
              </w:rPr>
            </w:pPr>
          </w:p>
          <w:p>
            <w:pPr>
              <w:pStyle w:val="TableParagraph"/>
              <w:spacing w:before="0"/>
              <w:jc w:val="left"/>
              <w:rPr>
                <w:sz w:val="24"/>
              </w:rPr>
            </w:pPr>
          </w:p>
          <w:p>
            <w:pPr>
              <w:pStyle w:val="TableParagraph"/>
              <w:spacing w:before="5"/>
              <w:jc w:val="left"/>
              <w:rPr>
                <w:sz w:val="23"/>
              </w:rPr>
            </w:pPr>
          </w:p>
          <w:p>
            <w:pPr>
              <w:pStyle w:val="TableParagraph"/>
              <w:spacing w:line="360" w:lineRule="auto" w:before="0"/>
              <w:ind w:left="152" w:right="46" w:firstLine="316"/>
              <w:jc w:val="left"/>
              <w:rPr>
                <w:sz w:val="24"/>
              </w:rPr>
            </w:pPr>
            <w:r>
              <w:rPr>
                <w:sz w:val="24"/>
              </w:rPr>
              <w:t>Costo total ($/t)</w:t>
            </w:r>
          </w:p>
        </w:tc>
      </w:tr>
      <w:tr>
        <w:trPr>
          <w:trHeight w:val="358" w:hRule="exact"/>
        </w:trPr>
        <w:tc>
          <w:tcPr>
            <w:tcW w:w="2020" w:type="dxa"/>
            <w:tcBorders>
              <w:left w:val="nil"/>
              <w:bottom w:val="nil"/>
              <w:right w:val="nil"/>
            </w:tcBorders>
          </w:tcPr>
          <w:p>
            <w:pPr>
              <w:pStyle w:val="TableParagraph"/>
              <w:spacing w:line="272" w:lineRule="exact" w:before="0"/>
              <w:ind w:left="86"/>
              <w:jc w:val="left"/>
              <w:rPr>
                <w:sz w:val="24"/>
              </w:rPr>
            </w:pPr>
            <w:r>
              <w:rPr>
                <w:sz w:val="24"/>
              </w:rPr>
              <w:t>Mazorca</w:t>
            </w:r>
          </w:p>
        </w:tc>
        <w:tc>
          <w:tcPr>
            <w:tcW w:w="1627" w:type="dxa"/>
            <w:tcBorders>
              <w:left w:val="nil"/>
              <w:bottom w:val="nil"/>
              <w:right w:val="nil"/>
            </w:tcBorders>
          </w:tcPr>
          <w:p>
            <w:pPr>
              <w:pStyle w:val="TableParagraph"/>
              <w:spacing w:line="272" w:lineRule="exact" w:before="0"/>
              <w:ind w:right="93"/>
              <w:rPr>
                <w:sz w:val="24"/>
              </w:rPr>
            </w:pPr>
            <w:r>
              <w:rPr>
                <w:w w:val="95"/>
                <w:sz w:val="24"/>
              </w:rPr>
              <w:t>Molida</w:t>
            </w:r>
          </w:p>
        </w:tc>
        <w:tc>
          <w:tcPr>
            <w:tcW w:w="1624" w:type="dxa"/>
            <w:tcBorders>
              <w:left w:val="nil"/>
              <w:bottom w:val="nil"/>
              <w:right w:val="nil"/>
            </w:tcBorders>
          </w:tcPr>
          <w:p>
            <w:pPr>
              <w:pStyle w:val="TableParagraph"/>
              <w:spacing w:line="272" w:lineRule="exact" w:before="0"/>
              <w:ind w:right="85"/>
              <w:rPr>
                <w:sz w:val="24"/>
              </w:rPr>
            </w:pPr>
            <w:r>
              <w:rPr>
                <w:sz w:val="24"/>
              </w:rPr>
              <w:t>476.2</w:t>
            </w:r>
          </w:p>
        </w:tc>
        <w:tc>
          <w:tcPr>
            <w:tcW w:w="1494" w:type="dxa"/>
            <w:tcBorders>
              <w:left w:val="nil"/>
              <w:bottom w:val="nil"/>
              <w:right w:val="nil"/>
            </w:tcBorders>
          </w:tcPr>
          <w:p>
            <w:pPr>
              <w:pStyle w:val="TableParagraph"/>
              <w:spacing w:line="272" w:lineRule="exact" w:before="0"/>
              <w:ind w:right="95"/>
              <w:rPr>
                <w:sz w:val="24"/>
              </w:rPr>
            </w:pPr>
            <w:r>
              <w:rPr>
                <w:sz w:val="24"/>
              </w:rPr>
              <w:t>3.6</w:t>
            </w:r>
          </w:p>
        </w:tc>
        <w:tc>
          <w:tcPr>
            <w:tcW w:w="1352" w:type="dxa"/>
            <w:tcBorders>
              <w:left w:val="nil"/>
              <w:bottom w:val="nil"/>
              <w:right w:val="nil"/>
            </w:tcBorders>
          </w:tcPr>
          <w:p>
            <w:pPr>
              <w:pStyle w:val="TableParagraph"/>
              <w:spacing w:line="272" w:lineRule="exact" w:before="0"/>
              <w:ind w:right="150"/>
              <w:rPr>
                <w:sz w:val="24"/>
              </w:rPr>
            </w:pPr>
            <w:r>
              <w:rPr>
                <w:sz w:val="24"/>
              </w:rPr>
              <w:t>1.7</w:t>
            </w:r>
          </w:p>
        </w:tc>
        <w:tc>
          <w:tcPr>
            <w:tcW w:w="1165" w:type="dxa"/>
            <w:tcBorders>
              <w:left w:val="nil"/>
              <w:bottom w:val="nil"/>
              <w:right w:val="nil"/>
            </w:tcBorders>
          </w:tcPr>
          <w:p>
            <w:pPr>
              <w:pStyle w:val="TableParagraph"/>
              <w:spacing w:line="272" w:lineRule="exact" w:before="0"/>
              <w:ind w:right="62"/>
              <w:rPr>
                <w:sz w:val="24"/>
              </w:rPr>
            </w:pPr>
            <w:r>
              <w:rPr>
                <w:sz w:val="24"/>
              </w:rPr>
              <w:t>1,733.3</w:t>
            </w:r>
          </w:p>
        </w:tc>
      </w:tr>
      <w:tr>
        <w:trPr>
          <w:trHeight w:val="413" w:hRule="exact"/>
        </w:trPr>
        <w:tc>
          <w:tcPr>
            <w:tcW w:w="2020" w:type="dxa"/>
            <w:tcBorders>
              <w:top w:val="nil"/>
              <w:left w:val="nil"/>
              <w:bottom w:val="nil"/>
              <w:right w:val="nil"/>
            </w:tcBorders>
          </w:tcPr>
          <w:p>
            <w:pPr>
              <w:pStyle w:val="TableParagraph"/>
              <w:ind w:left="86"/>
              <w:jc w:val="left"/>
              <w:rPr>
                <w:sz w:val="24"/>
              </w:rPr>
            </w:pPr>
            <w:r>
              <w:rPr>
                <w:sz w:val="24"/>
              </w:rPr>
              <w:t>Sorgo</w:t>
            </w:r>
          </w:p>
        </w:tc>
        <w:tc>
          <w:tcPr>
            <w:tcW w:w="1627" w:type="dxa"/>
            <w:tcBorders>
              <w:top w:val="nil"/>
              <w:left w:val="nil"/>
              <w:bottom w:val="nil"/>
              <w:right w:val="nil"/>
            </w:tcBorders>
          </w:tcPr>
          <w:p>
            <w:pPr>
              <w:pStyle w:val="TableParagraph"/>
              <w:ind w:right="93"/>
              <w:rPr>
                <w:sz w:val="24"/>
              </w:rPr>
            </w:pPr>
            <w:r>
              <w:rPr>
                <w:w w:val="95"/>
                <w:sz w:val="24"/>
              </w:rPr>
              <w:t>Molido</w:t>
            </w:r>
          </w:p>
        </w:tc>
        <w:tc>
          <w:tcPr>
            <w:tcW w:w="1624" w:type="dxa"/>
            <w:tcBorders>
              <w:top w:val="nil"/>
              <w:left w:val="nil"/>
              <w:bottom w:val="nil"/>
              <w:right w:val="nil"/>
            </w:tcBorders>
          </w:tcPr>
          <w:p>
            <w:pPr>
              <w:pStyle w:val="TableParagraph"/>
              <w:ind w:right="85"/>
              <w:rPr>
                <w:sz w:val="24"/>
              </w:rPr>
            </w:pPr>
            <w:r>
              <w:rPr>
                <w:sz w:val="24"/>
              </w:rPr>
              <w:t>119.1</w:t>
            </w:r>
          </w:p>
        </w:tc>
        <w:tc>
          <w:tcPr>
            <w:tcW w:w="1494" w:type="dxa"/>
            <w:tcBorders>
              <w:top w:val="nil"/>
              <w:left w:val="nil"/>
              <w:bottom w:val="nil"/>
              <w:right w:val="nil"/>
            </w:tcBorders>
          </w:tcPr>
          <w:p>
            <w:pPr>
              <w:pStyle w:val="TableParagraph"/>
              <w:ind w:right="95"/>
              <w:rPr>
                <w:sz w:val="24"/>
              </w:rPr>
            </w:pPr>
            <w:r>
              <w:rPr>
                <w:sz w:val="24"/>
              </w:rPr>
              <w:t>3.9</w:t>
            </w:r>
          </w:p>
        </w:tc>
        <w:tc>
          <w:tcPr>
            <w:tcW w:w="1352" w:type="dxa"/>
            <w:tcBorders>
              <w:top w:val="nil"/>
              <w:left w:val="nil"/>
              <w:bottom w:val="nil"/>
              <w:right w:val="nil"/>
            </w:tcBorders>
          </w:tcPr>
          <w:p>
            <w:pPr>
              <w:pStyle w:val="TableParagraph"/>
              <w:ind w:right="150"/>
              <w:rPr>
                <w:sz w:val="24"/>
              </w:rPr>
            </w:pPr>
            <w:r>
              <w:rPr>
                <w:sz w:val="24"/>
              </w:rPr>
              <w:t>0.5</w:t>
            </w:r>
          </w:p>
        </w:tc>
        <w:tc>
          <w:tcPr>
            <w:tcW w:w="1165" w:type="dxa"/>
            <w:tcBorders>
              <w:top w:val="nil"/>
              <w:left w:val="nil"/>
              <w:bottom w:val="nil"/>
              <w:right w:val="nil"/>
            </w:tcBorders>
          </w:tcPr>
          <w:p>
            <w:pPr>
              <w:pStyle w:val="TableParagraph"/>
              <w:ind w:right="62"/>
              <w:rPr>
                <w:sz w:val="24"/>
              </w:rPr>
            </w:pPr>
            <w:r>
              <w:rPr>
                <w:w w:val="95"/>
                <w:sz w:val="24"/>
              </w:rPr>
              <w:t>464.3</w:t>
            </w:r>
          </w:p>
        </w:tc>
      </w:tr>
      <w:tr>
        <w:trPr>
          <w:trHeight w:val="415" w:hRule="exact"/>
        </w:trPr>
        <w:tc>
          <w:tcPr>
            <w:tcW w:w="2020" w:type="dxa"/>
            <w:tcBorders>
              <w:top w:val="nil"/>
              <w:left w:val="nil"/>
              <w:bottom w:val="nil"/>
              <w:right w:val="nil"/>
            </w:tcBorders>
          </w:tcPr>
          <w:p>
            <w:pPr>
              <w:pStyle w:val="TableParagraph"/>
              <w:spacing w:before="56"/>
              <w:ind w:left="86"/>
              <w:jc w:val="left"/>
              <w:rPr>
                <w:sz w:val="24"/>
              </w:rPr>
            </w:pPr>
            <w:r>
              <w:rPr>
                <w:sz w:val="24"/>
              </w:rPr>
              <w:t>Salvado</w:t>
            </w:r>
          </w:p>
        </w:tc>
        <w:tc>
          <w:tcPr>
            <w:tcW w:w="1627" w:type="dxa"/>
            <w:tcBorders>
              <w:top w:val="nil"/>
              <w:left w:val="nil"/>
              <w:bottom w:val="nil"/>
              <w:right w:val="nil"/>
            </w:tcBorders>
          </w:tcPr>
          <w:p>
            <w:pPr>
              <w:pStyle w:val="TableParagraph"/>
              <w:spacing w:before="56"/>
              <w:ind w:right="93"/>
              <w:rPr>
                <w:sz w:val="24"/>
              </w:rPr>
            </w:pPr>
            <w:r>
              <w:rPr>
                <w:w w:val="95"/>
                <w:sz w:val="24"/>
              </w:rPr>
              <w:t>Molido</w:t>
            </w:r>
          </w:p>
        </w:tc>
        <w:tc>
          <w:tcPr>
            <w:tcW w:w="1624" w:type="dxa"/>
            <w:tcBorders>
              <w:top w:val="nil"/>
              <w:left w:val="nil"/>
              <w:bottom w:val="nil"/>
              <w:right w:val="nil"/>
            </w:tcBorders>
          </w:tcPr>
          <w:p>
            <w:pPr>
              <w:pStyle w:val="TableParagraph"/>
              <w:spacing w:before="56"/>
              <w:ind w:right="85"/>
              <w:rPr>
                <w:sz w:val="24"/>
              </w:rPr>
            </w:pPr>
            <w:r>
              <w:rPr>
                <w:sz w:val="24"/>
              </w:rPr>
              <w:t>119.1</w:t>
            </w:r>
          </w:p>
        </w:tc>
        <w:tc>
          <w:tcPr>
            <w:tcW w:w="1494" w:type="dxa"/>
            <w:tcBorders>
              <w:top w:val="nil"/>
              <w:left w:val="nil"/>
              <w:bottom w:val="nil"/>
              <w:right w:val="nil"/>
            </w:tcBorders>
          </w:tcPr>
          <w:p>
            <w:pPr>
              <w:pStyle w:val="TableParagraph"/>
              <w:spacing w:before="56"/>
              <w:ind w:right="95"/>
              <w:rPr>
                <w:sz w:val="24"/>
              </w:rPr>
            </w:pPr>
            <w:r>
              <w:rPr>
                <w:sz w:val="24"/>
              </w:rPr>
              <w:t>4.1</w:t>
            </w:r>
          </w:p>
        </w:tc>
        <w:tc>
          <w:tcPr>
            <w:tcW w:w="1352" w:type="dxa"/>
            <w:tcBorders>
              <w:top w:val="nil"/>
              <w:left w:val="nil"/>
              <w:bottom w:val="nil"/>
              <w:right w:val="nil"/>
            </w:tcBorders>
          </w:tcPr>
          <w:p>
            <w:pPr>
              <w:pStyle w:val="TableParagraph"/>
              <w:spacing w:before="56"/>
              <w:ind w:right="150"/>
              <w:rPr>
                <w:sz w:val="24"/>
              </w:rPr>
            </w:pPr>
            <w:r>
              <w:rPr>
                <w:sz w:val="24"/>
              </w:rPr>
              <w:t>0.4</w:t>
            </w:r>
          </w:p>
        </w:tc>
        <w:tc>
          <w:tcPr>
            <w:tcW w:w="1165" w:type="dxa"/>
            <w:tcBorders>
              <w:top w:val="nil"/>
              <w:left w:val="nil"/>
              <w:bottom w:val="nil"/>
              <w:right w:val="nil"/>
            </w:tcBorders>
          </w:tcPr>
          <w:p>
            <w:pPr>
              <w:pStyle w:val="TableParagraph"/>
              <w:spacing w:before="56"/>
              <w:ind w:right="62"/>
              <w:rPr>
                <w:sz w:val="24"/>
              </w:rPr>
            </w:pPr>
            <w:r>
              <w:rPr>
                <w:w w:val="95"/>
                <w:sz w:val="24"/>
              </w:rPr>
              <w:t>491.1</w:t>
            </w:r>
          </w:p>
        </w:tc>
      </w:tr>
      <w:tr>
        <w:trPr>
          <w:trHeight w:val="415" w:hRule="exact"/>
        </w:trPr>
        <w:tc>
          <w:tcPr>
            <w:tcW w:w="2020" w:type="dxa"/>
            <w:tcBorders>
              <w:top w:val="nil"/>
              <w:left w:val="nil"/>
              <w:bottom w:val="nil"/>
              <w:right w:val="nil"/>
            </w:tcBorders>
          </w:tcPr>
          <w:p>
            <w:pPr>
              <w:pStyle w:val="TableParagraph"/>
              <w:spacing w:before="58"/>
              <w:ind w:left="86"/>
              <w:jc w:val="left"/>
              <w:rPr>
                <w:sz w:val="24"/>
              </w:rPr>
            </w:pPr>
            <w:r>
              <w:rPr>
                <w:sz w:val="24"/>
              </w:rPr>
              <w:t>Pollinaza</w:t>
            </w:r>
          </w:p>
        </w:tc>
        <w:tc>
          <w:tcPr>
            <w:tcW w:w="1627" w:type="dxa"/>
            <w:tcBorders>
              <w:top w:val="nil"/>
              <w:left w:val="nil"/>
              <w:bottom w:val="nil"/>
              <w:right w:val="nil"/>
            </w:tcBorders>
          </w:tcPr>
          <w:p>
            <w:pPr>
              <w:pStyle w:val="TableParagraph"/>
              <w:spacing w:before="58"/>
              <w:ind w:right="96"/>
              <w:rPr>
                <w:sz w:val="24"/>
              </w:rPr>
            </w:pPr>
            <w:r>
              <w:rPr>
                <w:sz w:val="24"/>
              </w:rPr>
              <w:t>Original</w:t>
            </w:r>
          </w:p>
        </w:tc>
        <w:tc>
          <w:tcPr>
            <w:tcW w:w="1624" w:type="dxa"/>
            <w:tcBorders>
              <w:top w:val="nil"/>
              <w:left w:val="nil"/>
              <w:bottom w:val="nil"/>
              <w:right w:val="nil"/>
            </w:tcBorders>
          </w:tcPr>
          <w:p>
            <w:pPr>
              <w:pStyle w:val="TableParagraph"/>
              <w:spacing w:before="58"/>
              <w:ind w:right="85"/>
              <w:rPr>
                <w:sz w:val="24"/>
              </w:rPr>
            </w:pPr>
            <w:r>
              <w:rPr>
                <w:sz w:val="24"/>
              </w:rPr>
              <w:t>119.1</w:t>
            </w:r>
          </w:p>
        </w:tc>
        <w:tc>
          <w:tcPr>
            <w:tcW w:w="1494" w:type="dxa"/>
            <w:tcBorders>
              <w:top w:val="nil"/>
              <w:left w:val="nil"/>
              <w:bottom w:val="nil"/>
              <w:right w:val="nil"/>
            </w:tcBorders>
          </w:tcPr>
          <w:p>
            <w:pPr>
              <w:pStyle w:val="TableParagraph"/>
              <w:spacing w:before="58"/>
              <w:ind w:right="95"/>
              <w:rPr>
                <w:sz w:val="24"/>
              </w:rPr>
            </w:pPr>
            <w:r>
              <w:rPr>
                <w:sz w:val="24"/>
              </w:rPr>
              <w:t>2.2</w:t>
            </w:r>
          </w:p>
        </w:tc>
        <w:tc>
          <w:tcPr>
            <w:tcW w:w="1352" w:type="dxa"/>
            <w:tcBorders>
              <w:top w:val="nil"/>
              <w:left w:val="nil"/>
              <w:bottom w:val="nil"/>
              <w:right w:val="nil"/>
            </w:tcBorders>
          </w:tcPr>
          <w:p>
            <w:pPr>
              <w:pStyle w:val="TableParagraph"/>
              <w:spacing w:before="58"/>
              <w:ind w:right="150"/>
              <w:rPr>
                <w:sz w:val="24"/>
              </w:rPr>
            </w:pPr>
            <w:r>
              <w:rPr>
                <w:sz w:val="24"/>
              </w:rPr>
              <w:t>0.3</w:t>
            </w:r>
          </w:p>
        </w:tc>
        <w:tc>
          <w:tcPr>
            <w:tcW w:w="1165" w:type="dxa"/>
            <w:tcBorders>
              <w:top w:val="nil"/>
              <w:left w:val="nil"/>
              <w:bottom w:val="nil"/>
              <w:right w:val="nil"/>
            </w:tcBorders>
          </w:tcPr>
          <w:p>
            <w:pPr>
              <w:pStyle w:val="TableParagraph"/>
              <w:spacing w:before="58"/>
              <w:ind w:right="62"/>
              <w:rPr>
                <w:sz w:val="24"/>
              </w:rPr>
            </w:pPr>
            <w:r>
              <w:rPr>
                <w:w w:val="95"/>
                <w:sz w:val="24"/>
              </w:rPr>
              <w:t>263.1</w:t>
            </w:r>
          </w:p>
        </w:tc>
      </w:tr>
      <w:tr>
        <w:trPr>
          <w:trHeight w:val="413" w:hRule="exact"/>
        </w:trPr>
        <w:tc>
          <w:tcPr>
            <w:tcW w:w="2020" w:type="dxa"/>
            <w:tcBorders>
              <w:top w:val="nil"/>
              <w:left w:val="nil"/>
              <w:bottom w:val="nil"/>
              <w:right w:val="nil"/>
            </w:tcBorders>
          </w:tcPr>
          <w:p>
            <w:pPr>
              <w:pStyle w:val="TableParagraph"/>
              <w:ind w:left="86"/>
              <w:jc w:val="left"/>
              <w:rPr>
                <w:sz w:val="24"/>
              </w:rPr>
            </w:pPr>
            <w:r>
              <w:rPr>
                <w:sz w:val="24"/>
              </w:rPr>
              <w:t>Rastrojo de maíz</w:t>
            </w:r>
          </w:p>
        </w:tc>
        <w:tc>
          <w:tcPr>
            <w:tcW w:w="1627" w:type="dxa"/>
            <w:tcBorders>
              <w:top w:val="nil"/>
              <w:left w:val="nil"/>
              <w:bottom w:val="nil"/>
              <w:right w:val="nil"/>
            </w:tcBorders>
          </w:tcPr>
          <w:p>
            <w:pPr>
              <w:pStyle w:val="TableParagraph"/>
              <w:ind w:right="93"/>
              <w:rPr>
                <w:sz w:val="24"/>
              </w:rPr>
            </w:pPr>
            <w:r>
              <w:rPr>
                <w:w w:val="95"/>
                <w:sz w:val="24"/>
              </w:rPr>
              <w:t>Molido</w:t>
            </w:r>
          </w:p>
        </w:tc>
        <w:tc>
          <w:tcPr>
            <w:tcW w:w="1624" w:type="dxa"/>
            <w:tcBorders>
              <w:top w:val="nil"/>
              <w:left w:val="nil"/>
              <w:bottom w:val="nil"/>
              <w:right w:val="nil"/>
            </w:tcBorders>
          </w:tcPr>
          <w:p>
            <w:pPr>
              <w:pStyle w:val="TableParagraph"/>
              <w:ind w:right="85"/>
              <w:rPr>
                <w:sz w:val="24"/>
              </w:rPr>
            </w:pPr>
            <w:r>
              <w:rPr>
                <w:sz w:val="24"/>
              </w:rPr>
              <w:t>119.1</w:t>
            </w:r>
          </w:p>
        </w:tc>
        <w:tc>
          <w:tcPr>
            <w:tcW w:w="1494" w:type="dxa"/>
            <w:tcBorders>
              <w:top w:val="nil"/>
              <w:left w:val="nil"/>
              <w:bottom w:val="nil"/>
              <w:right w:val="nil"/>
            </w:tcBorders>
          </w:tcPr>
          <w:p>
            <w:pPr>
              <w:pStyle w:val="TableParagraph"/>
              <w:ind w:right="95"/>
              <w:rPr>
                <w:sz w:val="24"/>
              </w:rPr>
            </w:pPr>
            <w:r>
              <w:rPr>
                <w:sz w:val="24"/>
              </w:rPr>
              <w:t>2.3</w:t>
            </w:r>
          </w:p>
        </w:tc>
        <w:tc>
          <w:tcPr>
            <w:tcW w:w="1352" w:type="dxa"/>
            <w:tcBorders>
              <w:top w:val="nil"/>
              <w:left w:val="nil"/>
              <w:bottom w:val="nil"/>
              <w:right w:val="nil"/>
            </w:tcBorders>
          </w:tcPr>
          <w:p>
            <w:pPr>
              <w:pStyle w:val="TableParagraph"/>
              <w:ind w:right="150"/>
              <w:rPr>
                <w:sz w:val="24"/>
              </w:rPr>
            </w:pPr>
            <w:r>
              <w:rPr>
                <w:sz w:val="24"/>
              </w:rPr>
              <w:t>0.3</w:t>
            </w:r>
          </w:p>
        </w:tc>
        <w:tc>
          <w:tcPr>
            <w:tcW w:w="1165" w:type="dxa"/>
            <w:tcBorders>
              <w:top w:val="nil"/>
              <w:left w:val="nil"/>
              <w:bottom w:val="nil"/>
              <w:right w:val="nil"/>
            </w:tcBorders>
          </w:tcPr>
          <w:p>
            <w:pPr>
              <w:pStyle w:val="TableParagraph"/>
              <w:ind w:right="62"/>
              <w:rPr>
                <w:sz w:val="24"/>
              </w:rPr>
            </w:pPr>
            <w:r>
              <w:rPr>
                <w:w w:val="95"/>
                <w:sz w:val="24"/>
              </w:rPr>
              <w:t>278.6</w:t>
            </w:r>
          </w:p>
        </w:tc>
      </w:tr>
      <w:tr>
        <w:trPr>
          <w:trHeight w:val="413" w:hRule="exact"/>
        </w:trPr>
        <w:tc>
          <w:tcPr>
            <w:tcW w:w="2020" w:type="dxa"/>
            <w:tcBorders>
              <w:top w:val="nil"/>
              <w:left w:val="nil"/>
              <w:bottom w:val="nil"/>
              <w:right w:val="nil"/>
            </w:tcBorders>
          </w:tcPr>
          <w:p>
            <w:pPr>
              <w:pStyle w:val="TableParagraph"/>
              <w:ind w:left="86"/>
              <w:jc w:val="left"/>
              <w:rPr>
                <w:sz w:val="24"/>
              </w:rPr>
            </w:pPr>
            <w:r>
              <w:rPr>
                <w:sz w:val="24"/>
              </w:rPr>
              <w:t>Pasta de soya</w:t>
            </w:r>
          </w:p>
        </w:tc>
        <w:tc>
          <w:tcPr>
            <w:tcW w:w="1627" w:type="dxa"/>
            <w:tcBorders>
              <w:top w:val="nil"/>
              <w:left w:val="nil"/>
              <w:bottom w:val="nil"/>
              <w:right w:val="nil"/>
            </w:tcBorders>
          </w:tcPr>
          <w:p>
            <w:pPr>
              <w:pStyle w:val="TableParagraph"/>
              <w:ind w:right="93"/>
              <w:rPr>
                <w:sz w:val="24"/>
              </w:rPr>
            </w:pPr>
            <w:r>
              <w:rPr>
                <w:w w:val="95"/>
                <w:sz w:val="24"/>
              </w:rPr>
              <w:t>Molida</w:t>
            </w:r>
          </w:p>
        </w:tc>
        <w:tc>
          <w:tcPr>
            <w:tcW w:w="1624" w:type="dxa"/>
            <w:tcBorders>
              <w:top w:val="nil"/>
              <w:left w:val="nil"/>
              <w:bottom w:val="nil"/>
              <w:right w:val="nil"/>
            </w:tcBorders>
          </w:tcPr>
          <w:p>
            <w:pPr>
              <w:pStyle w:val="TableParagraph"/>
              <w:ind w:right="85"/>
              <w:rPr>
                <w:sz w:val="24"/>
              </w:rPr>
            </w:pPr>
            <w:r>
              <w:rPr>
                <w:sz w:val="24"/>
              </w:rPr>
              <w:t>23.8</w:t>
            </w:r>
          </w:p>
        </w:tc>
        <w:tc>
          <w:tcPr>
            <w:tcW w:w="1494" w:type="dxa"/>
            <w:tcBorders>
              <w:top w:val="nil"/>
              <w:left w:val="nil"/>
              <w:bottom w:val="nil"/>
              <w:right w:val="nil"/>
            </w:tcBorders>
          </w:tcPr>
          <w:p>
            <w:pPr>
              <w:pStyle w:val="TableParagraph"/>
              <w:ind w:right="95"/>
              <w:rPr>
                <w:sz w:val="24"/>
              </w:rPr>
            </w:pPr>
            <w:r>
              <w:rPr>
                <w:sz w:val="24"/>
              </w:rPr>
              <w:t>8.8</w:t>
            </w:r>
          </w:p>
        </w:tc>
        <w:tc>
          <w:tcPr>
            <w:tcW w:w="1352" w:type="dxa"/>
            <w:tcBorders>
              <w:top w:val="nil"/>
              <w:left w:val="nil"/>
              <w:bottom w:val="nil"/>
              <w:right w:val="nil"/>
            </w:tcBorders>
          </w:tcPr>
          <w:p>
            <w:pPr>
              <w:pStyle w:val="TableParagraph"/>
              <w:ind w:right="150"/>
              <w:rPr>
                <w:sz w:val="24"/>
              </w:rPr>
            </w:pPr>
            <w:r>
              <w:rPr>
                <w:sz w:val="24"/>
              </w:rPr>
              <w:t>0.2</w:t>
            </w:r>
          </w:p>
        </w:tc>
        <w:tc>
          <w:tcPr>
            <w:tcW w:w="1165" w:type="dxa"/>
            <w:tcBorders>
              <w:top w:val="nil"/>
              <w:left w:val="nil"/>
              <w:bottom w:val="nil"/>
              <w:right w:val="nil"/>
            </w:tcBorders>
          </w:tcPr>
          <w:p>
            <w:pPr>
              <w:pStyle w:val="TableParagraph"/>
              <w:ind w:right="62"/>
              <w:rPr>
                <w:sz w:val="24"/>
              </w:rPr>
            </w:pPr>
            <w:r>
              <w:rPr>
                <w:w w:val="95"/>
                <w:sz w:val="24"/>
              </w:rPr>
              <w:t>210.0</w:t>
            </w:r>
          </w:p>
        </w:tc>
      </w:tr>
      <w:tr>
        <w:trPr>
          <w:trHeight w:val="413" w:hRule="exact"/>
        </w:trPr>
        <w:tc>
          <w:tcPr>
            <w:tcW w:w="2020" w:type="dxa"/>
            <w:tcBorders>
              <w:top w:val="nil"/>
              <w:left w:val="nil"/>
              <w:bottom w:val="nil"/>
              <w:right w:val="nil"/>
            </w:tcBorders>
          </w:tcPr>
          <w:p>
            <w:pPr>
              <w:pStyle w:val="TableParagraph"/>
              <w:spacing w:before="56"/>
              <w:ind w:left="86"/>
              <w:jc w:val="left"/>
              <w:rPr>
                <w:sz w:val="24"/>
              </w:rPr>
            </w:pPr>
            <w:r>
              <w:rPr>
                <w:sz w:val="24"/>
              </w:rPr>
              <w:t>Sales minerales</w:t>
            </w:r>
          </w:p>
        </w:tc>
        <w:tc>
          <w:tcPr>
            <w:tcW w:w="1627" w:type="dxa"/>
            <w:tcBorders>
              <w:top w:val="nil"/>
              <w:left w:val="nil"/>
              <w:bottom w:val="nil"/>
              <w:right w:val="nil"/>
            </w:tcBorders>
          </w:tcPr>
          <w:p>
            <w:pPr>
              <w:pStyle w:val="TableParagraph"/>
              <w:spacing w:before="56"/>
              <w:ind w:right="91"/>
              <w:rPr>
                <w:sz w:val="24"/>
              </w:rPr>
            </w:pPr>
            <w:r>
              <w:rPr>
                <w:w w:val="95"/>
                <w:sz w:val="24"/>
              </w:rPr>
              <w:t>Sal-Tec</w:t>
            </w:r>
          </w:p>
        </w:tc>
        <w:tc>
          <w:tcPr>
            <w:tcW w:w="1624" w:type="dxa"/>
            <w:tcBorders>
              <w:top w:val="nil"/>
              <w:left w:val="nil"/>
              <w:bottom w:val="nil"/>
              <w:right w:val="nil"/>
            </w:tcBorders>
          </w:tcPr>
          <w:p>
            <w:pPr>
              <w:pStyle w:val="TableParagraph"/>
              <w:spacing w:before="56"/>
              <w:ind w:right="85"/>
              <w:rPr>
                <w:sz w:val="24"/>
              </w:rPr>
            </w:pPr>
            <w:r>
              <w:rPr>
                <w:sz w:val="24"/>
              </w:rPr>
              <w:t>23.8</w:t>
            </w:r>
          </w:p>
        </w:tc>
        <w:tc>
          <w:tcPr>
            <w:tcW w:w="1494" w:type="dxa"/>
            <w:tcBorders>
              <w:top w:val="nil"/>
              <w:left w:val="nil"/>
              <w:bottom w:val="nil"/>
              <w:right w:val="nil"/>
            </w:tcBorders>
          </w:tcPr>
          <w:p>
            <w:pPr>
              <w:pStyle w:val="TableParagraph"/>
              <w:spacing w:before="56"/>
              <w:ind w:right="95"/>
              <w:rPr>
                <w:sz w:val="24"/>
              </w:rPr>
            </w:pPr>
            <w:r>
              <w:rPr>
                <w:sz w:val="24"/>
              </w:rPr>
              <w:t>8.5</w:t>
            </w:r>
          </w:p>
        </w:tc>
        <w:tc>
          <w:tcPr>
            <w:tcW w:w="1352" w:type="dxa"/>
            <w:tcBorders>
              <w:top w:val="nil"/>
              <w:left w:val="nil"/>
              <w:bottom w:val="nil"/>
              <w:right w:val="nil"/>
            </w:tcBorders>
          </w:tcPr>
          <w:p>
            <w:pPr>
              <w:pStyle w:val="TableParagraph"/>
              <w:spacing w:before="56"/>
              <w:ind w:right="150"/>
              <w:rPr>
                <w:sz w:val="24"/>
              </w:rPr>
            </w:pPr>
            <w:r>
              <w:rPr>
                <w:sz w:val="24"/>
              </w:rPr>
              <w:t>0.2</w:t>
            </w:r>
          </w:p>
        </w:tc>
        <w:tc>
          <w:tcPr>
            <w:tcW w:w="1165" w:type="dxa"/>
            <w:tcBorders>
              <w:top w:val="nil"/>
              <w:left w:val="nil"/>
              <w:bottom w:val="nil"/>
              <w:right w:val="nil"/>
            </w:tcBorders>
          </w:tcPr>
          <w:p>
            <w:pPr>
              <w:pStyle w:val="TableParagraph"/>
              <w:spacing w:before="56"/>
              <w:ind w:right="62"/>
              <w:rPr>
                <w:sz w:val="24"/>
              </w:rPr>
            </w:pPr>
            <w:r>
              <w:rPr>
                <w:w w:val="95"/>
                <w:sz w:val="24"/>
              </w:rPr>
              <w:t>201.1</w:t>
            </w:r>
          </w:p>
        </w:tc>
      </w:tr>
      <w:tr>
        <w:trPr>
          <w:trHeight w:val="482" w:hRule="exact"/>
        </w:trPr>
        <w:tc>
          <w:tcPr>
            <w:tcW w:w="2020" w:type="dxa"/>
            <w:tcBorders>
              <w:top w:val="nil"/>
              <w:left w:val="nil"/>
              <w:right w:val="nil"/>
            </w:tcBorders>
          </w:tcPr>
          <w:p>
            <w:pPr>
              <w:pStyle w:val="TableParagraph"/>
              <w:ind w:left="86"/>
              <w:jc w:val="left"/>
              <w:rPr>
                <w:sz w:val="24"/>
              </w:rPr>
            </w:pPr>
            <w:r>
              <w:rPr>
                <w:sz w:val="24"/>
              </w:rPr>
              <w:t>Total</w:t>
            </w:r>
          </w:p>
        </w:tc>
        <w:tc>
          <w:tcPr>
            <w:tcW w:w="1627" w:type="dxa"/>
            <w:tcBorders>
              <w:top w:val="nil"/>
              <w:left w:val="nil"/>
              <w:right w:val="nil"/>
            </w:tcBorders>
          </w:tcPr>
          <w:p>
            <w:pPr/>
          </w:p>
        </w:tc>
        <w:tc>
          <w:tcPr>
            <w:tcW w:w="1624" w:type="dxa"/>
            <w:tcBorders>
              <w:top w:val="nil"/>
              <w:left w:val="nil"/>
              <w:right w:val="nil"/>
            </w:tcBorders>
          </w:tcPr>
          <w:p>
            <w:pPr>
              <w:pStyle w:val="TableParagraph"/>
              <w:ind w:right="85"/>
              <w:rPr>
                <w:sz w:val="24"/>
              </w:rPr>
            </w:pPr>
            <w:r>
              <w:rPr>
                <w:sz w:val="24"/>
              </w:rPr>
              <w:t>1000.0</w:t>
            </w:r>
          </w:p>
        </w:tc>
        <w:tc>
          <w:tcPr>
            <w:tcW w:w="1494" w:type="dxa"/>
            <w:tcBorders>
              <w:top w:val="nil"/>
              <w:left w:val="nil"/>
              <w:right w:val="nil"/>
            </w:tcBorders>
          </w:tcPr>
          <w:p>
            <w:pPr>
              <w:pStyle w:val="TableParagraph"/>
              <w:ind w:right="95"/>
              <w:rPr>
                <w:sz w:val="24"/>
              </w:rPr>
            </w:pPr>
            <w:r>
              <w:rPr>
                <w:sz w:val="24"/>
              </w:rPr>
              <w:t>33.5</w:t>
            </w:r>
          </w:p>
        </w:tc>
        <w:tc>
          <w:tcPr>
            <w:tcW w:w="1352" w:type="dxa"/>
            <w:tcBorders>
              <w:top w:val="nil"/>
              <w:left w:val="nil"/>
              <w:right w:val="nil"/>
            </w:tcBorders>
          </w:tcPr>
          <w:p>
            <w:pPr>
              <w:pStyle w:val="TableParagraph"/>
              <w:ind w:right="150"/>
              <w:rPr>
                <w:sz w:val="24"/>
              </w:rPr>
            </w:pPr>
            <w:r>
              <w:rPr>
                <w:sz w:val="24"/>
              </w:rPr>
              <w:t>3.6</w:t>
            </w:r>
          </w:p>
        </w:tc>
        <w:tc>
          <w:tcPr>
            <w:tcW w:w="1165" w:type="dxa"/>
            <w:tcBorders>
              <w:top w:val="nil"/>
              <w:left w:val="nil"/>
              <w:right w:val="nil"/>
            </w:tcBorders>
          </w:tcPr>
          <w:p>
            <w:pPr>
              <w:pStyle w:val="TableParagraph"/>
              <w:ind w:right="62"/>
              <w:rPr>
                <w:sz w:val="24"/>
              </w:rPr>
            </w:pPr>
            <w:r>
              <w:rPr>
                <w:sz w:val="24"/>
              </w:rPr>
              <w:t>3,641.5</w:t>
            </w:r>
          </w:p>
        </w:tc>
      </w:tr>
    </w:tbl>
    <w:p>
      <w:pPr>
        <w:spacing w:line="225" w:lineRule="exact" w:before="0"/>
        <w:ind w:left="199" w:right="15" w:firstLine="0"/>
        <w:jc w:val="left"/>
        <w:rPr>
          <w:sz w:val="20"/>
        </w:rPr>
      </w:pPr>
      <w:r>
        <w:rPr>
          <w:sz w:val="20"/>
        </w:rPr>
        <w:t>Estimaciones propias con información de campo. Diciembre de 2015.</w:t>
      </w:r>
    </w:p>
    <w:p>
      <w:pPr>
        <w:pStyle w:val="BodyText"/>
        <w:rPr>
          <w:sz w:val="20"/>
        </w:rPr>
      </w:pPr>
    </w:p>
    <w:p>
      <w:pPr>
        <w:pStyle w:val="BodyText"/>
        <w:spacing w:before="8"/>
        <w:rPr>
          <w:sz w:val="10"/>
        </w:rPr>
      </w:pPr>
      <w:r>
        <w:rPr/>
        <w:drawing>
          <wp:anchor distT="0" distB="0" distL="0" distR="0" allowOverlap="1" layoutInCell="1" locked="0" behindDoc="0" simplePos="0" relativeHeight="1360">
            <wp:simplePos x="0" y="0"/>
            <wp:positionH relativeFrom="page">
              <wp:posOffset>1078991</wp:posOffset>
            </wp:positionH>
            <wp:positionV relativeFrom="paragraph">
              <wp:posOffset>103147</wp:posOffset>
            </wp:positionV>
            <wp:extent cx="5462556" cy="3309365"/>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5" cstate="print"/>
                    <a:stretch>
                      <a:fillRect/>
                    </a:stretch>
                  </pic:blipFill>
                  <pic:spPr>
                    <a:xfrm>
                      <a:off x="0" y="0"/>
                      <a:ext cx="5462556" cy="3309365"/>
                    </a:xfrm>
                    <a:prstGeom prst="rect">
                      <a:avLst/>
                    </a:prstGeom>
                  </pic:spPr>
                </pic:pic>
              </a:graphicData>
            </a:graphic>
          </wp:anchor>
        </w:drawing>
      </w:r>
    </w:p>
    <w:p>
      <w:pPr>
        <w:spacing w:before="47"/>
        <w:ind w:left="199" w:right="15" w:firstLine="0"/>
        <w:jc w:val="left"/>
        <w:rPr>
          <w:sz w:val="20"/>
        </w:rPr>
      </w:pPr>
      <w:r>
        <w:rPr>
          <w:sz w:val="20"/>
        </w:rPr>
        <w:t>Figura 7. Dieta típica para una engorda en el sur del Estado de México. Imagen propiedad de los autores.</w:t>
      </w:r>
    </w:p>
    <w:p>
      <w:pPr>
        <w:spacing w:after="0"/>
        <w:jc w:val="left"/>
        <w:rPr>
          <w:sz w:val="20"/>
        </w:rPr>
        <w:sectPr>
          <w:pgSz w:w="12240" w:h="15840"/>
          <w:pgMar w:header="0" w:footer="1180" w:top="1360" w:bottom="1380" w:left="1500" w:right="1240"/>
        </w:sectPr>
      </w:pPr>
    </w:p>
    <w:p>
      <w:pPr>
        <w:pStyle w:val="Heading1"/>
      </w:pPr>
      <w:r>
        <w:rPr/>
        <w:t>Instalaciones</w:t>
      </w:r>
    </w:p>
    <w:p>
      <w:pPr>
        <w:pStyle w:val="BodyText"/>
        <w:rPr>
          <w:b/>
          <w:sz w:val="28"/>
        </w:rPr>
      </w:pPr>
    </w:p>
    <w:p>
      <w:pPr>
        <w:pStyle w:val="BodyText"/>
        <w:spacing w:before="10"/>
        <w:rPr>
          <w:b/>
          <w:sz w:val="32"/>
        </w:rPr>
      </w:pPr>
    </w:p>
    <w:p>
      <w:pPr>
        <w:spacing w:before="0"/>
        <w:ind w:left="119" w:right="0" w:firstLine="0"/>
        <w:jc w:val="both"/>
        <w:rPr>
          <w:i/>
          <w:sz w:val="24"/>
        </w:rPr>
      </w:pPr>
      <w:r>
        <w:rPr>
          <w:i/>
          <w:sz w:val="24"/>
        </w:rPr>
        <w:t>Corral de engorda</w:t>
      </w:r>
    </w:p>
    <w:p>
      <w:pPr>
        <w:pStyle w:val="BodyText"/>
        <w:rPr>
          <w:i/>
        </w:rPr>
      </w:pPr>
    </w:p>
    <w:p>
      <w:pPr>
        <w:pStyle w:val="BodyText"/>
        <w:spacing w:before="9"/>
        <w:rPr>
          <w:i/>
          <w:sz w:val="23"/>
        </w:rPr>
      </w:pPr>
    </w:p>
    <w:p>
      <w:pPr>
        <w:pStyle w:val="BodyText"/>
        <w:spacing w:line="360" w:lineRule="auto" w:after="5"/>
        <w:ind w:left="119" w:right="98"/>
        <w:jc w:val="both"/>
      </w:pPr>
      <w:r>
        <w:rPr/>
        <w:t>Para este nivel tecnológico, al cual se elaboró el proyecto, se consideró que la mayoría de las engordas en corral en el sur del Estado de México, se construyen con material rústico; es decir, la superficie de terreno se habilita y se circunda con postes de madera, a una distancia de dos metros cada uno, alambre de púas, un portón o puerta de acceso también de alambre de púas y postes de madera, con una pileta (provista de agua) al centro u orilla del terreno, más un embarcadero rústico para subir los animales finalizados al transporte-rastro. Se estimó un gasto por este rubro (Figura 4) (visto como inversión fija), aproximado de $3,000.0.</w:t>
      </w:r>
    </w:p>
    <w:p>
      <w:pPr>
        <w:pStyle w:val="BodyText"/>
        <w:ind w:left="119"/>
        <w:rPr>
          <w:sz w:val="20"/>
        </w:rPr>
      </w:pPr>
      <w:r>
        <w:rPr>
          <w:sz w:val="20"/>
        </w:rPr>
        <w:drawing>
          <wp:inline distT="0" distB="0" distL="0" distR="0">
            <wp:extent cx="5526582" cy="3528441"/>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6" cstate="print"/>
                    <a:stretch>
                      <a:fillRect/>
                    </a:stretch>
                  </pic:blipFill>
                  <pic:spPr>
                    <a:xfrm>
                      <a:off x="0" y="0"/>
                      <a:ext cx="5526582" cy="3528441"/>
                    </a:xfrm>
                    <a:prstGeom prst="rect">
                      <a:avLst/>
                    </a:prstGeom>
                  </pic:spPr>
                </pic:pic>
              </a:graphicData>
            </a:graphic>
          </wp:inline>
        </w:drawing>
      </w:r>
      <w:r>
        <w:rPr>
          <w:sz w:val="20"/>
        </w:rPr>
      </w:r>
    </w:p>
    <w:p>
      <w:pPr>
        <w:spacing w:line="360" w:lineRule="auto" w:before="191"/>
        <w:ind w:left="119" w:right="98" w:firstLine="0"/>
        <w:jc w:val="both"/>
        <w:rPr>
          <w:sz w:val="20"/>
        </w:rPr>
      </w:pPr>
      <w:r>
        <w:rPr>
          <w:sz w:val="20"/>
        </w:rPr>
        <w:t>Figura 8. Corral típico de una engorda en confinamiento. Sur del Estado de México. Imagen propiedad de los autores.</w:t>
      </w:r>
    </w:p>
    <w:p>
      <w:pPr>
        <w:spacing w:after="0" w:line="360" w:lineRule="auto"/>
        <w:jc w:val="both"/>
        <w:rPr>
          <w:sz w:val="20"/>
        </w:rPr>
        <w:sectPr>
          <w:pgSz w:w="12240" w:h="15840"/>
          <w:pgMar w:header="0" w:footer="1180" w:top="1360" w:bottom="1380" w:left="1580" w:right="1320"/>
        </w:sectPr>
      </w:pPr>
    </w:p>
    <w:p>
      <w:pPr>
        <w:pStyle w:val="BodyText"/>
        <w:ind w:left="119"/>
        <w:rPr>
          <w:sz w:val="20"/>
        </w:rPr>
      </w:pPr>
      <w:r>
        <w:rPr>
          <w:sz w:val="20"/>
        </w:rPr>
        <w:drawing>
          <wp:inline distT="0" distB="0" distL="0" distR="0">
            <wp:extent cx="5616274" cy="3809619"/>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8" cstate="print"/>
                    <a:stretch>
                      <a:fillRect/>
                    </a:stretch>
                  </pic:blipFill>
                  <pic:spPr>
                    <a:xfrm>
                      <a:off x="0" y="0"/>
                      <a:ext cx="5616274" cy="3809619"/>
                    </a:xfrm>
                    <a:prstGeom prst="rect">
                      <a:avLst/>
                    </a:prstGeom>
                  </pic:spPr>
                </pic:pic>
              </a:graphicData>
            </a:graphic>
          </wp:inline>
        </w:drawing>
      </w:r>
      <w:r>
        <w:rPr>
          <w:sz w:val="20"/>
        </w:rPr>
      </w:r>
    </w:p>
    <w:p>
      <w:pPr>
        <w:pStyle w:val="BodyText"/>
        <w:spacing w:before="6"/>
        <w:rPr>
          <w:sz w:val="6"/>
        </w:rPr>
      </w:pPr>
    </w:p>
    <w:p>
      <w:pPr>
        <w:spacing w:line="266" w:lineRule="auto" w:before="76"/>
        <w:ind w:left="119" w:right="113" w:firstLine="0"/>
        <w:jc w:val="both"/>
        <w:rPr>
          <w:sz w:val="20"/>
        </w:rPr>
      </w:pPr>
      <w:r>
        <w:rPr>
          <w:sz w:val="20"/>
        </w:rPr>
        <w:t>Figura 9. Comederos rústicos en un sistema de engorda en corral. Sur del Edo. Méx. Imagen propiedad de los autores.</w:t>
      </w:r>
    </w:p>
    <w:p>
      <w:pPr>
        <w:pStyle w:val="Heading2"/>
        <w:spacing w:before="145"/>
      </w:pPr>
      <w:bookmarkStart w:name="_bookmark35" w:id="47"/>
      <w:bookmarkEnd w:id="47"/>
      <w:r>
        <w:rPr>
          <w:b w:val="0"/>
        </w:rPr>
      </w:r>
      <w:r>
        <w:rPr/>
        <w:t>Estudio administrativo</w:t>
      </w:r>
    </w:p>
    <w:p>
      <w:pPr>
        <w:pStyle w:val="BodyText"/>
        <w:spacing w:before="4"/>
        <w:rPr>
          <w:b/>
          <w:sz w:val="37"/>
        </w:rPr>
      </w:pPr>
    </w:p>
    <w:p>
      <w:pPr>
        <w:pStyle w:val="BodyText"/>
        <w:spacing w:line="360" w:lineRule="auto"/>
        <w:ind w:left="119" w:right="111"/>
        <w:jc w:val="both"/>
      </w:pPr>
      <w:r>
        <w:rPr>
          <w:color w:val="212121"/>
        </w:rPr>
        <w:t>La engorda, nace por inquietud del Sr. “N. N. N”.oriundo de Almoloya de las Granadas, Tejupilco, Estado de México, quien tuvo la tarea de investigar el potencial de la actividad, al darse cuenta de que en ella existe una gran oportunidad de desarrollo a corto, mediano y largo plazo, debido ala disponibilidad de terreno, conocimiento y experiencia en la producción y venta de ganado bovino, también por las condiciones climatológicas con las que cuenta la  comunidad-pueblo  de referencia.</w:t>
      </w:r>
    </w:p>
    <w:p>
      <w:pPr>
        <w:pStyle w:val="BodyText"/>
      </w:pPr>
    </w:p>
    <w:p>
      <w:pPr>
        <w:pStyle w:val="BodyText"/>
        <w:spacing w:line="360" w:lineRule="auto" w:before="144"/>
        <w:ind w:left="119" w:right="117"/>
        <w:jc w:val="both"/>
      </w:pPr>
      <w:r>
        <w:rPr>
          <w:color w:val="212121"/>
        </w:rPr>
        <w:t>Por ello, es que se trabaja en tecnificación y expansión del área de producción con la intención de llegar a tener una alta productividad y rentabilidad en el procesamiento de ganado de carne, con las exigencias que podría exigir un nivel </w:t>
      </w:r>
      <w:r>
        <w:rPr>
          <w:color w:val="212121"/>
          <w:spacing w:val="-3"/>
        </w:rPr>
        <w:t>más </w:t>
      </w:r>
      <w:r>
        <w:rPr>
          <w:color w:val="212121"/>
        </w:rPr>
        <w:t>alto que  podría requerir el lugar de sacrificio de ganado engordado en este sistema de producción, que podría ser un rastro</w:t>
      </w:r>
      <w:r>
        <w:rPr>
          <w:color w:val="212121"/>
          <w:spacing w:val="-11"/>
        </w:rPr>
        <w:t> </w:t>
      </w:r>
      <w:r>
        <w:rPr>
          <w:color w:val="212121"/>
        </w:rPr>
        <w:t>TIF.</w:t>
      </w:r>
    </w:p>
    <w:p>
      <w:pPr>
        <w:spacing w:after="0" w:line="360" w:lineRule="auto"/>
        <w:jc w:val="both"/>
        <w:sectPr>
          <w:footerReference w:type="default" r:id="rId27"/>
          <w:pgSz w:w="12240" w:h="15840"/>
          <w:pgMar w:footer="1180" w:header="0" w:top="1420" w:bottom="1380" w:left="1580" w:right="1300"/>
        </w:sectPr>
      </w:pPr>
    </w:p>
    <w:p>
      <w:pPr>
        <w:pStyle w:val="BodyText"/>
        <w:spacing w:before="4"/>
        <w:rPr>
          <w:rFonts w:ascii="Times New Roman"/>
          <w:sz w:val="17"/>
        </w:rPr>
      </w:pPr>
    </w:p>
    <w:p>
      <w:pPr>
        <w:spacing w:after="0"/>
        <w:rPr>
          <w:rFonts w:ascii="Times New Roman"/>
          <w:sz w:val="17"/>
        </w:rPr>
        <w:sectPr>
          <w:footerReference w:type="default" r:id="rId29"/>
          <w:pgSz w:w="12240" w:h="15840"/>
          <w:pgMar w:footer="1120" w:header="0" w:top="1500" w:bottom="1320" w:left="1720" w:right="1720"/>
          <w:pgNumType w:start="71"/>
        </w:sectPr>
      </w:pPr>
    </w:p>
    <w:p>
      <w:pPr>
        <w:pStyle w:val="Heading3"/>
        <w:spacing w:before="47"/>
      </w:pPr>
      <w:r>
        <w:rPr/>
        <w:t>Organigrama y áreas funcionales del negocio</w:t>
      </w:r>
    </w:p>
    <w:p>
      <w:pPr>
        <w:pStyle w:val="BodyText"/>
        <w:rPr>
          <w:b/>
        </w:rPr>
      </w:pPr>
    </w:p>
    <w:p>
      <w:pPr>
        <w:pStyle w:val="BodyText"/>
        <w:spacing w:before="5"/>
        <w:rPr>
          <w:b/>
          <w:sz w:val="28"/>
        </w:rPr>
      </w:pPr>
    </w:p>
    <w:p>
      <w:pPr>
        <w:spacing w:before="0"/>
        <w:ind w:left="119" w:right="0" w:firstLine="0"/>
        <w:jc w:val="both"/>
        <w:rPr>
          <w:i/>
          <w:sz w:val="24"/>
        </w:rPr>
      </w:pPr>
      <w:r>
        <w:rPr>
          <w:i/>
          <w:color w:val="212121"/>
          <w:sz w:val="24"/>
        </w:rPr>
        <w:t>Análisis de puestos</w:t>
      </w:r>
    </w:p>
    <w:p>
      <w:pPr>
        <w:pStyle w:val="BodyText"/>
        <w:rPr>
          <w:i/>
        </w:rPr>
      </w:pPr>
    </w:p>
    <w:p>
      <w:pPr>
        <w:pStyle w:val="BodyText"/>
        <w:spacing w:before="2"/>
        <w:rPr>
          <w:i/>
        </w:rPr>
      </w:pPr>
    </w:p>
    <w:p>
      <w:pPr>
        <w:pStyle w:val="BodyText"/>
        <w:spacing w:line="360" w:lineRule="auto"/>
        <w:ind w:left="119" w:right="113"/>
        <w:jc w:val="both"/>
      </w:pPr>
      <w:r>
        <w:rPr>
          <w:color w:val="212121"/>
        </w:rPr>
        <w:t>El análisis de puestos permite conocer y comprender mejor los deberes del puesto, se utiliza como una guía para el autodesarrollo del personal (Reyes, 2004), se puede decir que el análisis de puestos, es el procedimiento de recolección, evaluación y organización sobre un puesto de trabajo determinado, de tal manera que permita tener al personal adecuado al puesto</w:t>
      </w:r>
      <w:r>
        <w:rPr>
          <w:color w:val="212121"/>
          <w:spacing w:val="-23"/>
        </w:rPr>
        <w:t> </w:t>
      </w:r>
      <w:r>
        <w:rPr>
          <w:color w:val="212121"/>
        </w:rPr>
        <w:t>adecuado.</w:t>
      </w:r>
    </w:p>
    <w:p>
      <w:pPr>
        <w:pStyle w:val="BodyText"/>
        <w:spacing w:before="8"/>
        <w:rPr>
          <w:sz w:val="35"/>
        </w:rPr>
      </w:pPr>
    </w:p>
    <w:p>
      <w:pPr>
        <w:pStyle w:val="BodyText"/>
        <w:spacing w:line="360" w:lineRule="auto"/>
        <w:ind w:left="119" w:right="111"/>
        <w:jc w:val="both"/>
      </w:pPr>
      <w:r>
        <w:rPr/>
        <w:t>Los puestos que se proponen para el proyecto de engorda en corral,se diseñaron  con la finalidad de ejecutar actividades derivadas de objetivos del negocio; por tal motivo, se busca que el recurso humano cuente con un conjunto de habilidades, conocimientos, aptitudes, actitudes y experiencia, para que puedan desempeñarse  en una de las áreas del</w:t>
      </w:r>
      <w:r>
        <w:rPr>
          <w:spacing w:val="-12"/>
        </w:rPr>
        <w:t> </w:t>
      </w:r>
      <w:r>
        <w:rPr/>
        <w:t>negocio.</w:t>
      </w:r>
    </w:p>
    <w:p>
      <w:pPr>
        <w:pStyle w:val="BodyText"/>
      </w:pPr>
    </w:p>
    <w:p>
      <w:pPr>
        <w:pStyle w:val="BodyText"/>
        <w:spacing w:line="360" w:lineRule="auto" w:before="140"/>
        <w:ind w:left="119" w:right="114"/>
        <w:jc w:val="both"/>
      </w:pPr>
      <w:r>
        <w:rPr/>
        <w:t>A continuación se describen cada uno de los puestos correspondientes a la  estructura</w:t>
      </w:r>
      <w:r>
        <w:rPr>
          <w:spacing w:val="-11"/>
        </w:rPr>
        <w:t> </w:t>
      </w:r>
      <w:r>
        <w:rPr/>
        <w:t>organizacional:</w:t>
      </w:r>
    </w:p>
    <w:p>
      <w:pPr>
        <w:pStyle w:val="BodyText"/>
      </w:pPr>
    </w:p>
    <w:p>
      <w:pPr>
        <w:pStyle w:val="BodyText"/>
        <w:spacing w:line="362" w:lineRule="auto" w:before="140"/>
        <w:ind w:left="119" w:right="112"/>
        <w:jc w:val="both"/>
      </w:pPr>
      <w:r>
        <w:rPr>
          <w:i/>
        </w:rPr>
        <w:t>Gerente</w:t>
      </w:r>
      <w:r>
        <w:rPr>
          <w:b/>
          <w:color w:val="212121"/>
        </w:rPr>
        <w:t>: </w:t>
      </w:r>
      <w:r>
        <w:rPr>
          <w:color w:val="212121"/>
        </w:rPr>
        <w:t>(propietario del negocio). Conocimiento en manejo del ganado, producción, alimentación, cuidados, y venta de animales; responsable de contactar proveedores para compra de animales, alimento, herramienta y equipo necesario para el proceso y venta del producto, </w:t>
      </w:r>
      <w:r>
        <w:rPr>
          <w:color w:val="212121"/>
          <w:spacing w:val="-2"/>
        </w:rPr>
        <w:t>además </w:t>
      </w:r>
      <w:r>
        <w:rPr>
          <w:color w:val="212121"/>
        </w:rPr>
        <w:t>de la supervisión diaria de su crecimiento y</w:t>
      </w:r>
      <w:r>
        <w:rPr>
          <w:color w:val="212121"/>
          <w:spacing w:val="-18"/>
        </w:rPr>
        <w:t> </w:t>
      </w:r>
      <w:r>
        <w:rPr>
          <w:color w:val="212121"/>
        </w:rPr>
        <w:t>desarrollo.</w:t>
      </w:r>
    </w:p>
    <w:p>
      <w:pPr>
        <w:pStyle w:val="BodyText"/>
        <w:spacing w:before="11"/>
        <w:rPr>
          <w:sz w:val="35"/>
        </w:rPr>
      </w:pPr>
    </w:p>
    <w:p>
      <w:pPr>
        <w:pStyle w:val="BodyText"/>
        <w:spacing w:line="360" w:lineRule="auto"/>
        <w:ind w:left="119" w:right="120"/>
        <w:jc w:val="both"/>
      </w:pPr>
      <w:r>
        <w:rPr>
          <w:color w:val="212121"/>
        </w:rPr>
        <w:t>Propósito del puesto: garantizar el funcionamiento de las operaciones y manejo de  los recursos del negocio-pecuario, a través de la planeación, organización, dirección y</w:t>
      </w:r>
      <w:r>
        <w:rPr>
          <w:color w:val="212121"/>
          <w:spacing w:val="1"/>
        </w:rPr>
        <w:t> </w:t>
      </w:r>
      <w:r>
        <w:rPr>
          <w:color w:val="212121"/>
        </w:rPr>
        <w:t>control.</w:t>
      </w:r>
    </w:p>
    <w:p>
      <w:pPr>
        <w:pStyle w:val="BodyText"/>
      </w:pPr>
    </w:p>
    <w:p>
      <w:pPr>
        <w:pStyle w:val="BodyText"/>
        <w:spacing w:before="140"/>
        <w:ind w:left="119"/>
        <w:jc w:val="both"/>
      </w:pPr>
      <w:r>
        <w:rPr>
          <w:color w:val="212121"/>
        </w:rPr>
        <w:t>Perfil del puesto:</w:t>
      </w:r>
    </w:p>
    <w:p>
      <w:pPr>
        <w:pStyle w:val="BodyText"/>
      </w:pPr>
    </w:p>
    <w:p>
      <w:pPr>
        <w:pStyle w:val="BodyText"/>
        <w:spacing w:before="2"/>
      </w:pPr>
    </w:p>
    <w:p>
      <w:pPr>
        <w:pStyle w:val="BodyText"/>
        <w:ind w:left="119"/>
        <w:jc w:val="both"/>
      </w:pPr>
      <w:r>
        <w:rPr>
          <w:color w:val="212121"/>
        </w:rPr>
        <w:t>Nombre del puesto: Gerencia General</w:t>
      </w:r>
    </w:p>
    <w:p>
      <w:pPr>
        <w:spacing w:after="0"/>
        <w:jc w:val="both"/>
        <w:sectPr>
          <w:pgSz w:w="12240" w:h="15840"/>
          <w:pgMar w:header="0" w:footer="1120" w:top="1360" w:bottom="1320" w:left="1580" w:right="1300"/>
        </w:sectPr>
      </w:pPr>
    </w:p>
    <w:p>
      <w:pPr>
        <w:pStyle w:val="BodyText"/>
        <w:spacing w:before="52"/>
        <w:ind w:left="119" w:right="182"/>
      </w:pPr>
      <w:r>
        <w:rPr>
          <w:color w:val="212121"/>
        </w:rPr>
        <w:t>Sexo: Masculino</w:t>
      </w:r>
    </w:p>
    <w:p>
      <w:pPr>
        <w:pStyle w:val="BodyText"/>
        <w:spacing w:line="360" w:lineRule="auto" w:before="141"/>
        <w:ind w:left="119" w:right="6259"/>
      </w:pPr>
      <w:r>
        <w:rPr>
          <w:color w:val="212121"/>
        </w:rPr>
        <w:t>Estado civil: Casado/soltero Edad: de 25 – 65 años</w:t>
      </w:r>
    </w:p>
    <w:p>
      <w:pPr>
        <w:pStyle w:val="BodyText"/>
        <w:spacing w:line="360" w:lineRule="auto" w:before="3"/>
        <w:ind w:left="119" w:right="182"/>
      </w:pPr>
      <w:r>
        <w:rPr>
          <w:color w:val="212121"/>
        </w:rPr>
        <w:t>Escolaridad: Mínimo, secundaria terminada, aunque no necesaria, pero sí que sepa leer y escribir.</w:t>
      </w:r>
    </w:p>
    <w:p>
      <w:pPr>
        <w:pStyle w:val="BodyText"/>
        <w:spacing w:line="360" w:lineRule="auto" w:before="7"/>
        <w:ind w:left="119" w:right="3016"/>
      </w:pPr>
      <w:r>
        <w:rPr>
          <w:color w:val="212121"/>
        </w:rPr>
        <w:t>Experiencia: Mínimo un año en manejo de ganado bovino. Nacionalidad: Mexicana.</w:t>
      </w:r>
    </w:p>
    <w:p>
      <w:pPr>
        <w:pStyle w:val="BodyText"/>
      </w:pPr>
    </w:p>
    <w:p>
      <w:pPr>
        <w:pStyle w:val="BodyText"/>
        <w:spacing w:before="140"/>
        <w:ind w:left="119" w:right="182"/>
      </w:pPr>
      <w:r>
        <w:rPr>
          <w:color w:val="212121"/>
        </w:rPr>
        <w:t>Habilidades:</w:t>
      </w:r>
    </w:p>
    <w:p>
      <w:pPr>
        <w:pStyle w:val="ListParagraph"/>
        <w:numPr>
          <w:ilvl w:val="0"/>
          <w:numId w:val="6"/>
        </w:numPr>
        <w:tabs>
          <w:tab w:pos="480" w:val="left" w:leader="none"/>
          <w:tab w:pos="481" w:val="left" w:leader="none"/>
        </w:tabs>
        <w:spacing w:line="240" w:lineRule="auto" w:before="140" w:after="0"/>
        <w:ind w:left="480" w:right="0" w:hanging="361"/>
        <w:jc w:val="left"/>
        <w:rPr>
          <w:rFonts w:ascii="Symbol" w:hAnsi="Symbol"/>
          <w:color w:val="212121"/>
          <w:sz w:val="24"/>
        </w:rPr>
      </w:pPr>
      <w:r>
        <w:rPr>
          <w:color w:val="212121"/>
          <w:sz w:val="24"/>
        </w:rPr>
        <w:t>Físicas:</w:t>
      </w:r>
    </w:p>
    <w:p>
      <w:pPr>
        <w:pStyle w:val="ListParagraph"/>
        <w:numPr>
          <w:ilvl w:val="1"/>
          <w:numId w:val="6"/>
        </w:numPr>
        <w:tabs>
          <w:tab w:pos="840" w:val="left" w:leader="none"/>
          <w:tab w:pos="841" w:val="left" w:leader="none"/>
        </w:tabs>
        <w:spacing w:line="240" w:lineRule="auto" w:before="133" w:after="0"/>
        <w:ind w:left="840" w:right="0" w:hanging="360"/>
        <w:jc w:val="left"/>
        <w:rPr>
          <w:sz w:val="24"/>
        </w:rPr>
      </w:pPr>
      <w:r>
        <w:rPr>
          <w:color w:val="212121"/>
          <w:sz w:val="24"/>
        </w:rPr>
        <w:t>Estado de salud</w:t>
      </w:r>
      <w:r>
        <w:rPr>
          <w:color w:val="212121"/>
          <w:spacing w:val="-4"/>
          <w:sz w:val="24"/>
        </w:rPr>
        <w:t> </w:t>
      </w:r>
      <w:r>
        <w:rPr>
          <w:color w:val="212121"/>
          <w:sz w:val="24"/>
        </w:rPr>
        <w:t>sano</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Saber conducir</w:t>
      </w:r>
      <w:r>
        <w:rPr>
          <w:color w:val="212121"/>
          <w:spacing w:val="-8"/>
          <w:sz w:val="24"/>
        </w:rPr>
        <w:t> </w:t>
      </w:r>
      <w:r>
        <w:rPr>
          <w:color w:val="212121"/>
          <w:sz w:val="24"/>
        </w:rPr>
        <w:t>vehículos.</w:t>
      </w:r>
    </w:p>
    <w:p>
      <w:pPr>
        <w:pStyle w:val="ListParagraph"/>
        <w:numPr>
          <w:ilvl w:val="0"/>
          <w:numId w:val="6"/>
        </w:numPr>
        <w:tabs>
          <w:tab w:pos="480" w:val="left" w:leader="none"/>
          <w:tab w:pos="481" w:val="left" w:leader="none"/>
        </w:tabs>
        <w:spacing w:line="240" w:lineRule="auto" w:before="133" w:after="0"/>
        <w:ind w:left="480" w:right="0" w:hanging="361"/>
        <w:jc w:val="left"/>
        <w:rPr>
          <w:rFonts w:ascii="Symbol"/>
          <w:color w:val="212121"/>
          <w:sz w:val="24"/>
        </w:rPr>
      </w:pPr>
      <w:r>
        <w:rPr>
          <w:color w:val="212121"/>
          <w:sz w:val="24"/>
        </w:rPr>
        <w:t>Mentales:</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Capaz de tomar</w:t>
      </w:r>
      <w:r>
        <w:rPr>
          <w:color w:val="212121"/>
          <w:spacing w:val="-7"/>
          <w:sz w:val="24"/>
        </w:rPr>
        <w:t> </w:t>
      </w:r>
      <w:r>
        <w:rPr>
          <w:color w:val="212121"/>
          <w:sz w:val="24"/>
        </w:rPr>
        <w:t>decisiones</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Capaz de trabajar bajo</w:t>
      </w:r>
      <w:r>
        <w:rPr>
          <w:color w:val="212121"/>
          <w:spacing w:val="-10"/>
          <w:sz w:val="24"/>
        </w:rPr>
        <w:t> </w:t>
      </w:r>
      <w:r>
        <w:rPr>
          <w:color w:val="212121"/>
          <w:sz w:val="24"/>
        </w:rPr>
        <w:t>estrés</w:t>
      </w:r>
    </w:p>
    <w:p>
      <w:pPr>
        <w:pStyle w:val="ListParagraph"/>
        <w:numPr>
          <w:ilvl w:val="1"/>
          <w:numId w:val="6"/>
        </w:numPr>
        <w:tabs>
          <w:tab w:pos="840" w:val="left" w:leader="none"/>
          <w:tab w:pos="841" w:val="left" w:leader="none"/>
        </w:tabs>
        <w:spacing w:line="240" w:lineRule="auto" w:before="133" w:after="0"/>
        <w:ind w:left="840" w:right="0" w:hanging="360"/>
        <w:jc w:val="left"/>
        <w:rPr>
          <w:sz w:val="24"/>
        </w:rPr>
      </w:pPr>
      <w:r>
        <w:rPr>
          <w:color w:val="212121"/>
          <w:sz w:val="24"/>
        </w:rPr>
        <w:t>Capaz de resolver problemas</w:t>
      </w:r>
      <w:r>
        <w:rPr>
          <w:color w:val="212121"/>
          <w:spacing w:val="-21"/>
          <w:sz w:val="24"/>
        </w:rPr>
        <w:t> </w:t>
      </w:r>
      <w:r>
        <w:rPr>
          <w:color w:val="212121"/>
          <w:sz w:val="24"/>
        </w:rPr>
        <w:t>complejos</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Capaz de</w:t>
      </w:r>
      <w:r>
        <w:rPr>
          <w:color w:val="212121"/>
          <w:spacing w:val="-6"/>
          <w:sz w:val="24"/>
        </w:rPr>
        <w:t> </w:t>
      </w:r>
      <w:r>
        <w:rPr>
          <w:color w:val="212121"/>
          <w:sz w:val="24"/>
        </w:rPr>
        <w:t>concentración</w:t>
      </w:r>
    </w:p>
    <w:p>
      <w:pPr>
        <w:pStyle w:val="ListParagraph"/>
        <w:numPr>
          <w:ilvl w:val="1"/>
          <w:numId w:val="6"/>
        </w:numPr>
        <w:tabs>
          <w:tab w:pos="840" w:val="left" w:leader="none"/>
          <w:tab w:pos="841" w:val="left" w:leader="none"/>
        </w:tabs>
        <w:spacing w:line="240" w:lineRule="auto" w:before="133" w:after="0"/>
        <w:ind w:left="840" w:right="0" w:hanging="360"/>
        <w:jc w:val="left"/>
        <w:rPr>
          <w:sz w:val="24"/>
        </w:rPr>
      </w:pPr>
      <w:r>
        <w:rPr>
          <w:color w:val="212121"/>
          <w:sz w:val="24"/>
        </w:rPr>
        <w:t>Capaz de generar estrategias para el logro de los objetivos del</w:t>
      </w:r>
      <w:r>
        <w:rPr>
          <w:color w:val="212121"/>
          <w:spacing w:val="-28"/>
          <w:sz w:val="24"/>
        </w:rPr>
        <w:t> </w:t>
      </w:r>
      <w:r>
        <w:rPr>
          <w:color w:val="212121"/>
          <w:sz w:val="24"/>
        </w:rPr>
        <w:t>negocio.</w:t>
      </w:r>
    </w:p>
    <w:p>
      <w:pPr>
        <w:pStyle w:val="Heading3"/>
        <w:spacing w:before="135"/>
        <w:ind w:right="182"/>
        <w:jc w:val="left"/>
      </w:pPr>
      <w:r>
        <w:rPr>
          <w:color w:val="212121"/>
        </w:rPr>
        <w:t>Actitudes</w:t>
      </w:r>
    </w:p>
    <w:p>
      <w:pPr>
        <w:pStyle w:val="ListParagraph"/>
        <w:numPr>
          <w:ilvl w:val="0"/>
          <w:numId w:val="11"/>
        </w:numPr>
        <w:tabs>
          <w:tab w:pos="840" w:val="left" w:leader="none"/>
          <w:tab w:pos="841" w:val="left" w:leader="none"/>
        </w:tabs>
        <w:spacing w:line="240" w:lineRule="auto" w:before="140" w:after="0"/>
        <w:ind w:left="840" w:right="0" w:hanging="360"/>
        <w:jc w:val="left"/>
        <w:rPr>
          <w:sz w:val="24"/>
        </w:rPr>
      </w:pPr>
      <w:r>
        <w:rPr>
          <w:color w:val="212121"/>
          <w:sz w:val="24"/>
        </w:rPr>
        <w:t>Líder</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Estratégico</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Emprendedor</w:t>
      </w:r>
    </w:p>
    <w:p>
      <w:pPr>
        <w:pStyle w:val="ListParagraph"/>
        <w:numPr>
          <w:ilvl w:val="0"/>
          <w:numId w:val="11"/>
        </w:numPr>
        <w:tabs>
          <w:tab w:pos="840" w:val="left" w:leader="none"/>
          <w:tab w:pos="841" w:val="left" w:leader="none"/>
        </w:tabs>
        <w:spacing w:line="240" w:lineRule="auto" w:before="133" w:after="0"/>
        <w:ind w:left="840" w:right="0" w:hanging="360"/>
        <w:jc w:val="left"/>
        <w:rPr>
          <w:sz w:val="24"/>
        </w:rPr>
      </w:pPr>
      <w:r>
        <w:rPr>
          <w:color w:val="212121"/>
          <w:sz w:val="24"/>
        </w:rPr>
        <w:t>Responsable</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Dinámico</w:t>
      </w:r>
    </w:p>
    <w:p>
      <w:pPr>
        <w:pStyle w:val="ListParagraph"/>
        <w:numPr>
          <w:ilvl w:val="0"/>
          <w:numId w:val="11"/>
        </w:numPr>
        <w:tabs>
          <w:tab w:pos="840" w:val="left" w:leader="none"/>
          <w:tab w:pos="841" w:val="left" w:leader="none"/>
        </w:tabs>
        <w:spacing w:line="240" w:lineRule="auto" w:before="133" w:after="0"/>
        <w:ind w:left="840" w:right="0" w:hanging="360"/>
        <w:jc w:val="left"/>
        <w:rPr>
          <w:sz w:val="24"/>
        </w:rPr>
      </w:pPr>
      <w:r>
        <w:rPr>
          <w:color w:val="212121"/>
          <w:sz w:val="24"/>
        </w:rPr>
        <w:t>Trabajo en</w:t>
      </w:r>
      <w:r>
        <w:rPr>
          <w:color w:val="212121"/>
          <w:spacing w:val="-8"/>
          <w:sz w:val="24"/>
        </w:rPr>
        <w:t> </w:t>
      </w:r>
      <w:r>
        <w:rPr>
          <w:color w:val="212121"/>
          <w:sz w:val="24"/>
        </w:rPr>
        <w:t>equipo</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Saber</w:t>
      </w:r>
      <w:r>
        <w:rPr>
          <w:color w:val="212121"/>
          <w:spacing w:val="-10"/>
          <w:sz w:val="24"/>
        </w:rPr>
        <w:t> </w:t>
      </w:r>
      <w:r>
        <w:rPr>
          <w:color w:val="212121"/>
          <w:sz w:val="24"/>
        </w:rPr>
        <w:t>mandar</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Empatía visión positiva  y</w:t>
      </w:r>
      <w:r>
        <w:rPr>
          <w:color w:val="212121"/>
          <w:spacing w:val="-9"/>
          <w:sz w:val="24"/>
        </w:rPr>
        <w:t> </w:t>
      </w:r>
      <w:r>
        <w:rPr>
          <w:color w:val="212121"/>
          <w:sz w:val="24"/>
        </w:rPr>
        <w:t>realista</w:t>
      </w:r>
    </w:p>
    <w:p>
      <w:pPr>
        <w:pStyle w:val="ListParagraph"/>
        <w:numPr>
          <w:ilvl w:val="0"/>
          <w:numId w:val="11"/>
        </w:numPr>
        <w:tabs>
          <w:tab w:pos="840" w:val="left" w:leader="none"/>
          <w:tab w:pos="841" w:val="left" w:leader="none"/>
        </w:tabs>
        <w:spacing w:line="240" w:lineRule="auto" w:before="133" w:after="0"/>
        <w:ind w:left="840" w:right="0" w:hanging="360"/>
        <w:jc w:val="left"/>
        <w:rPr>
          <w:sz w:val="24"/>
        </w:rPr>
      </w:pPr>
      <w:r>
        <w:rPr>
          <w:color w:val="212121"/>
          <w:sz w:val="24"/>
        </w:rPr>
        <w:t>Objetivo.</w:t>
      </w:r>
    </w:p>
    <w:p>
      <w:pPr>
        <w:spacing w:after="0" w:line="240" w:lineRule="auto"/>
        <w:jc w:val="left"/>
        <w:rPr>
          <w:sz w:val="24"/>
        </w:rPr>
        <w:sectPr>
          <w:pgSz w:w="12240" w:h="15840"/>
          <w:pgMar w:header="0" w:footer="1120" w:top="1360" w:bottom="1380" w:left="1580" w:right="1300"/>
        </w:sectPr>
      </w:pPr>
    </w:p>
    <w:p>
      <w:pPr>
        <w:pStyle w:val="Heading3"/>
        <w:spacing w:before="47"/>
        <w:ind w:right="182"/>
        <w:jc w:val="left"/>
      </w:pPr>
      <w:r>
        <w:rPr>
          <w:color w:val="212121"/>
        </w:rPr>
        <w:t>Valores</w:t>
      </w:r>
    </w:p>
    <w:p>
      <w:pPr>
        <w:pStyle w:val="ListParagraph"/>
        <w:numPr>
          <w:ilvl w:val="0"/>
          <w:numId w:val="11"/>
        </w:numPr>
        <w:tabs>
          <w:tab w:pos="840" w:val="left" w:leader="none"/>
          <w:tab w:pos="841" w:val="left" w:leader="none"/>
        </w:tabs>
        <w:spacing w:line="240" w:lineRule="auto" w:before="144" w:after="0"/>
        <w:ind w:left="840" w:right="0" w:hanging="360"/>
        <w:jc w:val="left"/>
        <w:rPr>
          <w:sz w:val="24"/>
        </w:rPr>
      </w:pPr>
      <w:r>
        <w:rPr>
          <w:color w:val="212121"/>
          <w:sz w:val="24"/>
        </w:rPr>
        <w:t>Respeto</w:t>
      </w:r>
    </w:p>
    <w:p>
      <w:pPr>
        <w:pStyle w:val="ListParagraph"/>
        <w:numPr>
          <w:ilvl w:val="0"/>
          <w:numId w:val="11"/>
        </w:numPr>
        <w:tabs>
          <w:tab w:pos="840" w:val="left" w:leader="none"/>
          <w:tab w:pos="841" w:val="left" w:leader="none"/>
        </w:tabs>
        <w:spacing w:line="240" w:lineRule="auto" w:before="133" w:after="0"/>
        <w:ind w:left="840" w:right="0" w:hanging="360"/>
        <w:jc w:val="left"/>
        <w:rPr>
          <w:sz w:val="24"/>
        </w:rPr>
      </w:pPr>
      <w:r>
        <w:rPr>
          <w:color w:val="212121"/>
          <w:sz w:val="24"/>
        </w:rPr>
        <w:t>Humildad</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Honestidad</w:t>
      </w:r>
    </w:p>
    <w:p>
      <w:pPr>
        <w:pStyle w:val="ListParagraph"/>
        <w:numPr>
          <w:ilvl w:val="0"/>
          <w:numId w:val="11"/>
        </w:numPr>
        <w:tabs>
          <w:tab w:pos="840" w:val="left" w:leader="none"/>
          <w:tab w:pos="841" w:val="left" w:leader="none"/>
        </w:tabs>
        <w:spacing w:line="240" w:lineRule="auto" w:before="133" w:after="0"/>
        <w:ind w:left="840" w:right="0" w:hanging="360"/>
        <w:jc w:val="left"/>
        <w:rPr>
          <w:sz w:val="24"/>
        </w:rPr>
      </w:pPr>
      <w:r>
        <w:rPr>
          <w:color w:val="212121"/>
          <w:sz w:val="24"/>
        </w:rPr>
        <w:t>Lealtad</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Ética</w:t>
      </w:r>
    </w:p>
    <w:p>
      <w:pPr>
        <w:pStyle w:val="ListParagraph"/>
        <w:numPr>
          <w:ilvl w:val="0"/>
          <w:numId w:val="11"/>
        </w:numPr>
        <w:tabs>
          <w:tab w:pos="840" w:val="left" w:leader="none"/>
          <w:tab w:pos="841" w:val="left" w:leader="none"/>
        </w:tabs>
        <w:spacing w:line="240" w:lineRule="auto" w:before="138" w:after="0"/>
        <w:ind w:left="840" w:right="0" w:hanging="360"/>
        <w:jc w:val="left"/>
        <w:rPr>
          <w:sz w:val="24"/>
        </w:rPr>
      </w:pPr>
      <w:r>
        <w:rPr>
          <w:color w:val="212121"/>
          <w:sz w:val="24"/>
        </w:rPr>
        <w:t>Justicia.</w:t>
      </w:r>
    </w:p>
    <w:p>
      <w:pPr>
        <w:pStyle w:val="BodyText"/>
      </w:pPr>
    </w:p>
    <w:p>
      <w:pPr>
        <w:pStyle w:val="BodyText"/>
      </w:pPr>
    </w:p>
    <w:p>
      <w:pPr>
        <w:pStyle w:val="BodyText"/>
        <w:spacing w:line="360" w:lineRule="auto"/>
        <w:ind w:left="119" w:right="6299"/>
      </w:pPr>
      <w:r>
        <w:rPr>
          <w:color w:val="212121"/>
        </w:rPr>
        <w:t>Puesto:Ayudante general Reporta a: gerente General</w:t>
      </w:r>
    </w:p>
    <w:p>
      <w:pPr>
        <w:pStyle w:val="BodyText"/>
        <w:spacing w:line="360" w:lineRule="auto" w:before="3"/>
        <w:ind w:left="119" w:right="182"/>
      </w:pPr>
      <w:r>
        <w:rPr>
          <w:color w:val="212121"/>
        </w:rPr>
        <w:t>Puestos que le reportan: mismo gerente general sobre las operaciones realizadas. Propósito del puesto: garantizar el cumplimiento de actividades inherentes a la engorda.</w:t>
      </w:r>
    </w:p>
    <w:p>
      <w:pPr>
        <w:pStyle w:val="BodyText"/>
        <w:spacing w:line="360" w:lineRule="auto" w:before="2"/>
        <w:ind w:left="119" w:right="182"/>
      </w:pPr>
      <w:r>
        <w:rPr>
          <w:color w:val="212121"/>
        </w:rPr>
        <w:t>Funciones: planeación y control del manejo de los recursos necesarios durante toda la engorda.</w:t>
      </w:r>
    </w:p>
    <w:p>
      <w:pPr>
        <w:pStyle w:val="BodyText"/>
      </w:pPr>
    </w:p>
    <w:p>
      <w:pPr>
        <w:pStyle w:val="BodyText"/>
        <w:spacing w:line="360" w:lineRule="auto" w:before="144"/>
        <w:ind w:left="119" w:right="5178"/>
      </w:pPr>
      <w:r>
        <w:rPr>
          <w:color w:val="212121"/>
        </w:rPr>
        <w:t>Nombre del puesto: Ayudante general Sexo: Masculino</w:t>
      </w:r>
    </w:p>
    <w:p>
      <w:pPr>
        <w:pStyle w:val="BodyText"/>
        <w:spacing w:before="2"/>
        <w:ind w:left="119" w:right="182"/>
      </w:pPr>
      <w:r>
        <w:rPr>
          <w:color w:val="212121"/>
        </w:rPr>
        <w:t>Edad: 24 – 45 años</w:t>
      </w:r>
    </w:p>
    <w:p>
      <w:pPr>
        <w:pStyle w:val="BodyText"/>
        <w:spacing w:before="137"/>
        <w:ind w:left="119" w:right="182"/>
      </w:pPr>
      <w:r>
        <w:rPr>
          <w:color w:val="212121"/>
        </w:rPr>
        <w:t>Estado civil: Casado – soltero.</w:t>
      </w:r>
    </w:p>
    <w:p>
      <w:pPr>
        <w:pStyle w:val="BodyText"/>
        <w:spacing w:line="362" w:lineRule="auto" w:before="137"/>
        <w:ind w:left="119" w:right="3043"/>
      </w:pPr>
      <w:r>
        <w:rPr>
          <w:color w:val="212121"/>
        </w:rPr>
        <w:t>Escolaridad: Secundaria terminada, aunque no necesaria. Experiencia: Mínimo 1 año</w:t>
      </w:r>
    </w:p>
    <w:p>
      <w:pPr>
        <w:pStyle w:val="BodyText"/>
        <w:ind w:left="119" w:right="182"/>
      </w:pPr>
      <w:r>
        <w:rPr>
          <w:color w:val="212121"/>
        </w:rPr>
        <w:t>Nacionalidad: Mexicana</w:t>
      </w:r>
    </w:p>
    <w:p>
      <w:pPr>
        <w:pStyle w:val="BodyText"/>
        <w:spacing w:line="722" w:lineRule="auto" w:before="137"/>
        <w:ind w:left="119" w:right="882"/>
      </w:pPr>
      <w:r>
        <w:rPr>
          <w:color w:val="212121"/>
        </w:rPr>
        <w:t>Conocimiento: Labores indispensables de manejo de animales y alimentación. Habilidades:</w:t>
      </w:r>
    </w:p>
    <w:p>
      <w:pPr>
        <w:pStyle w:val="ListParagraph"/>
        <w:numPr>
          <w:ilvl w:val="0"/>
          <w:numId w:val="6"/>
        </w:numPr>
        <w:tabs>
          <w:tab w:pos="480" w:val="left" w:leader="none"/>
          <w:tab w:pos="481" w:val="left" w:leader="none"/>
        </w:tabs>
        <w:spacing w:line="240" w:lineRule="auto" w:before="9" w:after="0"/>
        <w:ind w:left="480" w:right="0" w:hanging="361"/>
        <w:jc w:val="left"/>
        <w:rPr>
          <w:rFonts w:ascii="Symbol" w:hAnsi="Symbol"/>
          <w:color w:val="212121"/>
          <w:sz w:val="24"/>
        </w:rPr>
      </w:pPr>
      <w:r>
        <w:rPr>
          <w:color w:val="212121"/>
          <w:sz w:val="24"/>
        </w:rPr>
        <w:t>Físicas</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Estado de salud</w:t>
      </w:r>
      <w:r>
        <w:rPr>
          <w:color w:val="212121"/>
          <w:spacing w:val="-4"/>
          <w:sz w:val="24"/>
        </w:rPr>
        <w:t> </w:t>
      </w:r>
      <w:r>
        <w:rPr>
          <w:color w:val="212121"/>
          <w:sz w:val="24"/>
        </w:rPr>
        <w:t>sano</w:t>
      </w:r>
    </w:p>
    <w:p>
      <w:pPr>
        <w:pStyle w:val="ListParagraph"/>
        <w:numPr>
          <w:ilvl w:val="0"/>
          <w:numId w:val="6"/>
        </w:numPr>
        <w:tabs>
          <w:tab w:pos="480" w:val="left" w:leader="none"/>
          <w:tab w:pos="481" w:val="left" w:leader="none"/>
        </w:tabs>
        <w:spacing w:line="240" w:lineRule="auto" w:before="133" w:after="0"/>
        <w:ind w:left="480" w:right="0" w:hanging="361"/>
        <w:jc w:val="left"/>
        <w:rPr>
          <w:rFonts w:ascii="Symbol"/>
          <w:color w:val="212121"/>
          <w:sz w:val="24"/>
        </w:rPr>
      </w:pPr>
      <w:r>
        <w:rPr>
          <w:color w:val="212121"/>
          <w:sz w:val="24"/>
        </w:rPr>
        <w:t>Mentales</w:t>
      </w:r>
    </w:p>
    <w:p>
      <w:pPr>
        <w:pStyle w:val="ListParagraph"/>
        <w:numPr>
          <w:ilvl w:val="1"/>
          <w:numId w:val="6"/>
        </w:numPr>
        <w:tabs>
          <w:tab w:pos="840" w:val="left" w:leader="none"/>
          <w:tab w:pos="841" w:val="left" w:leader="none"/>
        </w:tabs>
        <w:spacing w:line="240" w:lineRule="auto" w:before="138" w:after="0"/>
        <w:ind w:left="840" w:right="0" w:hanging="360"/>
        <w:jc w:val="left"/>
        <w:rPr>
          <w:sz w:val="24"/>
        </w:rPr>
      </w:pPr>
      <w:r>
        <w:rPr>
          <w:color w:val="212121"/>
          <w:sz w:val="24"/>
        </w:rPr>
        <w:t>Capacidad de resolver</w:t>
      </w:r>
      <w:r>
        <w:rPr>
          <w:color w:val="212121"/>
          <w:spacing w:val="-12"/>
          <w:sz w:val="24"/>
        </w:rPr>
        <w:t> </w:t>
      </w:r>
      <w:r>
        <w:rPr>
          <w:color w:val="212121"/>
          <w:sz w:val="24"/>
        </w:rPr>
        <w:t>problemas</w:t>
      </w:r>
    </w:p>
    <w:p>
      <w:pPr>
        <w:spacing w:after="0" w:line="240" w:lineRule="auto"/>
        <w:jc w:val="left"/>
        <w:rPr>
          <w:sz w:val="24"/>
        </w:rPr>
        <w:sectPr>
          <w:pgSz w:w="12240" w:h="15840"/>
          <w:pgMar w:header="0" w:footer="1120" w:top="1360" w:bottom="1380" w:left="1580" w:right="1300"/>
        </w:sectPr>
      </w:pPr>
    </w:p>
    <w:p>
      <w:pPr>
        <w:pStyle w:val="ListParagraph"/>
        <w:numPr>
          <w:ilvl w:val="1"/>
          <w:numId w:val="6"/>
        </w:numPr>
        <w:tabs>
          <w:tab w:pos="840" w:val="left" w:leader="none"/>
          <w:tab w:pos="841" w:val="left" w:leader="none"/>
        </w:tabs>
        <w:spacing w:line="240" w:lineRule="auto" w:before="30" w:after="0"/>
        <w:ind w:left="840" w:right="0" w:hanging="360"/>
        <w:jc w:val="left"/>
        <w:rPr>
          <w:sz w:val="24"/>
        </w:rPr>
      </w:pPr>
      <w:r>
        <w:rPr>
          <w:color w:val="212121"/>
          <w:sz w:val="24"/>
        </w:rPr>
        <w:t>Capacidad de proponer alternativas de</w:t>
      </w:r>
      <w:r>
        <w:rPr>
          <w:color w:val="212121"/>
          <w:spacing w:val="-21"/>
          <w:sz w:val="24"/>
        </w:rPr>
        <w:t> </w:t>
      </w:r>
      <w:r>
        <w:rPr>
          <w:color w:val="212121"/>
          <w:sz w:val="24"/>
        </w:rPr>
        <w:t>solución</w:t>
      </w:r>
    </w:p>
    <w:p>
      <w:pPr>
        <w:pStyle w:val="ListParagraph"/>
        <w:numPr>
          <w:ilvl w:val="1"/>
          <w:numId w:val="6"/>
        </w:numPr>
        <w:tabs>
          <w:tab w:pos="840" w:val="left" w:leader="none"/>
          <w:tab w:pos="841" w:val="left" w:leader="none"/>
        </w:tabs>
        <w:spacing w:line="355" w:lineRule="auto" w:before="138" w:after="0"/>
        <w:ind w:left="840" w:right="123" w:hanging="360"/>
        <w:jc w:val="left"/>
        <w:rPr>
          <w:sz w:val="24"/>
        </w:rPr>
      </w:pPr>
      <w:r>
        <w:rPr>
          <w:color w:val="212121"/>
          <w:sz w:val="24"/>
        </w:rPr>
        <w:t>Capacidad de aplicación y comprensión de nuevos métodos de operaciones contables.</w:t>
      </w:r>
    </w:p>
    <w:p>
      <w:pPr>
        <w:pStyle w:val="BodyText"/>
      </w:pPr>
    </w:p>
    <w:p>
      <w:pPr>
        <w:pStyle w:val="BodyText"/>
        <w:spacing w:before="145"/>
        <w:ind w:left="119"/>
        <w:jc w:val="both"/>
      </w:pPr>
      <w:r>
        <w:rPr>
          <w:color w:val="212121"/>
        </w:rPr>
        <w:t>Actitudes</w:t>
      </w:r>
    </w:p>
    <w:p>
      <w:pPr>
        <w:pStyle w:val="ListParagraph"/>
        <w:numPr>
          <w:ilvl w:val="0"/>
          <w:numId w:val="6"/>
        </w:numPr>
        <w:tabs>
          <w:tab w:pos="481" w:val="left" w:leader="none"/>
        </w:tabs>
        <w:spacing w:line="240" w:lineRule="auto" w:before="135" w:after="0"/>
        <w:ind w:left="480" w:right="0" w:hanging="361"/>
        <w:jc w:val="both"/>
        <w:rPr>
          <w:rFonts w:ascii="Symbol"/>
          <w:color w:val="212121"/>
          <w:sz w:val="24"/>
        </w:rPr>
      </w:pPr>
      <w:r>
        <w:rPr>
          <w:color w:val="212121"/>
          <w:sz w:val="24"/>
        </w:rPr>
        <w:t>Organizado</w:t>
      </w:r>
    </w:p>
    <w:p>
      <w:pPr>
        <w:pStyle w:val="ListParagraph"/>
        <w:numPr>
          <w:ilvl w:val="0"/>
          <w:numId w:val="6"/>
        </w:numPr>
        <w:tabs>
          <w:tab w:pos="481" w:val="left" w:leader="none"/>
        </w:tabs>
        <w:spacing w:line="240" w:lineRule="auto" w:before="138" w:after="0"/>
        <w:ind w:left="480" w:right="0" w:hanging="361"/>
        <w:jc w:val="both"/>
        <w:rPr>
          <w:rFonts w:ascii="Symbol" w:hAnsi="Symbol"/>
          <w:color w:val="212121"/>
          <w:sz w:val="24"/>
        </w:rPr>
      </w:pPr>
      <w:r>
        <w:rPr>
          <w:color w:val="212121"/>
          <w:sz w:val="24"/>
        </w:rPr>
        <w:t>Dinámico</w:t>
      </w:r>
    </w:p>
    <w:p>
      <w:pPr>
        <w:pStyle w:val="ListParagraph"/>
        <w:numPr>
          <w:ilvl w:val="0"/>
          <w:numId w:val="6"/>
        </w:numPr>
        <w:tabs>
          <w:tab w:pos="481" w:val="left" w:leader="none"/>
        </w:tabs>
        <w:spacing w:line="240" w:lineRule="auto" w:before="138" w:after="0"/>
        <w:ind w:left="480" w:right="0" w:hanging="361"/>
        <w:jc w:val="both"/>
        <w:rPr>
          <w:rFonts w:ascii="Symbol"/>
          <w:color w:val="212121"/>
          <w:sz w:val="24"/>
        </w:rPr>
      </w:pPr>
      <w:r>
        <w:rPr>
          <w:color w:val="212121"/>
          <w:sz w:val="24"/>
        </w:rPr>
        <w:t>Responsable</w:t>
      </w:r>
    </w:p>
    <w:p>
      <w:pPr>
        <w:pStyle w:val="ListParagraph"/>
        <w:numPr>
          <w:ilvl w:val="0"/>
          <w:numId w:val="6"/>
        </w:numPr>
        <w:tabs>
          <w:tab w:pos="481" w:val="left" w:leader="none"/>
        </w:tabs>
        <w:spacing w:line="240" w:lineRule="auto" w:before="133" w:after="0"/>
        <w:ind w:left="480" w:right="0" w:hanging="361"/>
        <w:jc w:val="both"/>
        <w:rPr>
          <w:rFonts w:ascii="Symbol"/>
          <w:color w:val="212121"/>
          <w:sz w:val="24"/>
        </w:rPr>
      </w:pPr>
      <w:r>
        <w:rPr>
          <w:color w:val="212121"/>
          <w:sz w:val="24"/>
        </w:rPr>
        <w:t>Trabajo en</w:t>
      </w:r>
      <w:r>
        <w:rPr>
          <w:color w:val="212121"/>
          <w:spacing w:val="-8"/>
          <w:sz w:val="24"/>
        </w:rPr>
        <w:t> </w:t>
      </w:r>
      <w:r>
        <w:rPr>
          <w:color w:val="212121"/>
          <w:sz w:val="24"/>
        </w:rPr>
        <w:t>equipo.</w:t>
      </w:r>
    </w:p>
    <w:p>
      <w:pPr>
        <w:pStyle w:val="BodyText"/>
      </w:pPr>
    </w:p>
    <w:p>
      <w:pPr>
        <w:pStyle w:val="BodyText"/>
        <w:spacing w:before="1"/>
      </w:pPr>
    </w:p>
    <w:p>
      <w:pPr>
        <w:pStyle w:val="BodyText"/>
        <w:ind w:left="119"/>
        <w:jc w:val="both"/>
      </w:pPr>
      <w:r>
        <w:rPr>
          <w:color w:val="212121"/>
        </w:rPr>
        <w:t>Valores</w:t>
      </w:r>
    </w:p>
    <w:p>
      <w:pPr>
        <w:pStyle w:val="ListParagraph"/>
        <w:numPr>
          <w:ilvl w:val="0"/>
          <w:numId w:val="12"/>
        </w:numPr>
        <w:tabs>
          <w:tab w:pos="840" w:val="left" w:leader="none"/>
          <w:tab w:pos="841" w:val="left" w:leader="none"/>
        </w:tabs>
        <w:spacing w:line="240" w:lineRule="auto" w:before="135" w:after="0"/>
        <w:ind w:left="840" w:right="0" w:hanging="360"/>
        <w:jc w:val="left"/>
        <w:rPr>
          <w:sz w:val="24"/>
        </w:rPr>
      </w:pPr>
      <w:r>
        <w:rPr>
          <w:color w:val="212121"/>
          <w:sz w:val="24"/>
        </w:rPr>
        <w:t>Respeto</w:t>
      </w:r>
    </w:p>
    <w:p>
      <w:pPr>
        <w:pStyle w:val="ListParagraph"/>
        <w:numPr>
          <w:ilvl w:val="0"/>
          <w:numId w:val="12"/>
        </w:numPr>
        <w:tabs>
          <w:tab w:pos="840" w:val="left" w:leader="none"/>
          <w:tab w:pos="841" w:val="left" w:leader="none"/>
        </w:tabs>
        <w:spacing w:line="240" w:lineRule="auto" w:before="138" w:after="0"/>
        <w:ind w:left="840" w:right="0" w:hanging="360"/>
        <w:jc w:val="left"/>
        <w:rPr>
          <w:sz w:val="24"/>
        </w:rPr>
      </w:pPr>
      <w:r>
        <w:rPr>
          <w:color w:val="212121"/>
          <w:sz w:val="24"/>
        </w:rPr>
        <w:t>Tolerancia</w:t>
      </w:r>
    </w:p>
    <w:p>
      <w:pPr>
        <w:pStyle w:val="ListParagraph"/>
        <w:numPr>
          <w:ilvl w:val="0"/>
          <w:numId w:val="12"/>
        </w:numPr>
        <w:tabs>
          <w:tab w:pos="840" w:val="left" w:leader="none"/>
          <w:tab w:pos="841" w:val="left" w:leader="none"/>
        </w:tabs>
        <w:spacing w:line="240" w:lineRule="auto" w:before="138" w:after="0"/>
        <w:ind w:left="840" w:right="0" w:hanging="360"/>
        <w:jc w:val="left"/>
        <w:rPr>
          <w:sz w:val="24"/>
        </w:rPr>
      </w:pPr>
      <w:r>
        <w:rPr>
          <w:color w:val="212121"/>
          <w:sz w:val="24"/>
        </w:rPr>
        <w:t>Humildad</w:t>
      </w:r>
    </w:p>
    <w:p>
      <w:pPr>
        <w:pStyle w:val="ListParagraph"/>
        <w:numPr>
          <w:ilvl w:val="0"/>
          <w:numId w:val="12"/>
        </w:numPr>
        <w:tabs>
          <w:tab w:pos="840" w:val="left" w:leader="none"/>
          <w:tab w:pos="841" w:val="left" w:leader="none"/>
        </w:tabs>
        <w:spacing w:line="240" w:lineRule="auto" w:before="133" w:after="0"/>
        <w:ind w:left="840" w:right="0" w:hanging="360"/>
        <w:jc w:val="left"/>
        <w:rPr>
          <w:sz w:val="24"/>
        </w:rPr>
      </w:pPr>
      <w:r>
        <w:rPr>
          <w:color w:val="212121"/>
          <w:sz w:val="24"/>
        </w:rPr>
        <w:t>Lealtad</w:t>
      </w:r>
    </w:p>
    <w:p>
      <w:pPr>
        <w:pStyle w:val="ListParagraph"/>
        <w:numPr>
          <w:ilvl w:val="0"/>
          <w:numId w:val="12"/>
        </w:numPr>
        <w:tabs>
          <w:tab w:pos="840" w:val="left" w:leader="none"/>
          <w:tab w:pos="841" w:val="left" w:leader="none"/>
        </w:tabs>
        <w:spacing w:line="240" w:lineRule="auto" w:before="138" w:after="0"/>
        <w:ind w:left="840" w:right="0" w:hanging="360"/>
        <w:jc w:val="left"/>
        <w:rPr>
          <w:sz w:val="24"/>
        </w:rPr>
      </w:pPr>
      <w:r>
        <w:rPr>
          <w:color w:val="212121"/>
          <w:sz w:val="24"/>
        </w:rPr>
        <w:t>Ética</w:t>
      </w:r>
    </w:p>
    <w:p>
      <w:pPr>
        <w:pStyle w:val="BodyText"/>
      </w:pPr>
    </w:p>
    <w:p>
      <w:pPr>
        <w:pStyle w:val="BodyText"/>
      </w:pPr>
    </w:p>
    <w:p>
      <w:pPr>
        <w:pStyle w:val="BodyText"/>
        <w:spacing w:line="360" w:lineRule="auto"/>
        <w:ind w:left="119" w:right="110"/>
        <w:jc w:val="both"/>
      </w:pPr>
      <w:r>
        <w:rPr>
          <w:color w:val="212121"/>
        </w:rPr>
        <w:t>Se considera que una vez que el negocio inicie con operaciones comerciales,serán contratados de forma permanente, con pago sin nómina, no serán dados de alta en Seguridad Social, pues todos los gastos inherentes a situaciones de su salud se cubrirán en 30 % del total de desembolso por consulta médica, por parte del propietario del negocio.El contrato laboral-temporal pudiese ser en formato por escrito, por lo que no se deducirán prestaciones de Ley correspondientes y pagos provenientes de retiro por alguna incapacidad física o mental que impida continuar con su labor. Es decir, la propuesta es a la palabra. Ante riesgos de muerte no prevista, súbita, etc., la familia de los empleados cubrirá todos los gastos inherentes  a tales</w:t>
      </w:r>
      <w:r>
        <w:rPr>
          <w:color w:val="212121"/>
          <w:spacing w:val="-5"/>
        </w:rPr>
        <w:t> </w:t>
      </w:r>
      <w:r>
        <w:rPr>
          <w:color w:val="212121"/>
        </w:rPr>
        <w:t>situaciones.</w:t>
      </w:r>
    </w:p>
    <w:p>
      <w:pPr>
        <w:spacing w:after="0" w:line="360" w:lineRule="auto"/>
        <w:jc w:val="both"/>
        <w:sectPr>
          <w:pgSz w:w="12240" w:h="15840"/>
          <w:pgMar w:header="0" w:footer="1120" w:top="1380" w:bottom="1380" w:left="1580" w:right="1300"/>
        </w:sectPr>
      </w:pPr>
    </w:p>
    <w:p>
      <w:pPr>
        <w:pStyle w:val="BodyText"/>
        <w:ind w:left="646"/>
        <w:rPr>
          <w:sz w:val="20"/>
        </w:rPr>
      </w:pPr>
      <w:r>
        <w:rPr>
          <w:sz w:val="20"/>
        </w:rPr>
        <w:pict>
          <v:group style="width:307.75pt;height:194.45pt;mso-position-horizontal-relative:char;mso-position-vertical-relative:line" coordorigin="0,0" coordsize="6155,3889">
            <v:line style="position:absolute" from="3077,1301" to="3077,2590" stroked="true" strokeweight=".96pt" strokecolor="#467aa9"/>
            <v:rect style="position:absolute;left:10;top:10;width:6134;height:1291" filled="true" fillcolor="#5b9bd4" stroked="false">
              <v:fill type="solid"/>
            </v:rect>
            <v:rect style="position:absolute;left:10;top:10;width:6134;height:1291" filled="false" stroked="true" strokeweight=".96pt" strokecolor="#ffffff"/>
            <v:rect style="position:absolute;left:10;top:2588;width:6134;height:1291" filled="true" fillcolor="#5b9bd4" stroked="false">
              <v:fill type="solid"/>
            </v:rect>
            <v:rect style="position:absolute;left:10;top:2588;width:6134;height:1291" filled="false" stroked="true" strokeweight=".96pt" strokecolor="#ffffff"/>
            <v:shape style="position:absolute;left:718;top:91;width:4731;height:1163" type="#_x0000_t202" filled="false" stroked="false">
              <v:textbox inset="0,0,0,0">
                <w:txbxContent>
                  <w:p>
                    <w:pPr>
                      <w:spacing w:line="469" w:lineRule="exact" w:before="0"/>
                      <w:ind w:left="1594" w:right="-8" w:firstLine="0"/>
                      <w:jc w:val="left"/>
                      <w:rPr>
                        <w:rFonts w:ascii="Calibri"/>
                        <w:b/>
                        <w:sz w:val="46"/>
                      </w:rPr>
                    </w:pPr>
                    <w:r>
                      <w:rPr>
                        <w:rFonts w:ascii="Calibri"/>
                        <w:b/>
                        <w:color w:val="FFFFFF"/>
                        <w:sz w:val="46"/>
                      </w:rPr>
                      <w:t>Gerente</w:t>
                    </w:r>
                  </w:p>
                  <w:p>
                    <w:pPr>
                      <w:spacing w:line="553" w:lineRule="exact" w:before="139"/>
                      <w:ind w:left="0" w:right="-8" w:firstLine="0"/>
                      <w:jc w:val="left"/>
                      <w:rPr>
                        <w:rFonts w:ascii="Calibri"/>
                        <w:sz w:val="46"/>
                      </w:rPr>
                    </w:pPr>
                    <w:r>
                      <w:rPr>
                        <w:rFonts w:ascii="Calibri"/>
                        <w:b/>
                        <w:color w:val="FFFFFF"/>
                        <w:sz w:val="46"/>
                      </w:rPr>
                      <w:t>(Propietario del</w:t>
                    </w:r>
                    <w:r>
                      <w:rPr>
                        <w:rFonts w:ascii="Calibri"/>
                        <w:b/>
                        <w:color w:val="FFFFFF"/>
                        <w:spacing w:val="-18"/>
                        <w:sz w:val="46"/>
                      </w:rPr>
                      <w:t> </w:t>
                    </w:r>
                    <w:r>
                      <w:rPr>
                        <w:rFonts w:ascii="Calibri"/>
                        <w:b/>
                        <w:color w:val="FFFFFF"/>
                        <w:sz w:val="46"/>
                      </w:rPr>
                      <w:t>negocio</w:t>
                    </w:r>
                    <w:r>
                      <w:rPr>
                        <w:rFonts w:ascii="Calibri"/>
                        <w:color w:val="FFFFFF"/>
                        <w:sz w:val="46"/>
                      </w:rPr>
                      <w:t>)</w:t>
                    </w:r>
                  </w:p>
                </w:txbxContent>
              </v:textbox>
              <w10:wrap type="none"/>
            </v:shape>
            <v:shape style="position:absolute;left:1404;top:2668;width:3351;height:1163" type="#_x0000_t202" filled="false" stroked="false">
              <v:textbox inset="0,0,0,0">
                <w:txbxContent>
                  <w:p>
                    <w:pPr>
                      <w:spacing w:line="469" w:lineRule="exact" w:before="0"/>
                      <w:ind w:left="-1" w:right="0" w:firstLine="0"/>
                      <w:jc w:val="center"/>
                      <w:rPr>
                        <w:rFonts w:ascii="Calibri"/>
                        <w:b/>
                        <w:sz w:val="46"/>
                      </w:rPr>
                    </w:pPr>
                    <w:r>
                      <w:rPr>
                        <w:rFonts w:ascii="Calibri"/>
                        <w:b/>
                        <w:color w:val="FFFFFF"/>
                        <w:spacing w:val="-4"/>
                        <w:sz w:val="46"/>
                      </w:rPr>
                      <w:t>Ayudante</w:t>
                    </w:r>
                    <w:r>
                      <w:rPr>
                        <w:rFonts w:ascii="Calibri"/>
                        <w:b/>
                        <w:color w:val="FFFFFF"/>
                        <w:spacing w:val="12"/>
                        <w:sz w:val="46"/>
                      </w:rPr>
                      <w:t> </w:t>
                    </w:r>
                    <w:r>
                      <w:rPr>
                        <w:rFonts w:ascii="Calibri"/>
                        <w:b/>
                        <w:color w:val="FFFFFF"/>
                        <w:spacing w:val="-4"/>
                        <w:sz w:val="46"/>
                      </w:rPr>
                      <w:t>general</w:t>
                    </w:r>
                  </w:p>
                  <w:p>
                    <w:pPr>
                      <w:spacing w:line="553" w:lineRule="exact" w:before="140"/>
                      <w:ind w:left="0" w:right="0" w:firstLine="0"/>
                      <w:jc w:val="center"/>
                      <w:rPr>
                        <w:rFonts w:ascii="Calibri" w:hAnsi="Calibri"/>
                        <w:b/>
                        <w:sz w:val="46"/>
                      </w:rPr>
                    </w:pPr>
                    <w:r>
                      <w:rPr>
                        <w:rFonts w:ascii="Calibri" w:hAnsi="Calibri"/>
                        <w:b/>
                        <w:color w:val="FFFFFF"/>
                        <w:sz w:val="46"/>
                      </w:rPr>
                      <w:t>Área operativa</w:t>
                    </w:r>
                  </w:p>
                </w:txbxContent>
              </v:textbox>
              <w10:wrap type="none"/>
            </v:shape>
          </v:group>
        </w:pict>
      </w:r>
      <w:r>
        <w:rPr>
          <w:sz w:val="20"/>
        </w:rPr>
      </w:r>
    </w:p>
    <w:p>
      <w:pPr>
        <w:pStyle w:val="BodyText"/>
        <w:rPr>
          <w:sz w:val="20"/>
        </w:rPr>
      </w:pPr>
    </w:p>
    <w:p>
      <w:pPr>
        <w:pStyle w:val="BodyText"/>
        <w:spacing w:before="5"/>
        <w:rPr>
          <w:sz w:val="17"/>
        </w:rPr>
      </w:pPr>
    </w:p>
    <w:p>
      <w:pPr>
        <w:pStyle w:val="Heading2"/>
        <w:spacing w:before="67"/>
      </w:pPr>
      <w:bookmarkStart w:name="_bookmark36" w:id="48"/>
      <w:bookmarkEnd w:id="48"/>
      <w:r>
        <w:rPr>
          <w:b w:val="0"/>
        </w:rPr>
      </w:r>
      <w:r>
        <w:rPr/>
        <w:t>Marco legal</w:t>
      </w:r>
    </w:p>
    <w:p>
      <w:pPr>
        <w:pStyle w:val="BodyText"/>
        <w:spacing w:before="2"/>
        <w:rPr>
          <w:b/>
          <w:sz w:val="38"/>
        </w:rPr>
      </w:pPr>
    </w:p>
    <w:p>
      <w:pPr>
        <w:pStyle w:val="BodyText"/>
        <w:spacing w:line="360" w:lineRule="auto" w:before="1"/>
        <w:ind w:left="119" w:right="111"/>
        <w:jc w:val="both"/>
      </w:pPr>
      <w:r>
        <w:rPr/>
        <w:t>El objetivo del estudio de aspectos legales, consiste en lograr que el negocio- pecuario de engorda intensiva en corral o en confinamiento, de bovinos carne, se adecúe a normas legales vigentes, así como identificar características generales del marco legal de dicho proyectoo agronegocio (Baca, 2013).</w:t>
      </w:r>
    </w:p>
    <w:p>
      <w:pPr>
        <w:pStyle w:val="BodyText"/>
      </w:pPr>
    </w:p>
    <w:p>
      <w:pPr>
        <w:pStyle w:val="BodyText"/>
        <w:spacing w:line="360" w:lineRule="auto" w:before="144"/>
        <w:ind w:left="119" w:right="111"/>
        <w:jc w:val="both"/>
      </w:pPr>
      <w:r>
        <w:rPr/>
        <w:t>El interesado de este proyecto, no es contribuyente en el SAT, no realiza declaraciones anuales por la percepción de sus rentas; pero se propondrá su alta como Persona Física con Actividad Empresarial (Régimen de Pequeños Contribuyentes), en caso de que la legislación así lo permita; sin embargo por la naturaleza del negocio (actividad primaria), cabe la posibilidad de obviar, por lo  pronto o en el corto plazo este trámite. La forma jurídica que </w:t>
      </w:r>
      <w:r>
        <w:rPr>
          <w:spacing w:val="-3"/>
        </w:rPr>
        <w:t>se </w:t>
      </w:r>
      <w:r>
        <w:rPr/>
        <w:t>considerará apropiada al proyecto será la de Sociedad de Producción Rural de Responsabilidad Limitada (SPR de RL) (según la Ley Agraria y la Ley de Sociedad Mercantiles), exenta del pago del ISR, según la LISR</w:t>
      </w:r>
      <w:r>
        <w:rPr>
          <w:spacing w:val="-20"/>
        </w:rPr>
        <w:t> </w:t>
      </w:r>
      <w:r>
        <w:rPr/>
        <w:t>2015.</w:t>
      </w:r>
    </w:p>
    <w:p>
      <w:pPr>
        <w:pStyle w:val="BodyText"/>
      </w:pPr>
    </w:p>
    <w:p>
      <w:pPr>
        <w:pStyle w:val="BodyText"/>
        <w:spacing w:line="360" w:lineRule="auto" w:before="140"/>
        <w:ind w:left="119" w:right="110"/>
        <w:jc w:val="both"/>
      </w:pPr>
      <w:r>
        <w:rPr/>
        <w:t>El objeto de la Sociedad, será la prestación del servicio, recepción, estancia, producción, engorda y sacrificio de todo tipo de ganado, aves y otras especies, así como el corte, conservación y empaque de todos sus derivados, incluyendo, sin limitar,  carne,  hueso  y  piel.  La  compra,  venta,  arrendamiento,      administración,</w:t>
      </w:r>
    </w:p>
    <w:p>
      <w:pPr>
        <w:spacing w:after="0" w:line="360" w:lineRule="auto"/>
        <w:jc w:val="both"/>
        <w:sectPr>
          <w:pgSz w:w="12240" w:h="15840"/>
          <w:pgMar w:header="0" w:footer="1120" w:top="1460" w:bottom="1380" w:left="1580" w:right="1300"/>
        </w:sectPr>
      </w:pPr>
    </w:p>
    <w:p>
      <w:pPr>
        <w:pStyle w:val="BodyText"/>
        <w:spacing w:line="362" w:lineRule="auto" w:before="52"/>
        <w:ind w:left="119" w:right="182"/>
      </w:pPr>
      <w:r>
        <w:rPr/>
        <w:t>producción, engorda, asesoramiento y, en general, cualquier negocio jurídico relacionado en cualquier tipo de ganado (LISR 2015).</w:t>
      </w:r>
    </w:p>
    <w:p>
      <w:pPr>
        <w:spacing w:after="0" w:line="362" w:lineRule="auto"/>
        <w:sectPr>
          <w:pgSz w:w="12240" w:h="15840"/>
          <w:pgMar w:header="0" w:footer="1120" w:top="1360" w:bottom="1380" w:left="1580" w:right="1300"/>
        </w:sectPr>
      </w:pPr>
    </w:p>
    <w:p>
      <w:pPr>
        <w:pStyle w:val="Heading2"/>
      </w:pPr>
      <w:bookmarkStart w:name="_bookmark37" w:id="49"/>
      <w:bookmarkEnd w:id="49"/>
      <w:r>
        <w:rPr>
          <w:b w:val="0"/>
        </w:rPr>
      </w:r>
      <w:r>
        <w:rPr/>
        <w:t>Impacto ambiental</w:t>
      </w:r>
    </w:p>
    <w:p>
      <w:pPr>
        <w:pStyle w:val="BodyText"/>
        <w:rPr>
          <w:b/>
          <w:sz w:val="26"/>
        </w:rPr>
      </w:pPr>
    </w:p>
    <w:p>
      <w:pPr>
        <w:pStyle w:val="BodyText"/>
        <w:spacing w:before="7"/>
        <w:rPr>
          <w:b/>
          <w:sz w:val="22"/>
        </w:rPr>
      </w:pPr>
    </w:p>
    <w:p>
      <w:pPr>
        <w:pStyle w:val="BodyText"/>
        <w:spacing w:line="360" w:lineRule="auto" w:before="1"/>
        <w:ind w:left="119" w:right="121"/>
        <w:jc w:val="both"/>
      </w:pPr>
      <w:r>
        <w:rPr/>
        <w:t>Los problemas ambientales surgen, fundamentalmente, de la contaminación del aire, agua y tierra (Rodríguez </w:t>
      </w:r>
      <w:r>
        <w:rPr>
          <w:i/>
        </w:rPr>
        <w:t>et al</w:t>
      </w:r>
      <w:r>
        <w:rPr/>
        <w:t>., 2008), tales fuentes individuales de contaminación interactúan a través del ecosistema. Es por ello que cada día es mayor la demanda de un ambiente limpio, saludable y sustentable</w:t>
      </w:r>
    </w:p>
    <w:p>
      <w:pPr>
        <w:pStyle w:val="BodyText"/>
      </w:pPr>
    </w:p>
    <w:p>
      <w:pPr>
        <w:pStyle w:val="BodyText"/>
        <w:spacing w:line="360" w:lineRule="auto" w:before="144"/>
        <w:ind w:left="119" w:right="111"/>
        <w:jc w:val="both"/>
      </w:pPr>
      <w:r>
        <w:rPr/>
        <w:t>Toda evaluación de impacto ambiental consiste en identificar impactos ambientales potenciales (probables), así como posibles alternativas y medidas de mitigación. Por lo anterior, con relación al efecto de acciones del proyecto de engorda de bovinos carne en corral, con destino al sacrificio en rastro municipal, ocurridas en el medio físico, biológico, social, económico y cultural, incluso aspectos de tipo político, normativo e institucional; se hace mención que, en el afán de evitar lo menos posible daños al ambiente; la naturaleza misma de este proyecto, en caso de tomar la decisión de ponerse en marcha, no producirá efectos negativos en cualesquiera de los rubros mencionados.</w:t>
      </w:r>
    </w:p>
    <w:p>
      <w:pPr>
        <w:pStyle w:val="BodyText"/>
      </w:pPr>
    </w:p>
    <w:p>
      <w:pPr>
        <w:pStyle w:val="BodyText"/>
        <w:spacing w:line="360" w:lineRule="auto" w:before="139"/>
        <w:ind w:left="119" w:right="110"/>
        <w:jc w:val="both"/>
      </w:pPr>
      <w:r>
        <w:rPr/>
        <w:t>También se tiene planeado tratar adecuadamente los residuos de animales (heces), con el apoyo de personal técnico capacitado para ello y utilizarlo como fertilizante orgánico en el cultivo del maíz de temporal dentro de la zona de ubicación de este proyecto.</w:t>
      </w:r>
    </w:p>
    <w:p>
      <w:pPr>
        <w:pStyle w:val="BodyText"/>
      </w:pPr>
    </w:p>
    <w:p>
      <w:pPr>
        <w:pStyle w:val="BodyText"/>
        <w:spacing w:line="360" w:lineRule="auto" w:before="144"/>
        <w:ind w:left="119" w:right="112"/>
        <w:jc w:val="both"/>
      </w:pPr>
      <w:r>
        <w:rPr/>
        <w:t>El proyecto, no presenta condiciones </w:t>
      </w:r>
      <w:r>
        <w:rPr>
          <w:i/>
        </w:rPr>
        <w:t>in si tu</w:t>
      </w:r>
      <w:r>
        <w:rPr/>
        <w:t>, que ocasionen impactos negativos al ambiente, específicamente, en aire y agua. No habrá perturbaciones visibles como remociones de tierra que causen daños a terceros, ni al ecosistema, o que alteren la calidad del agua o del suelo. La fauna local o regional no se verá afectada por desechos del proyecto; tampoco se verán afectadas las condiciones de vida de la población que rodeará al proyecto, ni demás población aledaña o más alejada al mismo.</w:t>
      </w:r>
    </w:p>
    <w:p>
      <w:pPr>
        <w:spacing w:after="0" w:line="360" w:lineRule="auto"/>
        <w:jc w:val="both"/>
        <w:sectPr>
          <w:pgSz w:w="12240" w:h="15840"/>
          <w:pgMar w:header="0" w:footer="1120" w:top="1360" w:bottom="1380" w:left="1580" w:right="1300"/>
        </w:sectPr>
      </w:pPr>
    </w:p>
    <w:p>
      <w:pPr>
        <w:pStyle w:val="BodyText"/>
        <w:spacing w:line="360" w:lineRule="auto" w:before="52"/>
        <w:ind w:left="119" w:right="110"/>
        <w:jc w:val="both"/>
      </w:pPr>
      <w:r>
        <w:rPr/>
        <w:t>Se concluye que en las condiciones planteadas, en este apartado del proyecto,  existe viabilidad técnica, esto es, la localización del proyecto es adecuada, el tamaño es una función de los gastos planeadosy disponibilidad financiera  de la Sociedad,  así como de la gestión en condiciones de fondeo con Organismos tanta estatales como federales de apoyo. </w:t>
      </w:r>
      <w:r>
        <w:rPr>
          <w:spacing w:val="-4"/>
        </w:rPr>
        <w:t>El </w:t>
      </w:r>
      <w:r>
        <w:rPr/>
        <w:t>marco legal y la </w:t>
      </w:r>
      <w:r>
        <w:rPr>
          <w:spacing w:val="-3"/>
        </w:rPr>
        <w:t>forma </w:t>
      </w:r>
      <w:r>
        <w:rPr/>
        <w:t>societaria del negocio </w:t>
      </w:r>
      <w:r>
        <w:rPr>
          <w:spacing w:val="-3"/>
        </w:rPr>
        <w:t>se </w:t>
      </w:r>
      <w:r>
        <w:rPr/>
        <w:t>consideran adecuados al</w:t>
      </w:r>
      <w:r>
        <w:rPr>
          <w:spacing w:val="-8"/>
        </w:rPr>
        <w:t> </w:t>
      </w:r>
      <w:r>
        <w:rPr/>
        <w:t>proyecto.</w:t>
      </w:r>
    </w:p>
    <w:p>
      <w:pPr>
        <w:spacing w:after="0" w:line="360" w:lineRule="auto"/>
        <w:jc w:val="both"/>
        <w:sectPr>
          <w:pgSz w:w="12240" w:h="15840"/>
          <w:pgMar w:header="0" w:footer="1120" w:top="1360" w:bottom="1380" w:left="1580" w:right="1300"/>
        </w:sectPr>
      </w:pPr>
    </w:p>
    <w:p>
      <w:pPr>
        <w:pStyle w:val="Heading1"/>
        <w:numPr>
          <w:ilvl w:val="1"/>
          <w:numId w:val="9"/>
        </w:numPr>
        <w:tabs>
          <w:tab w:pos="582" w:val="left" w:leader="none"/>
        </w:tabs>
        <w:spacing w:line="240" w:lineRule="auto" w:before="48" w:after="0"/>
        <w:ind w:left="581" w:right="0" w:hanging="462"/>
        <w:jc w:val="both"/>
      </w:pPr>
      <w:bookmarkStart w:name="_bookmark38" w:id="50"/>
      <w:bookmarkEnd w:id="50"/>
      <w:r>
        <w:rPr>
          <w:b w:val="0"/>
        </w:rPr>
      </w:r>
      <w:bookmarkStart w:name="_bookmark38" w:id="51"/>
      <w:bookmarkEnd w:id="51"/>
      <w:r>
        <w:rPr/>
        <w:t>E</w:t>
      </w:r>
      <w:r>
        <w:rPr/>
        <w:t>STUDIO</w:t>
      </w:r>
      <w:r>
        <w:rPr>
          <w:spacing w:val="-8"/>
        </w:rPr>
        <w:t> </w:t>
      </w:r>
      <w:r>
        <w:rPr/>
        <w:t>FINANCIERO</w:t>
      </w:r>
    </w:p>
    <w:p>
      <w:pPr>
        <w:pStyle w:val="BodyText"/>
        <w:rPr>
          <w:b/>
          <w:sz w:val="28"/>
        </w:rPr>
      </w:pPr>
    </w:p>
    <w:p>
      <w:pPr>
        <w:pStyle w:val="Heading2"/>
        <w:spacing w:before="176"/>
      </w:pPr>
      <w:bookmarkStart w:name="_bookmark39" w:id="52"/>
      <w:bookmarkEnd w:id="52"/>
      <w:r>
        <w:rPr>
          <w:b w:val="0"/>
        </w:rPr>
      </w:r>
      <w:r>
        <w:rPr/>
        <w:t>Consideraciones generales</w:t>
      </w:r>
    </w:p>
    <w:p>
      <w:pPr>
        <w:pStyle w:val="BodyText"/>
        <w:spacing w:before="8"/>
        <w:rPr>
          <w:b/>
          <w:sz w:val="38"/>
        </w:rPr>
      </w:pPr>
    </w:p>
    <w:p>
      <w:pPr>
        <w:pStyle w:val="BodyText"/>
        <w:spacing w:line="360" w:lineRule="auto"/>
        <w:ind w:left="119" w:right="114"/>
        <w:jc w:val="both"/>
      </w:pPr>
      <w:r>
        <w:rPr/>
        <w:t>Esta sección, todavía forma parte de la formulación de todo proyecto de inversión (Sapag, 2011; Rebollar y Jaramillo, 2012; Baca, 2013), el estudio  financiero  se realiza con base en la información que se obtiene y/o se genera en los estudios de mercado y técnico.</w:t>
      </w:r>
    </w:p>
    <w:p>
      <w:pPr>
        <w:pStyle w:val="BodyText"/>
      </w:pPr>
    </w:p>
    <w:p>
      <w:pPr>
        <w:pStyle w:val="BodyText"/>
        <w:spacing w:line="360" w:lineRule="auto" w:before="144"/>
        <w:ind w:left="119" w:right="114"/>
        <w:jc w:val="both"/>
      </w:pPr>
      <w:r>
        <w:rPr/>
        <w:t>Del estudio de mercado se concluye que los bovinos carne, bajo el sistema de producción propuesto, tienen demanda actual y potencial, por ser bienes de la canasta básica de cualquier consumidor; el precio de venta se aceptó por parte de consumidores reales y potenciales, y se ajustó al de mercado al momento de la investigación.</w:t>
      </w:r>
    </w:p>
    <w:p>
      <w:pPr>
        <w:pStyle w:val="BodyText"/>
      </w:pPr>
    </w:p>
    <w:p>
      <w:pPr>
        <w:pStyle w:val="BodyText"/>
        <w:spacing w:line="360" w:lineRule="auto" w:before="140"/>
        <w:ind w:left="119" w:right="122"/>
        <w:jc w:val="both"/>
      </w:pPr>
      <w:r>
        <w:rPr/>
        <w:t>En adición, el precio de venta consideró información recabada de carnicerías de la zona que exponen el producto en venta al consumidor final. El peso promedio de venta de canales de bovinos carne, se estableció con base en el que registra, oficialmente, la SAGARPA, con información del DDR 076 con sede en Tejupilco e información proveniente del sacrificio de animales de canales calientes del rastro municipal de Tejupilco, que fue de 70 % del peso vivo de cada animal.</w:t>
      </w:r>
    </w:p>
    <w:p>
      <w:pPr>
        <w:pStyle w:val="BodyText"/>
      </w:pPr>
    </w:p>
    <w:p>
      <w:pPr>
        <w:pStyle w:val="BodyText"/>
        <w:spacing w:line="360" w:lineRule="auto" w:before="139"/>
        <w:ind w:left="119" w:right="115"/>
        <w:jc w:val="both"/>
      </w:pPr>
      <w:r>
        <w:rPr/>
        <w:t>Se reitera, que el estudio técnico es viable en términos de localización, tamaño, infraestructura, ingeniería, marco legal, organización e impacto ambiental. Se consideró información de este estudio para elaborar presupuestos necesarios del análisis financiero y su respectiva evaluación y estimación de indicadores de rentabilidad del proyecto de la engorda en corral.</w:t>
      </w:r>
    </w:p>
    <w:p>
      <w:pPr>
        <w:pStyle w:val="BodyText"/>
      </w:pPr>
    </w:p>
    <w:p>
      <w:pPr>
        <w:pStyle w:val="BodyText"/>
        <w:spacing w:line="360" w:lineRule="auto" w:before="144"/>
        <w:ind w:left="119" w:right="117"/>
        <w:jc w:val="both"/>
      </w:pPr>
      <w:r>
        <w:rPr/>
        <w:t>El estudio financiero, consideró información contable relativa a inversión en activos tangibles e intangibles, capital de trabajo, depreciaciones de tangibles y amortizaciones de intangibles.  No  se  consideró  probable apoyo  gubernamental,  a</w:t>
      </w:r>
    </w:p>
    <w:p>
      <w:pPr>
        <w:spacing w:after="0" w:line="360" w:lineRule="auto"/>
        <w:jc w:val="both"/>
        <w:sectPr>
          <w:footerReference w:type="default" r:id="rId30"/>
          <w:pgSz w:w="12240" w:h="15840"/>
          <w:pgMar w:footer="1180" w:header="0" w:top="1360" w:bottom="1380" w:left="1580" w:right="1300"/>
        </w:sectPr>
      </w:pPr>
    </w:p>
    <w:p>
      <w:pPr>
        <w:pStyle w:val="BodyText"/>
        <w:spacing w:line="360" w:lineRule="auto" w:before="52"/>
        <w:ind w:left="119" w:right="119"/>
        <w:jc w:val="both"/>
      </w:pPr>
      <w:r>
        <w:rPr/>
        <w:t>través de la SAGARPA, FIRCO y SEDAGRO, vía Reglas de Operación 2015, destinado a financiar equipo e infraestructura, por estar fuera del periodo de apertura de ventanillas.</w:t>
      </w:r>
    </w:p>
    <w:p>
      <w:pPr>
        <w:pStyle w:val="BodyText"/>
      </w:pPr>
    </w:p>
    <w:p>
      <w:pPr>
        <w:pStyle w:val="BodyText"/>
        <w:spacing w:line="360" w:lineRule="auto" w:before="140"/>
        <w:ind w:left="119" w:right="121"/>
        <w:jc w:val="both"/>
      </w:pPr>
      <w:r>
        <w:rPr/>
        <w:t>La información se plasmó o manifestó dentro del </w:t>
      </w:r>
      <w:r>
        <w:rPr>
          <w:i/>
        </w:rPr>
        <w:t>Flujo de Proyecto </w:t>
      </w:r>
      <w:r>
        <w:rPr/>
        <w:t>(que sustituye al Estado de Resultados y Flujo de Efectivo, se incluye el análisis del Punto de Equilibrio o Umbral de Rentabilidad, que en sí mismo, no constituye una decisión sobre la inversión (Rebollar y Jaramillo, 2012; Baca, 2013,), ni es un método de evaluación de</w:t>
      </w:r>
      <w:r>
        <w:rPr>
          <w:spacing w:val="-7"/>
        </w:rPr>
        <w:t> </w:t>
      </w:r>
      <w:r>
        <w:rPr/>
        <w:t>proyectos.</w:t>
      </w:r>
    </w:p>
    <w:p>
      <w:pPr>
        <w:pStyle w:val="BodyText"/>
      </w:pPr>
    </w:p>
    <w:p>
      <w:pPr>
        <w:pStyle w:val="BodyText"/>
        <w:spacing w:line="360" w:lineRule="auto" w:before="144"/>
        <w:ind w:left="119" w:right="113"/>
        <w:jc w:val="both"/>
      </w:pPr>
      <w:r>
        <w:rPr/>
        <w:t>El horizonte del proyecto (o vida útil), se decidió a cincoaños, en función a la vida útil de la inversión productiva esperada </w:t>
      </w:r>
      <w:r>
        <w:rPr>
          <w:spacing w:val="-3"/>
        </w:rPr>
        <w:t>más </w:t>
      </w:r>
      <w:r>
        <w:rPr/>
        <w:t>importante (Rodríguez </w:t>
      </w:r>
      <w:r>
        <w:rPr>
          <w:i/>
        </w:rPr>
        <w:t>et al</w:t>
      </w:r>
      <w:r>
        <w:rPr/>
        <w:t>., 2008), que es la planeación, diseño y estimación de costos de construcción de instalaciones para la engorda; al final del cual, </w:t>
      </w:r>
      <w:r>
        <w:rPr>
          <w:spacing w:val="-3"/>
        </w:rPr>
        <w:t>se </w:t>
      </w:r>
      <w:r>
        <w:rPr/>
        <w:t>supone que los activos tangibles alcanzarán </w:t>
      </w:r>
      <w:r>
        <w:rPr>
          <w:spacing w:val="-3"/>
        </w:rPr>
        <w:t>su </w:t>
      </w:r>
      <w:r>
        <w:rPr/>
        <w:t>valor residual, sin incluir el valor del</w:t>
      </w:r>
      <w:r>
        <w:rPr>
          <w:spacing w:val="-12"/>
        </w:rPr>
        <w:t> </w:t>
      </w:r>
      <w:r>
        <w:rPr/>
        <w:t>terreno.</w:t>
      </w:r>
    </w:p>
    <w:p>
      <w:pPr>
        <w:pStyle w:val="BodyText"/>
      </w:pPr>
    </w:p>
    <w:p>
      <w:pPr>
        <w:pStyle w:val="Heading2"/>
        <w:spacing w:before="174"/>
      </w:pPr>
      <w:bookmarkStart w:name="_bookmark40" w:id="53"/>
      <w:bookmarkEnd w:id="53"/>
      <w:r>
        <w:rPr>
          <w:b w:val="0"/>
        </w:rPr>
      </w:r>
      <w:r>
        <w:rPr/>
        <w:t>El año cero</w:t>
      </w:r>
    </w:p>
    <w:p>
      <w:pPr>
        <w:pStyle w:val="BodyText"/>
        <w:spacing w:before="7"/>
        <w:rPr>
          <w:b/>
          <w:sz w:val="38"/>
        </w:rPr>
      </w:pPr>
    </w:p>
    <w:p>
      <w:pPr>
        <w:pStyle w:val="BodyText"/>
        <w:spacing w:line="360" w:lineRule="auto"/>
        <w:ind w:left="119" w:right="111"/>
        <w:jc w:val="both"/>
      </w:pPr>
      <w:r>
        <w:rPr/>
        <w:t>El año cero, se consideró como el periodo de inversión inicial, capital de trabajo e imprevistos. Los valores residuales de activos tangibles y recuperación del capital de trabajo, se agregaron al saldo del flujo de caja del último año del horizonte de este proyecto. Sin embargo, será decisión del propietario y de la Sociedad del proyecto de continuar en la actividad, asumiendo decisiones futuras y nuevas necesidades de inversión.</w:t>
      </w:r>
    </w:p>
    <w:p>
      <w:pPr>
        <w:pStyle w:val="BodyText"/>
      </w:pPr>
    </w:p>
    <w:p>
      <w:pPr>
        <w:pStyle w:val="BodyText"/>
        <w:spacing w:line="360" w:lineRule="auto" w:before="144"/>
        <w:ind w:left="119" w:right="114"/>
        <w:jc w:val="both"/>
      </w:pPr>
      <w:r>
        <w:rPr/>
        <w:t>La distribución de superficies, fue de acuerdo al destino y orientación de cada una de ellas, y se hizo, prácticamente para la engorda y una bodega para el alimento. El  total de la superficie destinada ala engorda y demás requerimientos es 2,500 m</w:t>
      </w:r>
      <w:r>
        <w:rPr>
          <w:position w:val="8"/>
          <w:sz w:val="16"/>
        </w:rPr>
        <w:t>2 </w:t>
      </w:r>
      <w:r>
        <w:rPr/>
        <w:t>y un precio por metro cuadrado de</w:t>
      </w:r>
      <w:r>
        <w:rPr>
          <w:spacing w:val="-7"/>
        </w:rPr>
        <w:t> </w:t>
      </w:r>
      <w:r>
        <w:rPr/>
        <w:t>$250.0.</w:t>
      </w:r>
    </w:p>
    <w:p>
      <w:pPr>
        <w:spacing w:after="0" w:line="360" w:lineRule="auto"/>
        <w:jc w:val="both"/>
        <w:sectPr>
          <w:footerReference w:type="default" r:id="rId31"/>
          <w:pgSz w:w="12240" w:h="15840"/>
          <w:pgMar w:footer="1180" w:header="0" w:top="1360" w:bottom="1380" w:left="1580" w:right="1300"/>
          <w:pgNumType w:start="81"/>
        </w:sectPr>
      </w:pPr>
    </w:p>
    <w:p>
      <w:pPr>
        <w:pStyle w:val="BodyText"/>
        <w:spacing w:line="360" w:lineRule="auto" w:before="52"/>
        <w:ind w:left="179" w:right="168"/>
        <w:jc w:val="both"/>
      </w:pPr>
      <w:r>
        <w:rPr/>
        <w:t>Con relación a la estimación de inversión total inicial, el proyecto se evaluó bajo el método de </w:t>
      </w:r>
      <w:r>
        <w:rPr>
          <w:i/>
        </w:rPr>
        <w:t>producción constante y sin inflación </w:t>
      </w:r>
      <w:r>
        <w:rPr/>
        <w:t>(Rodríguez et al., 2008; Baca, 2010; Baca, 2013). El monto total determinado fue 1.36 millones de pesos (Cuadro 8), distribuido como sigue: 58.5% inversión fija o activos tangibles o inmovilizados, 0.5% en inversión diferida, 0.4% imprevistos y 40.6% como capital de trabajo. El capital de trabajo se determinó con base a un mes de costos totales de operación del primer periodo de inicio de la engorda comercial.</w:t>
      </w:r>
    </w:p>
    <w:p>
      <w:pPr>
        <w:pStyle w:val="BodyText"/>
      </w:pPr>
    </w:p>
    <w:p>
      <w:pPr>
        <w:pStyle w:val="BodyText"/>
        <w:spacing w:before="140"/>
        <w:ind w:left="179"/>
        <w:jc w:val="both"/>
      </w:pPr>
      <w:r>
        <w:rPr/>
        <w:t>Cuadro 8. Presupuesto de inversión total inicial (pesos).</w:t>
      </w:r>
    </w:p>
    <w:p>
      <w:pPr>
        <w:pStyle w:val="BodyText"/>
        <w:spacing w:before="7" w:after="1"/>
        <w:rPr>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74"/>
        <w:gridCol w:w="2671"/>
        <w:gridCol w:w="1323"/>
      </w:tblGrid>
      <w:tr>
        <w:trPr>
          <w:trHeight w:val="422" w:hRule="exact"/>
        </w:trPr>
        <w:tc>
          <w:tcPr>
            <w:tcW w:w="5274" w:type="dxa"/>
            <w:tcBorders>
              <w:left w:val="nil"/>
              <w:right w:val="nil"/>
            </w:tcBorders>
          </w:tcPr>
          <w:p>
            <w:pPr>
              <w:pStyle w:val="TableParagraph"/>
              <w:spacing w:line="272" w:lineRule="exact" w:before="0"/>
              <w:ind w:left="71"/>
              <w:jc w:val="left"/>
              <w:rPr>
                <w:sz w:val="24"/>
              </w:rPr>
            </w:pPr>
            <w:r>
              <w:rPr>
                <w:sz w:val="24"/>
              </w:rPr>
              <w:t>Concepto</w:t>
            </w:r>
          </w:p>
        </w:tc>
        <w:tc>
          <w:tcPr>
            <w:tcW w:w="2671" w:type="dxa"/>
            <w:tcBorders>
              <w:left w:val="nil"/>
              <w:right w:val="nil"/>
            </w:tcBorders>
          </w:tcPr>
          <w:p>
            <w:pPr>
              <w:pStyle w:val="TableParagraph"/>
              <w:spacing w:line="272" w:lineRule="exact" w:before="0"/>
              <w:ind w:right="436"/>
              <w:rPr>
                <w:sz w:val="24"/>
              </w:rPr>
            </w:pPr>
            <w:r>
              <w:rPr>
                <w:sz w:val="24"/>
              </w:rPr>
              <w:t>Monto ($)</w:t>
            </w:r>
          </w:p>
        </w:tc>
        <w:tc>
          <w:tcPr>
            <w:tcW w:w="1323" w:type="dxa"/>
            <w:tcBorders>
              <w:left w:val="nil"/>
              <w:right w:val="nil"/>
            </w:tcBorders>
          </w:tcPr>
          <w:p>
            <w:pPr>
              <w:pStyle w:val="TableParagraph"/>
              <w:spacing w:line="272" w:lineRule="exact" w:before="0"/>
              <w:ind w:right="67"/>
              <w:rPr>
                <w:sz w:val="24"/>
              </w:rPr>
            </w:pPr>
            <w:r>
              <w:rPr>
                <w:w w:val="99"/>
                <w:sz w:val="24"/>
              </w:rPr>
              <w:t>%</w:t>
            </w:r>
          </w:p>
        </w:tc>
      </w:tr>
      <w:tr>
        <w:trPr>
          <w:trHeight w:val="358" w:hRule="exact"/>
        </w:trPr>
        <w:tc>
          <w:tcPr>
            <w:tcW w:w="5274" w:type="dxa"/>
            <w:tcBorders>
              <w:left w:val="nil"/>
              <w:bottom w:val="nil"/>
              <w:right w:val="nil"/>
            </w:tcBorders>
          </w:tcPr>
          <w:p>
            <w:pPr>
              <w:pStyle w:val="TableParagraph"/>
              <w:spacing w:line="267" w:lineRule="exact" w:before="0"/>
              <w:ind w:left="71"/>
              <w:jc w:val="left"/>
              <w:rPr>
                <w:b/>
                <w:sz w:val="24"/>
              </w:rPr>
            </w:pPr>
            <w:r>
              <w:rPr>
                <w:b/>
                <w:sz w:val="24"/>
              </w:rPr>
              <w:t>A. Activos tangibles</w:t>
            </w:r>
          </w:p>
        </w:tc>
        <w:tc>
          <w:tcPr>
            <w:tcW w:w="2671" w:type="dxa"/>
            <w:tcBorders>
              <w:left w:val="nil"/>
              <w:bottom w:val="nil"/>
              <w:right w:val="nil"/>
            </w:tcBorders>
          </w:tcPr>
          <w:p>
            <w:pPr>
              <w:pStyle w:val="TableParagraph"/>
              <w:spacing w:line="267" w:lineRule="exact" w:before="0"/>
              <w:ind w:right="435"/>
              <w:rPr>
                <w:b/>
                <w:sz w:val="24"/>
              </w:rPr>
            </w:pPr>
            <w:r>
              <w:rPr>
                <w:b/>
                <w:sz w:val="24"/>
              </w:rPr>
              <w:t>728,750</w:t>
            </w:r>
          </w:p>
        </w:tc>
        <w:tc>
          <w:tcPr>
            <w:tcW w:w="1323" w:type="dxa"/>
            <w:tcBorders>
              <w:left w:val="nil"/>
              <w:bottom w:val="nil"/>
              <w:right w:val="nil"/>
            </w:tcBorders>
          </w:tcPr>
          <w:p>
            <w:pPr>
              <w:pStyle w:val="TableParagraph"/>
              <w:spacing w:line="272" w:lineRule="exact" w:before="0"/>
              <w:ind w:right="68"/>
              <w:rPr>
                <w:sz w:val="24"/>
              </w:rPr>
            </w:pPr>
            <w:r>
              <w:rPr>
                <w:sz w:val="24"/>
              </w:rPr>
              <w:t>58.5%</w:t>
            </w:r>
          </w:p>
        </w:tc>
      </w:tr>
      <w:tr>
        <w:trPr>
          <w:trHeight w:val="413" w:hRule="exact"/>
        </w:trPr>
        <w:tc>
          <w:tcPr>
            <w:tcW w:w="5274" w:type="dxa"/>
            <w:tcBorders>
              <w:top w:val="nil"/>
              <w:left w:val="nil"/>
              <w:bottom w:val="nil"/>
              <w:right w:val="nil"/>
            </w:tcBorders>
          </w:tcPr>
          <w:p>
            <w:pPr>
              <w:pStyle w:val="TableParagraph"/>
              <w:spacing w:before="56"/>
              <w:ind w:left="71"/>
              <w:jc w:val="left"/>
              <w:rPr>
                <w:sz w:val="24"/>
              </w:rPr>
            </w:pPr>
            <w:r>
              <w:rPr>
                <w:sz w:val="24"/>
              </w:rPr>
              <w:t>Terreno</w:t>
            </w:r>
          </w:p>
        </w:tc>
        <w:tc>
          <w:tcPr>
            <w:tcW w:w="2671" w:type="dxa"/>
            <w:tcBorders>
              <w:top w:val="nil"/>
              <w:left w:val="nil"/>
              <w:bottom w:val="nil"/>
              <w:right w:val="nil"/>
            </w:tcBorders>
          </w:tcPr>
          <w:p>
            <w:pPr>
              <w:pStyle w:val="TableParagraph"/>
              <w:spacing w:before="56"/>
              <w:ind w:right="435"/>
              <w:rPr>
                <w:sz w:val="24"/>
              </w:rPr>
            </w:pPr>
            <w:r>
              <w:rPr>
                <w:sz w:val="24"/>
              </w:rPr>
              <w:t>625,000</w:t>
            </w:r>
          </w:p>
        </w:tc>
        <w:tc>
          <w:tcPr>
            <w:tcW w:w="1323" w:type="dxa"/>
            <w:tcBorders>
              <w:top w:val="nil"/>
              <w:left w:val="nil"/>
              <w:bottom w:val="nil"/>
              <w:right w:val="nil"/>
            </w:tcBorders>
          </w:tcPr>
          <w:p>
            <w:pPr>
              <w:pStyle w:val="TableParagraph"/>
              <w:spacing w:before="56"/>
              <w:ind w:right="68"/>
              <w:rPr>
                <w:sz w:val="24"/>
              </w:rPr>
            </w:pPr>
            <w:r>
              <w:rPr>
                <w:sz w:val="24"/>
              </w:rPr>
              <w:t>50.2%</w:t>
            </w:r>
          </w:p>
        </w:tc>
      </w:tr>
      <w:tr>
        <w:trPr>
          <w:trHeight w:val="415" w:hRule="exact"/>
        </w:trPr>
        <w:tc>
          <w:tcPr>
            <w:tcW w:w="5274" w:type="dxa"/>
            <w:tcBorders>
              <w:top w:val="nil"/>
              <w:left w:val="nil"/>
              <w:bottom w:val="nil"/>
              <w:right w:val="nil"/>
            </w:tcBorders>
          </w:tcPr>
          <w:p>
            <w:pPr>
              <w:pStyle w:val="TableParagraph"/>
              <w:ind w:left="71"/>
              <w:jc w:val="left"/>
              <w:rPr>
                <w:sz w:val="24"/>
              </w:rPr>
            </w:pPr>
            <w:r>
              <w:rPr>
                <w:sz w:val="24"/>
              </w:rPr>
              <w:t>Obra civil</w:t>
            </w:r>
          </w:p>
        </w:tc>
        <w:tc>
          <w:tcPr>
            <w:tcW w:w="2671" w:type="dxa"/>
            <w:tcBorders>
              <w:top w:val="nil"/>
              <w:left w:val="nil"/>
              <w:bottom w:val="nil"/>
              <w:right w:val="nil"/>
            </w:tcBorders>
          </w:tcPr>
          <w:p>
            <w:pPr>
              <w:pStyle w:val="TableParagraph"/>
              <w:ind w:right="435"/>
              <w:rPr>
                <w:sz w:val="24"/>
              </w:rPr>
            </w:pPr>
            <w:r>
              <w:rPr>
                <w:sz w:val="24"/>
              </w:rPr>
              <w:t>13,000</w:t>
            </w:r>
          </w:p>
        </w:tc>
        <w:tc>
          <w:tcPr>
            <w:tcW w:w="1323" w:type="dxa"/>
            <w:tcBorders>
              <w:top w:val="nil"/>
              <w:left w:val="nil"/>
              <w:bottom w:val="nil"/>
              <w:right w:val="nil"/>
            </w:tcBorders>
          </w:tcPr>
          <w:p>
            <w:pPr>
              <w:pStyle w:val="TableParagraph"/>
              <w:ind w:right="68"/>
              <w:rPr>
                <w:sz w:val="24"/>
              </w:rPr>
            </w:pPr>
            <w:r>
              <w:rPr>
                <w:sz w:val="24"/>
              </w:rPr>
              <w:t>1.0%</w:t>
            </w:r>
          </w:p>
        </w:tc>
      </w:tr>
      <w:tr>
        <w:trPr>
          <w:trHeight w:val="415" w:hRule="exact"/>
        </w:trPr>
        <w:tc>
          <w:tcPr>
            <w:tcW w:w="5274" w:type="dxa"/>
            <w:tcBorders>
              <w:top w:val="nil"/>
              <w:left w:val="nil"/>
              <w:bottom w:val="nil"/>
              <w:right w:val="nil"/>
            </w:tcBorders>
          </w:tcPr>
          <w:p>
            <w:pPr>
              <w:pStyle w:val="TableParagraph"/>
              <w:spacing w:before="58"/>
              <w:ind w:left="71"/>
              <w:jc w:val="left"/>
              <w:rPr>
                <w:sz w:val="24"/>
              </w:rPr>
            </w:pPr>
            <w:r>
              <w:rPr>
                <w:sz w:val="24"/>
              </w:rPr>
              <w:t>Corral de engorda</w:t>
            </w:r>
          </w:p>
        </w:tc>
        <w:tc>
          <w:tcPr>
            <w:tcW w:w="2671" w:type="dxa"/>
            <w:tcBorders>
              <w:top w:val="nil"/>
              <w:left w:val="nil"/>
              <w:bottom w:val="nil"/>
              <w:right w:val="nil"/>
            </w:tcBorders>
          </w:tcPr>
          <w:p>
            <w:pPr>
              <w:pStyle w:val="TableParagraph"/>
              <w:spacing w:before="58"/>
              <w:ind w:right="434"/>
              <w:rPr>
                <w:sz w:val="24"/>
              </w:rPr>
            </w:pPr>
            <w:r>
              <w:rPr>
                <w:sz w:val="24"/>
              </w:rPr>
              <w:t>3,000</w:t>
            </w:r>
          </w:p>
        </w:tc>
        <w:tc>
          <w:tcPr>
            <w:tcW w:w="1323" w:type="dxa"/>
            <w:tcBorders>
              <w:top w:val="nil"/>
              <w:left w:val="nil"/>
              <w:bottom w:val="nil"/>
              <w:right w:val="nil"/>
            </w:tcBorders>
          </w:tcPr>
          <w:p>
            <w:pPr>
              <w:pStyle w:val="TableParagraph"/>
              <w:spacing w:before="58"/>
              <w:ind w:right="68"/>
              <w:rPr>
                <w:sz w:val="24"/>
              </w:rPr>
            </w:pPr>
            <w:r>
              <w:rPr>
                <w:sz w:val="24"/>
              </w:rPr>
              <w:t>0.2%</w:t>
            </w:r>
          </w:p>
        </w:tc>
      </w:tr>
      <w:tr>
        <w:trPr>
          <w:trHeight w:val="413" w:hRule="exact"/>
        </w:trPr>
        <w:tc>
          <w:tcPr>
            <w:tcW w:w="5274" w:type="dxa"/>
            <w:tcBorders>
              <w:top w:val="nil"/>
              <w:left w:val="nil"/>
              <w:bottom w:val="nil"/>
              <w:right w:val="nil"/>
            </w:tcBorders>
          </w:tcPr>
          <w:p>
            <w:pPr>
              <w:pStyle w:val="TableParagraph"/>
              <w:ind w:left="71"/>
              <w:jc w:val="left"/>
              <w:rPr>
                <w:sz w:val="24"/>
              </w:rPr>
            </w:pPr>
            <w:r>
              <w:rPr>
                <w:sz w:val="24"/>
              </w:rPr>
              <w:t>Equipo de operación</w:t>
            </w:r>
          </w:p>
        </w:tc>
        <w:tc>
          <w:tcPr>
            <w:tcW w:w="2671" w:type="dxa"/>
            <w:tcBorders>
              <w:top w:val="nil"/>
              <w:left w:val="nil"/>
              <w:bottom w:val="nil"/>
              <w:right w:val="nil"/>
            </w:tcBorders>
          </w:tcPr>
          <w:p>
            <w:pPr>
              <w:pStyle w:val="TableParagraph"/>
              <w:ind w:right="434"/>
              <w:rPr>
                <w:sz w:val="24"/>
              </w:rPr>
            </w:pPr>
            <w:r>
              <w:rPr>
                <w:sz w:val="24"/>
              </w:rPr>
              <w:t>7,750</w:t>
            </w:r>
          </w:p>
        </w:tc>
        <w:tc>
          <w:tcPr>
            <w:tcW w:w="1323" w:type="dxa"/>
            <w:tcBorders>
              <w:top w:val="nil"/>
              <w:left w:val="nil"/>
              <w:bottom w:val="nil"/>
              <w:right w:val="nil"/>
            </w:tcBorders>
          </w:tcPr>
          <w:p>
            <w:pPr>
              <w:pStyle w:val="TableParagraph"/>
              <w:ind w:right="68"/>
              <w:rPr>
                <w:sz w:val="24"/>
              </w:rPr>
            </w:pPr>
            <w:r>
              <w:rPr>
                <w:sz w:val="24"/>
              </w:rPr>
              <w:t>0.6%</w:t>
            </w:r>
          </w:p>
        </w:tc>
      </w:tr>
      <w:tr>
        <w:trPr>
          <w:trHeight w:val="411" w:hRule="exact"/>
        </w:trPr>
        <w:tc>
          <w:tcPr>
            <w:tcW w:w="5274" w:type="dxa"/>
            <w:tcBorders>
              <w:top w:val="nil"/>
              <w:left w:val="nil"/>
              <w:bottom w:val="nil"/>
              <w:right w:val="nil"/>
            </w:tcBorders>
          </w:tcPr>
          <w:p>
            <w:pPr>
              <w:pStyle w:val="TableParagraph"/>
              <w:spacing w:before="56"/>
              <w:ind w:left="71"/>
              <w:jc w:val="left"/>
              <w:rPr>
                <w:sz w:val="24"/>
              </w:rPr>
            </w:pPr>
            <w:r>
              <w:rPr>
                <w:sz w:val="24"/>
              </w:rPr>
              <w:t>Equipo de transporte</w:t>
            </w:r>
          </w:p>
        </w:tc>
        <w:tc>
          <w:tcPr>
            <w:tcW w:w="2671" w:type="dxa"/>
            <w:tcBorders>
              <w:top w:val="nil"/>
              <w:left w:val="nil"/>
              <w:bottom w:val="nil"/>
              <w:right w:val="nil"/>
            </w:tcBorders>
          </w:tcPr>
          <w:p>
            <w:pPr>
              <w:pStyle w:val="TableParagraph"/>
              <w:spacing w:before="56"/>
              <w:ind w:right="435"/>
              <w:rPr>
                <w:sz w:val="24"/>
              </w:rPr>
            </w:pPr>
            <w:r>
              <w:rPr>
                <w:sz w:val="24"/>
              </w:rPr>
              <w:t>80,000</w:t>
            </w:r>
          </w:p>
        </w:tc>
        <w:tc>
          <w:tcPr>
            <w:tcW w:w="1323" w:type="dxa"/>
            <w:tcBorders>
              <w:top w:val="nil"/>
              <w:left w:val="nil"/>
              <w:bottom w:val="nil"/>
              <w:right w:val="nil"/>
            </w:tcBorders>
          </w:tcPr>
          <w:p>
            <w:pPr>
              <w:pStyle w:val="TableParagraph"/>
              <w:spacing w:before="56"/>
              <w:ind w:right="68"/>
              <w:rPr>
                <w:sz w:val="24"/>
              </w:rPr>
            </w:pPr>
            <w:r>
              <w:rPr>
                <w:sz w:val="24"/>
              </w:rPr>
              <w:t>6.4%</w:t>
            </w:r>
          </w:p>
        </w:tc>
      </w:tr>
      <w:tr>
        <w:trPr>
          <w:trHeight w:val="418" w:hRule="exact"/>
        </w:trPr>
        <w:tc>
          <w:tcPr>
            <w:tcW w:w="5274" w:type="dxa"/>
            <w:tcBorders>
              <w:top w:val="nil"/>
              <w:left w:val="nil"/>
              <w:bottom w:val="nil"/>
              <w:right w:val="nil"/>
            </w:tcBorders>
          </w:tcPr>
          <w:p>
            <w:pPr>
              <w:pStyle w:val="TableParagraph"/>
              <w:spacing w:before="53"/>
              <w:ind w:left="71"/>
              <w:jc w:val="left"/>
              <w:rPr>
                <w:b/>
                <w:sz w:val="24"/>
              </w:rPr>
            </w:pPr>
            <w:r>
              <w:rPr>
                <w:b/>
                <w:sz w:val="24"/>
              </w:rPr>
              <w:t>B. Activos intangibles</w:t>
            </w:r>
          </w:p>
        </w:tc>
        <w:tc>
          <w:tcPr>
            <w:tcW w:w="2671" w:type="dxa"/>
            <w:tcBorders>
              <w:top w:val="nil"/>
              <w:left w:val="nil"/>
              <w:bottom w:val="nil"/>
              <w:right w:val="nil"/>
            </w:tcBorders>
          </w:tcPr>
          <w:p>
            <w:pPr>
              <w:pStyle w:val="TableParagraph"/>
              <w:spacing w:before="53"/>
              <w:ind w:right="434"/>
              <w:rPr>
                <w:b/>
                <w:sz w:val="24"/>
              </w:rPr>
            </w:pPr>
            <w:r>
              <w:rPr>
                <w:b/>
                <w:sz w:val="24"/>
              </w:rPr>
              <w:t>6,600</w:t>
            </w:r>
          </w:p>
        </w:tc>
        <w:tc>
          <w:tcPr>
            <w:tcW w:w="1323" w:type="dxa"/>
            <w:tcBorders>
              <w:top w:val="nil"/>
              <w:left w:val="nil"/>
              <w:bottom w:val="nil"/>
              <w:right w:val="nil"/>
            </w:tcBorders>
          </w:tcPr>
          <w:p>
            <w:pPr>
              <w:pStyle w:val="TableParagraph"/>
              <w:spacing w:before="58"/>
              <w:ind w:right="68"/>
              <w:rPr>
                <w:sz w:val="24"/>
              </w:rPr>
            </w:pPr>
            <w:r>
              <w:rPr>
                <w:sz w:val="24"/>
              </w:rPr>
              <w:t>0.5%</w:t>
            </w:r>
          </w:p>
        </w:tc>
      </w:tr>
      <w:tr>
        <w:trPr>
          <w:trHeight w:val="415" w:hRule="exact"/>
        </w:trPr>
        <w:tc>
          <w:tcPr>
            <w:tcW w:w="5274" w:type="dxa"/>
            <w:tcBorders>
              <w:top w:val="nil"/>
              <w:left w:val="nil"/>
              <w:bottom w:val="nil"/>
              <w:right w:val="nil"/>
            </w:tcBorders>
          </w:tcPr>
          <w:p>
            <w:pPr>
              <w:pStyle w:val="TableParagraph"/>
              <w:spacing w:before="58"/>
              <w:ind w:left="71"/>
              <w:jc w:val="left"/>
              <w:rPr>
                <w:sz w:val="24"/>
              </w:rPr>
            </w:pPr>
            <w:r>
              <w:rPr>
                <w:sz w:val="24"/>
              </w:rPr>
              <w:t>Acondicionamiento del terreno</w:t>
            </w:r>
          </w:p>
        </w:tc>
        <w:tc>
          <w:tcPr>
            <w:tcW w:w="2671" w:type="dxa"/>
            <w:tcBorders>
              <w:top w:val="nil"/>
              <w:left w:val="nil"/>
              <w:bottom w:val="nil"/>
              <w:right w:val="nil"/>
            </w:tcBorders>
          </w:tcPr>
          <w:p>
            <w:pPr>
              <w:pStyle w:val="TableParagraph"/>
              <w:spacing w:before="58"/>
              <w:ind w:right="432"/>
              <w:rPr>
                <w:sz w:val="24"/>
              </w:rPr>
            </w:pPr>
            <w:r>
              <w:rPr>
                <w:w w:val="95"/>
                <w:sz w:val="24"/>
              </w:rPr>
              <w:t>600</w:t>
            </w:r>
          </w:p>
        </w:tc>
        <w:tc>
          <w:tcPr>
            <w:tcW w:w="1323" w:type="dxa"/>
            <w:tcBorders>
              <w:top w:val="nil"/>
              <w:left w:val="nil"/>
              <w:bottom w:val="nil"/>
              <w:right w:val="nil"/>
            </w:tcBorders>
          </w:tcPr>
          <w:p>
            <w:pPr>
              <w:pStyle w:val="TableParagraph"/>
              <w:spacing w:before="58"/>
              <w:ind w:right="68"/>
              <w:rPr>
                <w:sz w:val="24"/>
              </w:rPr>
            </w:pPr>
            <w:r>
              <w:rPr>
                <w:sz w:val="24"/>
              </w:rPr>
              <w:t>0.0%</w:t>
            </w:r>
          </w:p>
        </w:tc>
      </w:tr>
      <w:tr>
        <w:trPr>
          <w:trHeight w:val="413" w:hRule="exact"/>
        </w:trPr>
        <w:tc>
          <w:tcPr>
            <w:tcW w:w="5274" w:type="dxa"/>
            <w:tcBorders>
              <w:top w:val="nil"/>
              <w:left w:val="nil"/>
              <w:bottom w:val="nil"/>
              <w:right w:val="nil"/>
            </w:tcBorders>
          </w:tcPr>
          <w:p>
            <w:pPr>
              <w:pStyle w:val="TableParagraph"/>
              <w:ind w:left="71"/>
              <w:jc w:val="left"/>
              <w:rPr>
                <w:sz w:val="24"/>
              </w:rPr>
            </w:pPr>
            <w:r>
              <w:rPr>
                <w:sz w:val="24"/>
              </w:rPr>
              <w:t>Gastos diversos de puesta en marcha</w:t>
            </w:r>
          </w:p>
        </w:tc>
        <w:tc>
          <w:tcPr>
            <w:tcW w:w="2671" w:type="dxa"/>
            <w:tcBorders>
              <w:top w:val="nil"/>
              <w:left w:val="nil"/>
              <w:bottom w:val="nil"/>
              <w:right w:val="nil"/>
            </w:tcBorders>
          </w:tcPr>
          <w:p>
            <w:pPr>
              <w:pStyle w:val="TableParagraph"/>
              <w:ind w:right="434"/>
              <w:rPr>
                <w:sz w:val="24"/>
              </w:rPr>
            </w:pPr>
            <w:r>
              <w:rPr>
                <w:sz w:val="24"/>
              </w:rPr>
              <w:t>1,000</w:t>
            </w:r>
          </w:p>
        </w:tc>
        <w:tc>
          <w:tcPr>
            <w:tcW w:w="1323" w:type="dxa"/>
            <w:tcBorders>
              <w:top w:val="nil"/>
              <w:left w:val="nil"/>
              <w:bottom w:val="nil"/>
              <w:right w:val="nil"/>
            </w:tcBorders>
          </w:tcPr>
          <w:p>
            <w:pPr>
              <w:pStyle w:val="TableParagraph"/>
              <w:ind w:right="68"/>
              <w:rPr>
                <w:sz w:val="24"/>
              </w:rPr>
            </w:pPr>
            <w:r>
              <w:rPr>
                <w:sz w:val="24"/>
              </w:rPr>
              <w:t>0.1%</w:t>
            </w:r>
          </w:p>
        </w:tc>
      </w:tr>
      <w:tr>
        <w:trPr>
          <w:trHeight w:val="411" w:hRule="exact"/>
        </w:trPr>
        <w:tc>
          <w:tcPr>
            <w:tcW w:w="5274" w:type="dxa"/>
            <w:tcBorders>
              <w:top w:val="nil"/>
              <w:left w:val="nil"/>
              <w:bottom w:val="nil"/>
              <w:right w:val="nil"/>
            </w:tcBorders>
          </w:tcPr>
          <w:p>
            <w:pPr>
              <w:pStyle w:val="TableParagraph"/>
              <w:spacing w:before="56"/>
              <w:ind w:left="71"/>
              <w:jc w:val="left"/>
              <w:rPr>
                <w:sz w:val="24"/>
              </w:rPr>
            </w:pPr>
            <w:r>
              <w:rPr>
                <w:sz w:val="24"/>
              </w:rPr>
              <w:t>Elaboración del proyecto</w:t>
            </w:r>
          </w:p>
        </w:tc>
        <w:tc>
          <w:tcPr>
            <w:tcW w:w="2671" w:type="dxa"/>
            <w:tcBorders>
              <w:top w:val="nil"/>
              <w:left w:val="nil"/>
              <w:bottom w:val="nil"/>
              <w:right w:val="nil"/>
            </w:tcBorders>
          </w:tcPr>
          <w:p>
            <w:pPr>
              <w:pStyle w:val="TableParagraph"/>
              <w:spacing w:before="56"/>
              <w:ind w:right="434"/>
              <w:rPr>
                <w:sz w:val="24"/>
              </w:rPr>
            </w:pPr>
            <w:r>
              <w:rPr>
                <w:sz w:val="24"/>
              </w:rPr>
              <w:t>5,000</w:t>
            </w:r>
          </w:p>
        </w:tc>
        <w:tc>
          <w:tcPr>
            <w:tcW w:w="1323" w:type="dxa"/>
            <w:tcBorders>
              <w:top w:val="nil"/>
              <w:left w:val="nil"/>
              <w:bottom w:val="nil"/>
              <w:right w:val="nil"/>
            </w:tcBorders>
          </w:tcPr>
          <w:p>
            <w:pPr>
              <w:pStyle w:val="TableParagraph"/>
              <w:spacing w:before="56"/>
              <w:ind w:right="68"/>
              <w:rPr>
                <w:sz w:val="24"/>
              </w:rPr>
            </w:pPr>
            <w:r>
              <w:rPr>
                <w:sz w:val="24"/>
              </w:rPr>
              <w:t>0.4%</w:t>
            </w:r>
          </w:p>
        </w:tc>
      </w:tr>
      <w:tr>
        <w:trPr>
          <w:trHeight w:val="415" w:hRule="exact"/>
        </w:trPr>
        <w:tc>
          <w:tcPr>
            <w:tcW w:w="5274" w:type="dxa"/>
            <w:tcBorders>
              <w:top w:val="nil"/>
              <w:left w:val="nil"/>
              <w:bottom w:val="nil"/>
              <w:right w:val="nil"/>
            </w:tcBorders>
          </w:tcPr>
          <w:p>
            <w:pPr>
              <w:pStyle w:val="TableParagraph"/>
              <w:spacing w:before="53"/>
              <w:ind w:left="71"/>
              <w:jc w:val="left"/>
              <w:rPr>
                <w:b/>
                <w:sz w:val="24"/>
              </w:rPr>
            </w:pPr>
            <w:r>
              <w:rPr>
                <w:b/>
                <w:sz w:val="24"/>
              </w:rPr>
              <w:t>C. Capital de Trabajo</w:t>
            </w:r>
          </w:p>
        </w:tc>
        <w:tc>
          <w:tcPr>
            <w:tcW w:w="2671" w:type="dxa"/>
            <w:tcBorders>
              <w:top w:val="nil"/>
              <w:left w:val="nil"/>
              <w:bottom w:val="nil"/>
              <w:right w:val="nil"/>
            </w:tcBorders>
          </w:tcPr>
          <w:p>
            <w:pPr>
              <w:pStyle w:val="TableParagraph"/>
              <w:spacing w:before="53"/>
              <w:ind w:right="435"/>
              <w:rPr>
                <w:b/>
                <w:sz w:val="24"/>
              </w:rPr>
            </w:pPr>
            <w:r>
              <w:rPr>
                <w:b/>
                <w:sz w:val="24"/>
              </w:rPr>
              <w:t>505,312</w:t>
            </w:r>
          </w:p>
        </w:tc>
        <w:tc>
          <w:tcPr>
            <w:tcW w:w="1323" w:type="dxa"/>
            <w:tcBorders>
              <w:top w:val="nil"/>
              <w:left w:val="nil"/>
              <w:bottom w:val="nil"/>
              <w:right w:val="nil"/>
            </w:tcBorders>
          </w:tcPr>
          <w:p>
            <w:pPr>
              <w:pStyle w:val="TableParagraph"/>
              <w:spacing w:before="58"/>
              <w:ind w:right="68"/>
              <w:rPr>
                <w:sz w:val="24"/>
              </w:rPr>
            </w:pPr>
            <w:r>
              <w:rPr>
                <w:sz w:val="24"/>
              </w:rPr>
              <w:t>40.6%</w:t>
            </w:r>
          </w:p>
        </w:tc>
      </w:tr>
      <w:tr>
        <w:trPr>
          <w:trHeight w:val="415" w:hRule="exact"/>
        </w:trPr>
        <w:tc>
          <w:tcPr>
            <w:tcW w:w="5274" w:type="dxa"/>
            <w:tcBorders>
              <w:top w:val="nil"/>
              <w:left w:val="nil"/>
              <w:bottom w:val="nil"/>
              <w:right w:val="nil"/>
            </w:tcBorders>
          </w:tcPr>
          <w:p>
            <w:pPr>
              <w:pStyle w:val="TableParagraph"/>
              <w:ind w:left="71"/>
              <w:jc w:val="left"/>
              <w:rPr>
                <w:b/>
                <w:sz w:val="24"/>
              </w:rPr>
            </w:pPr>
            <w:r>
              <w:rPr>
                <w:b/>
                <w:sz w:val="24"/>
              </w:rPr>
              <w:t>D. Imprevistos</w:t>
            </w:r>
          </w:p>
        </w:tc>
        <w:tc>
          <w:tcPr>
            <w:tcW w:w="2671" w:type="dxa"/>
            <w:tcBorders>
              <w:top w:val="nil"/>
              <w:left w:val="nil"/>
              <w:bottom w:val="nil"/>
              <w:right w:val="nil"/>
            </w:tcBorders>
          </w:tcPr>
          <w:p>
            <w:pPr>
              <w:pStyle w:val="TableParagraph"/>
              <w:ind w:right="434"/>
              <w:rPr>
                <w:b/>
                <w:sz w:val="24"/>
              </w:rPr>
            </w:pPr>
            <w:r>
              <w:rPr>
                <w:b/>
                <w:sz w:val="24"/>
              </w:rPr>
              <w:t>5,000</w:t>
            </w:r>
          </w:p>
        </w:tc>
        <w:tc>
          <w:tcPr>
            <w:tcW w:w="1323" w:type="dxa"/>
            <w:tcBorders>
              <w:top w:val="nil"/>
              <w:left w:val="nil"/>
              <w:bottom w:val="nil"/>
              <w:right w:val="nil"/>
            </w:tcBorders>
          </w:tcPr>
          <w:p>
            <w:pPr>
              <w:pStyle w:val="TableParagraph"/>
              <w:spacing w:before="60"/>
              <w:ind w:right="68"/>
              <w:rPr>
                <w:sz w:val="24"/>
              </w:rPr>
            </w:pPr>
            <w:r>
              <w:rPr>
                <w:sz w:val="24"/>
              </w:rPr>
              <w:t>0.4%</w:t>
            </w:r>
          </w:p>
        </w:tc>
      </w:tr>
      <w:tr>
        <w:trPr>
          <w:trHeight w:val="481" w:hRule="exact"/>
        </w:trPr>
        <w:tc>
          <w:tcPr>
            <w:tcW w:w="5274" w:type="dxa"/>
            <w:tcBorders>
              <w:top w:val="nil"/>
              <w:left w:val="nil"/>
              <w:right w:val="nil"/>
            </w:tcBorders>
          </w:tcPr>
          <w:p>
            <w:pPr>
              <w:pStyle w:val="TableParagraph"/>
              <w:spacing w:before="53"/>
              <w:ind w:left="71"/>
              <w:jc w:val="left"/>
              <w:rPr>
                <w:b/>
                <w:sz w:val="24"/>
              </w:rPr>
            </w:pPr>
            <w:r>
              <w:rPr>
                <w:b/>
                <w:sz w:val="24"/>
              </w:rPr>
              <w:t>Total</w:t>
            </w:r>
          </w:p>
        </w:tc>
        <w:tc>
          <w:tcPr>
            <w:tcW w:w="2671" w:type="dxa"/>
            <w:tcBorders>
              <w:top w:val="nil"/>
              <w:left w:val="nil"/>
              <w:right w:val="nil"/>
            </w:tcBorders>
          </w:tcPr>
          <w:p>
            <w:pPr>
              <w:pStyle w:val="TableParagraph"/>
              <w:spacing w:before="53"/>
              <w:ind w:right="435"/>
              <w:rPr>
                <w:b/>
                <w:sz w:val="24"/>
              </w:rPr>
            </w:pPr>
            <w:r>
              <w:rPr>
                <w:b/>
                <w:sz w:val="24"/>
              </w:rPr>
              <w:t>1,245,662</w:t>
            </w:r>
          </w:p>
        </w:tc>
        <w:tc>
          <w:tcPr>
            <w:tcW w:w="1323" w:type="dxa"/>
            <w:tcBorders>
              <w:top w:val="nil"/>
              <w:left w:val="nil"/>
              <w:right w:val="nil"/>
            </w:tcBorders>
          </w:tcPr>
          <w:p>
            <w:pPr>
              <w:pStyle w:val="TableParagraph"/>
              <w:spacing w:before="58"/>
              <w:ind w:right="68"/>
              <w:rPr>
                <w:sz w:val="24"/>
              </w:rPr>
            </w:pPr>
            <w:r>
              <w:rPr>
                <w:sz w:val="24"/>
              </w:rPr>
              <w:t>100.0%</w:t>
            </w:r>
          </w:p>
        </w:tc>
      </w:tr>
    </w:tbl>
    <w:p>
      <w:pPr>
        <w:spacing w:line="225" w:lineRule="exact" w:before="0"/>
        <w:ind w:left="179" w:right="0" w:firstLine="0"/>
        <w:jc w:val="both"/>
        <w:rPr>
          <w:sz w:val="20"/>
        </w:rPr>
      </w:pPr>
      <w:r>
        <w:rPr>
          <w:sz w:val="20"/>
        </w:rPr>
        <w:t>Elaboración propia.</w:t>
      </w:r>
    </w:p>
    <w:p>
      <w:pPr>
        <w:pStyle w:val="BodyText"/>
        <w:rPr>
          <w:sz w:val="20"/>
        </w:rPr>
      </w:pPr>
    </w:p>
    <w:p>
      <w:pPr>
        <w:pStyle w:val="BodyText"/>
        <w:rPr>
          <w:sz w:val="26"/>
        </w:rPr>
      </w:pPr>
    </w:p>
    <w:p>
      <w:pPr>
        <w:pStyle w:val="BodyText"/>
        <w:spacing w:line="360" w:lineRule="auto"/>
        <w:ind w:left="179" w:right="182"/>
        <w:jc w:val="both"/>
      </w:pPr>
      <w:r>
        <w:rPr/>
        <w:t>En la estimación de la pérdida de valor de tangibles, por el uso y paso del tiempo (depreciación), se utilizó el método de </w:t>
      </w:r>
      <w:r>
        <w:rPr>
          <w:i/>
        </w:rPr>
        <w:t>línea recta</w:t>
      </w:r>
      <w:r>
        <w:rPr/>
        <w:t>, como el único aprobado en México para fines fiscales (Díaz y Aguilera, 2008). En consecuencia, la estimación de valores residuales de tangibles e intangibles (Baca, 2012; Rebollar y Jaramillo, 2012),  precisó del conocimiento del valor de la depreciación acumulada al horizonte del proyecto y valor inicial de intangibles (Cuadro</w:t>
      </w:r>
      <w:r>
        <w:rPr>
          <w:spacing w:val="-11"/>
        </w:rPr>
        <w:t> </w:t>
      </w:r>
      <w:r>
        <w:rPr/>
        <w:t>9).</w:t>
      </w:r>
    </w:p>
    <w:p>
      <w:pPr>
        <w:spacing w:after="0" w:line="360" w:lineRule="auto"/>
        <w:jc w:val="both"/>
        <w:sectPr>
          <w:pgSz w:w="12240" w:h="15840"/>
          <w:pgMar w:header="0" w:footer="1180" w:top="1360" w:bottom="1380" w:left="1520" w:right="1240"/>
        </w:sectPr>
      </w:pPr>
    </w:p>
    <w:p>
      <w:pPr>
        <w:pStyle w:val="BodyText"/>
        <w:spacing w:before="7"/>
        <w:rPr>
          <w:sz w:val="22"/>
        </w:rPr>
      </w:pPr>
    </w:p>
    <w:p>
      <w:pPr>
        <w:pStyle w:val="BodyText"/>
        <w:spacing w:line="360" w:lineRule="auto" w:before="69"/>
        <w:ind w:left="179" w:right="176"/>
        <w:jc w:val="both"/>
      </w:pPr>
      <w:r>
        <w:rPr/>
        <w:t>Así, el valor residual total al final del horizonte o vida útil del proyecto del rastro TIF, que se consideró en la evaluación fue 694,113.0millones de pesos. Se tomó la decisión de no realizar reinversiones en activos tangibles, que se deprecian antes del horizonte del proyecto, debido a que se utilizarán hasta que tengan un valor de desecho, en su caso, valor de salvamento, de cero pesos; esto es, que se agoten completamente.</w:t>
      </w:r>
    </w:p>
    <w:p>
      <w:pPr>
        <w:pStyle w:val="BodyText"/>
      </w:pPr>
    </w:p>
    <w:p>
      <w:pPr>
        <w:pStyle w:val="BodyText"/>
        <w:spacing w:line="362" w:lineRule="auto" w:before="140" w:after="4"/>
        <w:ind w:left="890" w:right="185" w:hanging="711"/>
      </w:pPr>
      <w:r>
        <w:rPr/>
        <w:t>Cuadro 9. Estimaciones de valores residuales*, por año, de la inversión tangible e intangible.</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1"/>
        <w:gridCol w:w="1447"/>
        <w:gridCol w:w="1337"/>
        <w:gridCol w:w="1337"/>
        <w:gridCol w:w="1337"/>
        <w:gridCol w:w="1168"/>
      </w:tblGrid>
      <w:tr>
        <w:trPr>
          <w:trHeight w:val="423" w:hRule="exact"/>
        </w:trPr>
        <w:tc>
          <w:tcPr>
            <w:tcW w:w="2641" w:type="dxa"/>
            <w:tcBorders>
              <w:left w:val="nil"/>
              <w:right w:val="nil"/>
            </w:tcBorders>
          </w:tcPr>
          <w:p>
            <w:pPr>
              <w:pStyle w:val="TableParagraph"/>
              <w:spacing w:line="272" w:lineRule="exact" w:before="0"/>
              <w:ind w:left="71"/>
              <w:jc w:val="left"/>
              <w:rPr>
                <w:sz w:val="24"/>
              </w:rPr>
            </w:pPr>
            <w:r>
              <w:rPr>
                <w:sz w:val="24"/>
              </w:rPr>
              <w:t>Concepto</w:t>
            </w:r>
          </w:p>
        </w:tc>
        <w:tc>
          <w:tcPr>
            <w:tcW w:w="1447" w:type="dxa"/>
            <w:tcBorders>
              <w:left w:val="nil"/>
              <w:right w:val="nil"/>
            </w:tcBorders>
          </w:tcPr>
          <w:p>
            <w:pPr>
              <w:pStyle w:val="TableParagraph"/>
              <w:spacing w:line="272" w:lineRule="exact" w:before="0"/>
              <w:ind w:right="235"/>
              <w:rPr>
                <w:sz w:val="24"/>
              </w:rPr>
            </w:pPr>
            <w:r>
              <w:rPr>
                <w:w w:val="99"/>
                <w:sz w:val="24"/>
              </w:rPr>
              <w:t>1</w:t>
            </w:r>
          </w:p>
        </w:tc>
        <w:tc>
          <w:tcPr>
            <w:tcW w:w="1337" w:type="dxa"/>
            <w:tcBorders>
              <w:left w:val="nil"/>
              <w:right w:val="nil"/>
            </w:tcBorders>
          </w:tcPr>
          <w:p>
            <w:pPr>
              <w:pStyle w:val="TableParagraph"/>
              <w:spacing w:line="272" w:lineRule="exact" w:before="0"/>
              <w:ind w:right="233"/>
              <w:rPr>
                <w:sz w:val="24"/>
              </w:rPr>
            </w:pPr>
            <w:r>
              <w:rPr>
                <w:w w:val="99"/>
                <w:sz w:val="24"/>
              </w:rPr>
              <w:t>2</w:t>
            </w:r>
          </w:p>
        </w:tc>
        <w:tc>
          <w:tcPr>
            <w:tcW w:w="1337" w:type="dxa"/>
            <w:tcBorders>
              <w:left w:val="nil"/>
              <w:right w:val="nil"/>
            </w:tcBorders>
          </w:tcPr>
          <w:p>
            <w:pPr>
              <w:pStyle w:val="TableParagraph"/>
              <w:spacing w:line="272" w:lineRule="exact" w:before="0"/>
              <w:ind w:right="236"/>
              <w:rPr>
                <w:sz w:val="24"/>
              </w:rPr>
            </w:pPr>
            <w:r>
              <w:rPr>
                <w:w w:val="99"/>
                <w:sz w:val="24"/>
              </w:rPr>
              <w:t>3</w:t>
            </w:r>
          </w:p>
        </w:tc>
        <w:tc>
          <w:tcPr>
            <w:tcW w:w="1337" w:type="dxa"/>
            <w:tcBorders>
              <w:left w:val="nil"/>
              <w:right w:val="nil"/>
            </w:tcBorders>
          </w:tcPr>
          <w:p>
            <w:pPr>
              <w:pStyle w:val="TableParagraph"/>
              <w:spacing w:line="272" w:lineRule="exact" w:before="0"/>
              <w:ind w:right="233"/>
              <w:rPr>
                <w:sz w:val="24"/>
              </w:rPr>
            </w:pPr>
            <w:r>
              <w:rPr>
                <w:w w:val="99"/>
                <w:sz w:val="24"/>
              </w:rPr>
              <w:t>4</w:t>
            </w:r>
          </w:p>
        </w:tc>
        <w:tc>
          <w:tcPr>
            <w:tcW w:w="1168" w:type="dxa"/>
            <w:tcBorders>
              <w:left w:val="nil"/>
              <w:right w:val="nil"/>
            </w:tcBorders>
          </w:tcPr>
          <w:p>
            <w:pPr>
              <w:pStyle w:val="TableParagraph"/>
              <w:spacing w:line="272" w:lineRule="exact" w:before="0"/>
              <w:ind w:right="66"/>
              <w:rPr>
                <w:sz w:val="24"/>
              </w:rPr>
            </w:pPr>
            <w:r>
              <w:rPr>
                <w:w w:val="99"/>
                <w:sz w:val="24"/>
              </w:rPr>
              <w:t>5</w:t>
            </w:r>
          </w:p>
        </w:tc>
      </w:tr>
      <w:tr>
        <w:trPr>
          <w:trHeight w:val="358" w:hRule="exact"/>
        </w:trPr>
        <w:tc>
          <w:tcPr>
            <w:tcW w:w="2641" w:type="dxa"/>
            <w:tcBorders>
              <w:left w:val="nil"/>
              <w:bottom w:val="nil"/>
              <w:right w:val="nil"/>
            </w:tcBorders>
          </w:tcPr>
          <w:p>
            <w:pPr>
              <w:pStyle w:val="TableParagraph"/>
              <w:spacing w:line="272" w:lineRule="exact" w:before="0"/>
              <w:ind w:left="71"/>
              <w:jc w:val="left"/>
              <w:rPr>
                <w:sz w:val="24"/>
              </w:rPr>
            </w:pPr>
            <w:r>
              <w:rPr>
                <w:sz w:val="24"/>
              </w:rPr>
              <w:t>Terreno</w:t>
            </w:r>
          </w:p>
        </w:tc>
        <w:tc>
          <w:tcPr>
            <w:tcW w:w="1447" w:type="dxa"/>
            <w:tcBorders>
              <w:left w:val="nil"/>
              <w:bottom w:val="nil"/>
              <w:right w:val="nil"/>
            </w:tcBorders>
          </w:tcPr>
          <w:p>
            <w:pPr>
              <w:pStyle w:val="TableParagraph"/>
              <w:spacing w:line="272" w:lineRule="exact" w:before="0"/>
              <w:ind w:right="232"/>
              <w:rPr>
                <w:sz w:val="24"/>
              </w:rPr>
            </w:pPr>
            <w:r>
              <w:rPr>
                <w:sz w:val="24"/>
              </w:rPr>
              <w:t>625,000</w:t>
            </w:r>
          </w:p>
        </w:tc>
        <w:tc>
          <w:tcPr>
            <w:tcW w:w="1337" w:type="dxa"/>
            <w:tcBorders>
              <w:left w:val="nil"/>
              <w:bottom w:val="nil"/>
              <w:right w:val="nil"/>
            </w:tcBorders>
          </w:tcPr>
          <w:p>
            <w:pPr>
              <w:pStyle w:val="TableParagraph"/>
              <w:spacing w:line="272" w:lineRule="exact" w:before="0"/>
              <w:ind w:right="229"/>
              <w:rPr>
                <w:sz w:val="24"/>
              </w:rPr>
            </w:pPr>
            <w:r>
              <w:rPr>
                <w:sz w:val="24"/>
              </w:rPr>
              <w:t>625,000</w:t>
            </w:r>
          </w:p>
        </w:tc>
        <w:tc>
          <w:tcPr>
            <w:tcW w:w="1337" w:type="dxa"/>
            <w:tcBorders>
              <w:left w:val="nil"/>
              <w:bottom w:val="nil"/>
              <w:right w:val="nil"/>
            </w:tcBorders>
          </w:tcPr>
          <w:p>
            <w:pPr>
              <w:pStyle w:val="TableParagraph"/>
              <w:spacing w:line="272" w:lineRule="exact" w:before="0"/>
              <w:ind w:right="232"/>
              <w:rPr>
                <w:sz w:val="24"/>
              </w:rPr>
            </w:pPr>
            <w:r>
              <w:rPr>
                <w:sz w:val="24"/>
              </w:rPr>
              <w:t>625,000</w:t>
            </w:r>
          </w:p>
        </w:tc>
        <w:tc>
          <w:tcPr>
            <w:tcW w:w="1337" w:type="dxa"/>
            <w:tcBorders>
              <w:left w:val="nil"/>
              <w:bottom w:val="nil"/>
              <w:right w:val="nil"/>
            </w:tcBorders>
          </w:tcPr>
          <w:p>
            <w:pPr>
              <w:pStyle w:val="TableParagraph"/>
              <w:spacing w:line="272" w:lineRule="exact" w:before="0"/>
              <w:ind w:right="229"/>
              <w:rPr>
                <w:sz w:val="24"/>
              </w:rPr>
            </w:pPr>
            <w:r>
              <w:rPr>
                <w:sz w:val="24"/>
              </w:rPr>
              <w:t>625,000</w:t>
            </w:r>
          </w:p>
        </w:tc>
        <w:tc>
          <w:tcPr>
            <w:tcW w:w="1168" w:type="dxa"/>
            <w:tcBorders>
              <w:left w:val="nil"/>
              <w:bottom w:val="nil"/>
              <w:right w:val="nil"/>
            </w:tcBorders>
          </w:tcPr>
          <w:p>
            <w:pPr>
              <w:pStyle w:val="TableParagraph"/>
              <w:spacing w:line="272" w:lineRule="exact" w:before="0"/>
              <w:ind w:right="62"/>
              <w:rPr>
                <w:sz w:val="24"/>
              </w:rPr>
            </w:pPr>
            <w:r>
              <w:rPr>
                <w:sz w:val="24"/>
              </w:rPr>
              <w:t>625,000</w:t>
            </w:r>
          </w:p>
        </w:tc>
      </w:tr>
      <w:tr>
        <w:trPr>
          <w:trHeight w:val="415" w:hRule="exact"/>
        </w:trPr>
        <w:tc>
          <w:tcPr>
            <w:tcW w:w="2641" w:type="dxa"/>
            <w:tcBorders>
              <w:top w:val="nil"/>
              <w:left w:val="nil"/>
              <w:bottom w:val="nil"/>
              <w:right w:val="nil"/>
            </w:tcBorders>
          </w:tcPr>
          <w:p>
            <w:pPr>
              <w:pStyle w:val="TableParagraph"/>
              <w:ind w:left="71"/>
              <w:jc w:val="left"/>
              <w:rPr>
                <w:sz w:val="24"/>
              </w:rPr>
            </w:pPr>
            <w:r>
              <w:rPr>
                <w:sz w:val="24"/>
              </w:rPr>
              <w:t>Obra civil</w:t>
            </w:r>
          </w:p>
        </w:tc>
        <w:tc>
          <w:tcPr>
            <w:tcW w:w="1447" w:type="dxa"/>
            <w:tcBorders>
              <w:top w:val="nil"/>
              <w:left w:val="nil"/>
              <w:bottom w:val="nil"/>
              <w:right w:val="nil"/>
            </w:tcBorders>
          </w:tcPr>
          <w:p>
            <w:pPr>
              <w:pStyle w:val="TableParagraph"/>
              <w:ind w:right="232"/>
              <w:rPr>
                <w:sz w:val="24"/>
              </w:rPr>
            </w:pPr>
            <w:r>
              <w:rPr>
                <w:sz w:val="24"/>
              </w:rPr>
              <w:t>12,350</w:t>
            </w:r>
          </w:p>
        </w:tc>
        <w:tc>
          <w:tcPr>
            <w:tcW w:w="1337" w:type="dxa"/>
            <w:tcBorders>
              <w:top w:val="nil"/>
              <w:left w:val="nil"/>
              <w:bottom w:val="nil"/>
              <w:right w:val="nil"/>
            </w:tcBorders>
          </w:tcPr>
          <w:p>
            <w:pPr>
              <w:pStyle w:val="TableParagraph"/>
              <w:ind w:right="229"/>
              <w:rPr>
                <w:sz w:val="24"/>
              </w:rPr>
            </w:pPr>
            <w:r>
              <w:rPr>
                <w:sz w:val="24"/>
              </w:rPr>
              <w:t>11,700</w:t>
            </w:r>
          </w:p>
        </w:tc>
        <w:tc>
          <w:tcPr>
            <w:tcW w:w="1337" w:type="dxa"/>
            <w:tcBorders>
              <w:top w:val="nil"/>
              <w:left w:val="nil"/>
              <w:bottom w:val="nil"/>
              <w:right w:val="nil"/>
            </w:tcBorders>
          </w:tcPr>
          <w:p>
            <w:pPr>
              <w:pStyle w:val="TableParagraph"/>
              <w:ind w:right="232"/>
              <w:rPr>
                <w:sz w:val="24"/>
              </w:rPr>
            </w:pPr>
            <w:r>
              <w:rPr>
                <w:sz w:val="24"/>
              </w:rPr>
              <w:t>11,050</w:t>
            </w:r>
          </w:p>
        </w:tc>
        <w:tc>
          <w:tcPr>
            <w:tcW w:w="1337" w:type="dxa"/>
            <w:tcBorders>
              <w:top w:val="nil"/>
              <w:left w:val="nil"/>
              <w:bottom w:val="nil"/>
              <w:right w:val="nil"/>
            </w:tcBorders>
          </w:tcPr>
          <w:p>
            <w:pPr>
              <w:pStyle w:val="TableParagraph"/>
              <w:ind w:right="229"/>
              <w:rPr>
                <w:sz w:val="24"/>
              </w:rPr>
            </w:pPr>
            <w:r>
              <w:rPr>
                <w:sz w:val="24"/>
              </w:rPr>
              <w:t>10,400</w:t>
            </w:r>
          </w:p>
        </w:tc>
        <w:tc>
          <w:tcPr>
            <w:tcW w:w="1168" w:type="dxa"/>
            <w:tcBorders>
              <w:top w:val="nil"/>
              <w:left w:val="nil"/>
              <w:bottom w:val="nil"/>
              <w:right w:val="nil"/>
            </w:tcBorders>
          </w:tcPr>
          <w:p>
            <w:pPr>
              <w:pStyle w:val="TableParagraph"/>
              <w:ind w:right="62"/>
              <w:rPr>
                <w:sz w:val="24"/>
              </w:rPr>
            </w:pPr>
            <w:r>
              <w:rPr>
                <w:sz w:val="24"/>
              </w:rPr>
              <w:t>9,750</w:t>
            </w:r>
          </w:p>
        </w:tc>
      </w:tr>
      <w:tr>
        <w:trPr>
          <w:trHeight w:val="415" w:hRule="exact"/>
        </w:trPr>
        <w:tc>
          <w:tcPr>
            <w:tcW w:w="2641" w:type="dxa"/>
            <w:tcBorders>
              <w:top w:val="nil"/>
              <w:left w:val="nil"/>
              <w:bottom w:val="nil"/>
              <w:right w:val="nil"/>
            </w:tcBorders>
          </w:tcPr>
          <w:p>
            <w:pPr>
              <w:pStyle w:val="TableParagraph"/>
              <w:spacing w:before="58"/>
              <w:ind w:left="71"/>
              <w:jc w:val="left"/>
              <w:rPr>
                <w:sz w:val="24"/>
              </w:rPr>
            </w:pPr>
            <w:r>
              <w:rPr>
                <w:sz w:val="24"/>
              </w:rPr>
              <w:t>Corral de engorda</w:t>
            </w:r>
          </w:p>
        </w:tc>
        <w:tc>
          <w:tcPr>
            <w:tcW w:w="1447" w:type="dxa"/>
            <w:tcBorders>
              <w:top w:val="nil"/>
              <w:left w:val="nil"/>
              <w:bottom w:val="nil"/>
              <w:right w:val="nil"/>
            </w:tcBorders>
          </w:tcPr>
          <w:p>
            <w:pPr>
              <w:pStyle w:val="TableParagraph"/>
              <w:spacing w:before="58"/>
              <w:ind w:right="231"/>
              <w:rPr>
                <w:sz w:val="24"/>
              </w:rPr>
            </w:pPr>
            <w:r>
              <w:rPr>
                <w:sz w:val="24"/>
              </w:rPr>
              <w:t>2,850</w:t>
            </w:r>
          </w:p>
        </w:tc>
        <w:tc>
          <w:tcPr>
            <w:tcW w:w="1337" w:type="dxa"/>
            <w:tcBorders>
              <w:top w:val="nil"/>
              <w:left w:val="nil"/>
              <w:bottom w:val="nil"/>
              <w:right w:val="nil"/>
            </w:tcBorders>
          </w:tcPr>
          <w:p>
            <w:pPr>
              <w:pStyle w:val="TableParagraph"/>
              <w:spacing w:before="58"/>
              <w:ind w:right="229"/>
              <w:rPr>
                <w:sz w:val="24"/>
              </w:rPr>
            </w:pPr>
            <w:r>
              <w:rPr>
                <w:sz w:val="24"/>
              </w:rPr>
              <w:t>2,700</w:t>
            </w:r>
          </w:p>
        </w:tc>
        <w:tc>
          <w:tcPr>
            <w:tcW w:w="1337" w:type="dxa"/>
            <w:tcBorders>
              <w:top w:val="nil"/>
              <w:left w:val="nil"/>
              <w:bottom w:val="nil"/>
              <w:right w:val="nil"/>
            </w:tcBorders>
          </w:tcPr>
          <w:p>
            <w:pPr>
              <w:pStyle w:val="TableParagraph"/>
              <w:spacing w:before="58"/>
              <w:ind w:right="231"/>
              <w:rPr>
                <w:sz w:val="24"/>
              </w:rPr>
            </w:pPr>
            <w:r>
              <w:rPr>
                <w:sz w:val="24"/>
              </w:rPr>
              <w:t>2,550</w:t>
            </w:r>
          </w:p>
        </w:tc>
        <w:tc>
          <w:tcPr>
            <w:tcW w:w="1337" w:type="dxa"/>
            <w:tcBorders>
              <w:top w:val="nil"/>
              <w:left w:val="nil"/>
              <w:bottom w:val="nil"/>
              <w:right w:val="nil"/>
            </w:tcBorders>
          </w:tcPr>
          <w:p>
            <w:pPr>
              <w:pStyle w:val="TableParagraph"/>
              <w:spacing w:before="58"/>
              <w:ind w:right="229"/>
              <w:rPr>
                <w:sz w:val="24"/>
              </w:rPr>
            </w:pPr>
            <w:r>
              <w:rPr>
                <w:sz w:val="24"/>
              </w:rPr>
              <w:t>2,400</w:t>
            </w:r>
          </w:p>
        </w:tc>
        <w:tc>
          <w:tcPr>
            <w:tcW w:w="1168" w:type="dxa"/>
            <w:tcBorders>
              <w:top w:val="nil"/>
              <w:left w:val="nil"/>
              <w:bottom w:val="nil"/>
              <w:right w:val="nil"/>
            </w:tcBorders>
          </w:tcPr>
          <w:p>
            <w:pPr>
              <w:pStyle w:val="TableParagraph"/>
              <w:spacing w:before="58"/>
              <w:ind w:right="62"/>
              <w:rPr>
                <w:sz w:val="24"/>
              </w:rPr>
            </w:pPr>
            <w:r>
              <w:rPr>
                <w:sz w:val="24"/>
              </w:rPr>
              <w:t>2,250</w:t>
            </w:r>
          </w:p>
        </w:tc>
      </w:tr>
      <w:tr>
        <w:trPr>
          <w:trHeight w:val="413" w:hRule="exact"/>
        </w:trPr>
        <w:tc>
          <w:tcPr>
            <w:tcW w:w="2641" w:type="dxa"/>
            <w:tcBorders>
              <w:top w:val="nil"/>
              <w:left w:val="nil"/>
              <w:bottom w:val="nil"/>
              <w:right w:val="nil"/>
            </w:tcBorders>
          </w:tcPr>
          <w:p>
            <w:pPr>
              <w:pStyle w:val="TableParagraph"/>
              <w:ind w:left="71"/>
              <w:jc w:val="left"/>
              <w:rPr>
                <w:sz w:val="24"/>
              </w:rPr>
            </w:pPr>
            <w:r>
              <w:rPr>
                <w:sz w:val="24"/>
              </w:rPr>
              <w:t>Equipo de operación</w:t>
            </w:r>
          </w:p>
        </w:tc>
        <w:tc>
          <w:tcPr>
            <w:tcW w:w="1447" w:type="dxa"/>
            <w:tcBorders>
              <w:top w:val="nil"/>
              <w:left w:val="nil"/>
              <w:bottom w:val="nil"/>
              <w:right w:val="nil"/>
            </w:tcBorders>
          </w:tcPr>
          <w:p>
            <w:pPr>
              <w:pStyle w:val="TableParagraph"/>
              <w:ind w:right="231"/>
              <w:rPr>
                <w:sz w:val="24"/>
              </w:rPr>
            </w:pPr>
            <w:r>
              <w:rPr>
                <w:sz w:val="24"/>
              </w:rPr>
              <w:t>7,363</w:t>
            </w:r>
          </w:p>
        </w:tc>
        <w:tc>
          <w:tcPr>
            <w:tcW w:w="1337" w:type="dxa"/>
            <w:tcBorders>
              <w:top w:val="nil"/>
              <w:left w:val="nil"/>
              <w:bottom w:val="nil"/>
              <w:right w:val="nil"/>
            </w:tcBorders>
          </w:tcPr>
          <w:p>
            <w:pPr>
              <w:pStyle w:val="TableParagraph"/>
              <w:ind w:right="229"/>
              <w:rPr>
                <w:sz w:val="24"/>
              </w:rPr>
            </w:pPr>
            <w:r>
              <w:rPr>
                <w:sz w:val="24"/>
              </w:rPr>
              <w:t>6,975</w:t>
            </w:r>
          </w:p>
        </w:tc>
        <w:tc>
          <w:tcPr>
            <w:tcW w:w="1337" w:type="dxa"/>
            <w:tcBorders>
              <w:top w:val="nil"/>
              <w:left w:val="nil"/>
              <w:bottom w:val="nil"/>
              <w:right w:val="nil"/>
            </w:tcBorders>
          </w:tcPr>
          <w:p>
            <w:pPr>
              <w:pStyle w:val="TableParagraph"/>
              <w:ind w:right="231"/>
              <w:rPr>
                <w:sz w:val="24"/>
              </w:rPr>
            </w:pPr>
            <w:r>
              <w:rPr>
                <w:sz w:val="24"/>
              </w:rPr>
              <w:t>6,588</w:t>
            </w:r>
          </w:p>
        </w:tc>
        <w:tc>
          <w:tcPr>
            <w:tcW w:w="1337" w:type="dxa"/>
            <w:tcBorders>
              <w:top w:val="nil"/>
              <w:left w:val="nil"/>
              <w:bottom w:val="nil"/>
              <w:right w:val="nil"/>
            </w:tcBorders>
          </w:tcPr>
          <w:p>
            <w:pPr>
              <w:pStyle w:val="TableParagraph"/>
              <w:ind w:right="229"/>
              <w:rPr>
                <w:sz w:val="24"/>
              </w:rPr>
            </w:pPr>
            <w:r>
              <w:rPr>
                <w:sz w:val="24"/>
              </w:rPr>
              <w:t>6,200</w:t>
            </w:r>
          </w:p>
        </w:tc>
        <w:tc>
          <w:tcPr>
            <w:tcW w:w="1168" w:type="dxa"/>
            <w:tcBorders>
              <w:top w:val="nil"/>
              <w:left w:val="nil"/>
              <w:bottom w:val="nil"/>
              <w:right w:val="nil"/>
            </w:tcBorders>
          </w:tcPr>
          <w:p>
            <w:pPr>
              <w:pStyle w:val="TableParagraph"/>
              <w:ind w:right="62"/>
              <w:rPr>
                <w:sz w:val="24"/>
              </w:rPr>
            </w:pPr>
            <w:r>
              <w:rPr>
                <w:sz w:val="24"/>
              </w:rPr>
              <w:t>5,813</w:t>
            </w:r>
          </w:p>
        </w:tc>
      </w:tr>
      <w:tr>
        <w:trPr>
          <w:trHeight w:val="413" w:hRule="exact"/>
        </w:trPr>
        <w:tc>
          <w:tcPr>
            <w:tcW w:w="2641" w:type="dxa"/>
            <w:tcBorders>
              <w:top w:val="nil"/>
              <w:left w:val="nil"/>
              <w:bottom w:val="nil"/>
              <w:right w:val="nil"/>
            </w:tcBorders>
          </w:tcPr>
          <w:p>
            <w:pPr>
              <w:pStyle w:val="TableParagraph"/>
              <w:spacing w:before="56"/>
              <w:ind w:left="71"/>
              <w:jc w:val="left"/>
              <w:rPr>
                <w:sz w:val="24"/>
              </w:rPr>
            </w:pPr>
            <w:r>
              <w:rPr>
                <w:sz w:val="24"/>
              </w:rPr>
              <w:t>Equipo de transporte</w:t>
            </w:r>
          </w:p>
        </w:tc>
        <w:tc>
          <w:tcPr>
            <w:tcW w:w="1447" w:type="dxa"/>
            <w:tcBorders>
              <w:top w:val="nil"/>
              <w:left w:val="nil"/>
              <w:bottom w:val="nil"/>
              <w:right w:val="nil"/>
            </w:tcBorders>
          </w:tcPr>
          <w:p>
            <w:pPr>
              <w:pStyle w:val="TableParagraph"/>
              <w:spacing w:before="56"/>
              <w:ind w:right="232"/>
              <w:rPr>
                <w:sz w:val="24"/>
              </w:rPr>
            </w:pPr>
            <w:r>
              <w:rPr>
                <w:sz w:val="24"/>
              </w:rPr>
              <w:t>73,600</w:t>
            </w:r>
          </w:p>
        </w:tc>
        <w:tc>
          <w:tcPr>
            <w:tcW w:w="1337" w:type="dxa"/>
            <w:tcBorders>
              <w:top w:val="nil"/>
              <w:left w:val="nil"/>
              <w:bottom w:val="nil"/>
              <w:right w:val="nil"/>
            </w:tcBorders>
          </w:tcPr>
          <w:p>
            <w:pPr>
              <w:pStyle w:val="TableParagraph"/>
              <w:spacing w:before="56"/>
              <w:ind w:right="229"/>
              <w:rPr>
                <w:sz w:val="24"/>
              </w:rPr>
            </w:pPr>
            <w:r>
              <w:rPr>
                <w:sz w:val="24"/>
              </w:rPr>
              <w:t>67,200</w:t>
            </w:r>
          </w:p>
        </w:tc>
        <w:tc>
          <w:tcPr>
            <w:tcW w:w="1337" w:type="dxa"/>
            <w:tcBorders>
              <w:top w:val="nil"/>
              <w:left w:val="nil"/>
              <w:bottom w:val="nil"/>
              <w:right w:val="nil"/>
            </w:tcBorders>
          </w:tcPr>
          <w:p>
            <w:pPr>
              <w:pStyle w:val="TableParagraph"/>
              <w:spacing w:before="56"/>
              <w:ind w:right="232"/>
              <w:rPr>
                <w:sz w:val="24"/>
              </w:rPr>
            </w:pPr>
            <w:r>
              <w:rPr>
                <w:sz w:val="24"/>
              </w:rPr>
              <w:t>60,800</w:t>
            </w:r>
          </w:p>
        </w:tc>
        <w:tc>
          <w:tcPr>
            <w:tcW w:w="1337" w:type="dxa"/>
            <w:tcBorders>
              <w:top w:val="nil"/>
              <w:left w:val="nil"/>
              <w:bottom w:val="nil"/>
              <w:right w:val="nil"/>
            </w:tcBorders>
          </w:tcPr>
          <w:p>
            <w:pPr>
              <w:pStyle w:val="TableParagraph"/>
              <w:spacing w:before="56"/>
              <w:ind w:right="229"/>
              <w:rPr>
                <w:sz w:val="24"/>
              </w:rPr>
            </w:pPr>
            <w:r>
              <w:rPr>
                <w:sz w:val="24"/>
              </w:rPr>
              <w:t>54,400</w:t>
            </w:r>
          </w:p>
        </w:tc>
        <w:tc>
          <w:tcPr>
            <w:tcW w:w="1168" w:type="dxa"/>
            <w:tcBorders>
              <w:top w:val="nil"/>
              <w:left w:val="nil"/>
              <w:bottom w:val="nil"/>
              <w:right w:val="nil"/>
            </w:tcBorders>
          </w:tcPr>
          <w:p>
            <w:pPr>
              <w:pStyle w:val="TableParagraph"/>
              <w:spacing w:before="56"/>
              <w:ind w:right="62"/>
              <w:rPr>
                <w:sz w:val="24"/>
              </w:rPr>
            </w:pPr>
            <w:r>
              <w:rPr>
                <w:sz w:val="24"/>
              </w:rPr>
              <w:t>48,000</w:t>
            </w:r>
          </w:p>
        </w:tc>
      </w:tr>
      <w:tr>
        <w:trPr>
          <w:trHeight w:val="415" w:hRule="exact"/>
        </w:trPr>
        <w:tc>
          <w:tcPr>
            <w:tcW w:w="2641" w:type="dxa"/>
            <w:tcBorders>
              <w:top w:val="nil"/>
              <w:left w:val="nil"/>
              <w:bottom w:val="nil"/>
              <w:right w:val="nil"/>
            </w:tcBorders>
          </w:tcPr>
          <w:p>
            <w:pPr>
              <w:pStyle w:val="TableParagraph"/>
              <w:ind w:left="71"/>
              <w:jc w:val="left"/>
              <w:rPr>
                <w:sz w:val="24"/>
              </w:rPr>
            </w:pPr>
            <w:r>
              <w:rPr>
                <w:sz w:val="24"/>
              </w:rPr>
              <w:t>Intangibles</w:t>
            </w:r>
          </w:p>
        </w:tc>
        <w:tc>
          <w:tcPr>
            <w:tcW w:w="1447" w:type="dxa"/>
            <w:tcBorders>
              <w:top w:val="nil"/>
              <w:left w:val="nil"/>
              <w:bottom w:val="nil"/>
              <w:right w:val="nil"/>
            </w:tcBorders>
          </w:tcPr>
          <w:p>
            <w:pPr>
              <w:pStyle w:val="TableParagraph"/>
              <w:ind w:right="231"/>
              <w:rPr>
                <w:sz w:val="24"/>
              </w:rPr>
            </w:pPr>
            <w:r>
              <w:rPr>
                <w:sz w:val="24"/>
              </w:rPr>
              <w:t>5,940</w:t>
            </w:r>
          </w:p>
        </w:tc>
        <w:tc>
          <w:tcPr>
            <w:tcW w:w="1337" w:type="dxa"/>
            <w:tcBorders>
              <w:top w:val="nil"/>
              <w:left w:val="nil"/>
              <w:bottom w:val="nil"/>
              <w:right w:val="nil"/>
            </w:tcBorders>
          </w:tcPr>
          <w:p>
            <w:pPr>
              <w:pStyle w:val="TableParagraph"/>
              <w:ind w:right="229"/>
              <w:rPr>
                <w:sz w:val="24"/>
              </w:rPr>
            </w:pPr>
            <w:r>
              <w:rPr>
                <w:sz w:val="24"/>
              </w:rPr>
              <w:t>5,280</w:t>
            </w:r>
          </w:p>
        </w:tc>
        <w:tc>
          <w:tcPr>
            <w:tcW w:w="1337" w:type="dxa"/>
            <w:tcBorders>
              <w:top w:val="nil"/>
              <w:left w:val="nil"/>
              <w:bottom w:val="nil"/>
              <w:right w:val="nil"/>
            </w:tcBorders>
          </w:tcPr>
          <w:p>
            <w:pPr>
              <w:pStyle w:val="TableParagraph"/>
              <w:ind w:right="231"/>
              <w:rPr>
                <w:sz w:val="24"/>
              </w:rPr>
            </w:pPr>
            <w:r>
              <w:rPr>
                <w:sz w:val="24"/>
              </w:rPr>
              <w:t>4,620</w:t>
            </w:r>
          </w:p>
        </w:tc>
        <w:tc>
          <w:tcPr>
            <w:tcW w:w="1337" w:type="dxa"/>
            <w:tcBorders>
              <w:top w:val="nil"/>
              <w:left w:val="nil"/>
              <w:bottom w:val="nil"/>
              <w:right w:val="nil"/>
            </w:tcBorders>
          </w:tcPr>
          <w:p>
            <w:pPr>
              <w:pStyle w:val="TableParagraph"/>
              <w:ind w:right="229"/>
              <w:rPr>
                <w:sz w:val="24"/>
              </w:rPr>
            </w:pPr>
            <w:r>
              <w:rPr>
                <w:sz w:val="24"/>
              </w:rPr>
              <w:t>3,960</w:t>
            </w:r>
          </w:p>
        </w:tc>
        <w:tc>
          <w:tcPr>
            <w:tcW w:w="1168" w:type="dxa"/>
            <w:tcBorders>
              <w:top w:val="nil"/>
              <w:left w:val="nil"/>
              <w:bottom w:val="nil"/>
              <w:right w:val="nil"/>
            </w:tcBorders>
          </w:tcPr>
          <w:p>
            <w:pPr>
              <w:pStyle w:val="TableParagraph"/>
              <w:ind w:right="62"/>
              <w:rPr>
                <w:sz w:val="24"/>
              </w:rPr>
            </w:pPr>
            <w:r>
              <w:rPr>
                <w:sz w:val="24"/>
              </w:rPr>
              <w:t>3,300</w:t>
            </w:r>
          </w:p>
        </w:tc>
      </w:tr>
      <w:tr>
        <w:trPr>
          <w:trHeight w:val="480" w:hRule="exact"/>
        </w:trPr>
        <w:tc>
          <w:tcPr>
            <w:tcW w:w="2641" w:type="dxa"/>
            <w:tcBorders>
              <w:top w:val="nil"/>
              <w:left w:val="nil"/>
              <w:right w:val="nil"/>
            </w:tcBorders>
          </w:tcPr>
          <w:p>
            <w:pPr>
              <w:pStyle w:val="TableParagraph"/>
              <w:spacing w:before="58"/>
              <w:ind w:left="71"/>
              <w:jc w:val="left"/>
              <w:rPr>
                <w:sz w:val="24"/>
              </w:rPr>
            </w:pPr>
            <w:r>
              <w:rPr>
                <w:sz w:val="24"/>
              </w:rPr>
              <w:t>Valor residual total</w:t>
            </w:r>
          </w:p>
        </w:tc>
        <w:tc>
          <w:tcPr>
            <w:tcW w:w="1447" w:type="dxa"/>
            <w:tcBorders>
              <w:top w:val="nil"/>
              <w:left w:val="nil"/>
              <w:right w:val="nil"/>
            </w:tcBorders>
          </w:tcPr>
          <w:p>
            <w:pPr>
              <w:pStyle w:val="TableParagraph"/>
              <w:spacing w:before="58"/>
              <w:ind w:right="232"/>
              <w:rPr>
                <w:sz w:val="24"/>
              </w:rPr>
            </w:pPr>
            <w:r>
              <w:rPr>
                <w:sz w:val="24"/>
              </w:rPr>
              <w:t>727,103</w:t>
            </w:r>
          </w:p>
        </w:tc>
        <w:tc>
          <w:tcPr>
            <w:tcW w:w="1337" w:type="dxa"/>
            <w:tcBorders>
              <w:top w:val="nil"/>
              <w:left w:val="nil"/>
              <w:right w:val="nil"/>
            </w:tcBorders>
          </w:tcPr>
          <w:p>
            <w:pPr>
              <w:pStyle w:val="TableParagraph"/>
              <w:spacing w:before="58"/>
              <w:ind w:right="229"/>
              <w:rPr>
                <w:sz w:val="24"/>
              </w:rPr>
            </w:pPr>
            <w:r>
              <w:rPr>
                <w:sz w:val="24"/>
              </w:rPr>
              <w:t>718,855</w:t>
            </w:r>
          </w:p>
        </w:tc>
        <w:tc>
          <w:tcPr>
            <w:tcW w:w="1337" w:type="dxa"/>
            <w:tcBorders>
              <w:top w:val="nil"/>
              <w:left w:val="nil"/>
              <w:right w:val="nil"/>
            </w:tcBorders>
          </w:tcPr>
          <w:p>
            <w:pPr>
              <w:pStyle w:val="TableParagraph"/>
              <w:spacing w:before="58"/>
              <w:ind w:right="232"/>
              <w:rPr>
                <w:sz w:val="24"/>
              </w:rPr>
            </w:pPr>
            <w:r>
              <w:rPr>
                <w:sz w:val="24"/>
              </w:rPr>
              <w:t>710,608</w:t>
            </w:r>
          </w:p>
        </w:tc>
        <w:tc>
          <w:tcPr>
            <w:tcW w:w="1337" w:type="dxa"/>
            <w:tcBorders>
              <w:top w:val="nil"/>
              <w:left w:val="nil"/>
              <w:right w:val="nil"/>
            </w:tcBorders>
          </w:tcPr>
          <w:p>
            <w:pPr>
              <w:pStyle w:val="TableParagraph"/>
              <w:spacing w:before="58"/>
              <w:ind w:right="229"/>
              <w:rPr>
                <w:sz w:val="24"/>
              </w:rPr>
            </w:pPr>
            <w:r>
              <w:rPr>
                <w:sz w:val="24"/>
              </w:rPr>
              <w:t>702,360</w:t>
            </w:r>
          </w:p>
        </w:tc>
        <w:tc>
          <w:tcPr>
            <w:tcW w:w="1168" w:type="dxa"/>
            <w:tcBorders>
              <w:top w:val="nil"/>
              <w:left w:val="nil"/>
              <w:right w:val="nil"/>
            </w:tcBorders>
          </w:tcPr>
          <w:p>
            <w:pPr>
              <w:pStyle w:val="TableParagraph"/>
              <w:spacing w:before="58"/>
              <w:ind w:right="62"/>
              <w:rPr>
                <w:sz w:val="24"/>
              </w:rPr>
            </w:pPr>
            <w:r>
              <w:rPr>
                <w:sz w:val="24"/>
              </w:rPr>
              <w:t>694,113</w:t>
            </w:r>
          </w:p>
        </w:tc>
      </w:tr>
    </w:tbl>
    <w:p>
      <w:pPr>
        <w:spacing w:line="225" w:lineRule="exact" w:before="0"/>
        <w:ind w:left="179" w:right="0" w:firstLine="0"/>
        <w:jc w:val="both"/>
        <w:rPr>
          <w:sz w:val="20"/>
        </w:rPr>
      </w:pPr>
      <w:r>
        <w:rPr>
          <w:sz w:val="20"/>
        </w:rPr>
        <w:t>Elaboración propia. * Se consideraron tasas de depreciación según artículos 39-42 de la LISR 2015.</w:t>
      </w:r>
    </w:p>
    <w:p>
      <w:pPr>
        <w:pStyle w:val="BodyText"/>
        <w:rPr>
          <w:sz w:val="20"/>
        </w:rPr>
      </w:pPr>
    </w:p>
    <w:p>
      <w:pPr>
        <w:pStyle w:val="BodyText"/>
        <w:rPr>
          <w:sz w:val="26"/>
        </w:rPr>
      </w:pPr>
    </w:p>
    <w:p>
      <w:pPr>
        <w:pStyle w:val="BodyText"/>
        <w:spacing w:line="360" w:lineRule="auto"/>
        <w:ind w:left="179" w:right="172"/>
        <w:jc w:val="both"/>
      </w:pPr>
      <w:r>
        <w:rPr/>
        <w:t>La calendarización o cronograma de inversiones, indica que estas deben realizarse en 100% antes que ocurra la primera producción comercial de la engorda. Toda la inversión inicial debe ocurrir en el año cero de la inversión en el rastro. </w:t>
      </w:r>
      <w:r>
        <w:rPr>
          <w:spacing w:val="-4"/>
        </w:rPr>
        <w:t>El </w:t>
      </w:r>
      <w:r>
        <w:rPr/>
        <w:t>año cero,  es relativo, pues puede ocurrir un periodo que dure varios años hasta que las instalaciones globales estén listas y adecuadas para el arranque del proyecto; esto es, todas las condiciones de infraestructura, deben estar listas previas al inicio de la primera producción comercial. Por lo que el propietario de estaengorda, tiene que considerar, de forma efectiva y eficiente, la administración del tiempo destinado a disponer de condiciones para los primeros sacrificios, tanto de bovinos como de porcinos.</w:t>
      </w:r>
    </w:p>
    <w:p>
      <w:pPr>
        <w:spacing w:after="0" w:line="360" w:lineRule="auto"/>
        <w:jc w:val="both"/>
        <w:sectPr>
          <w:pgSz w:w="12240" w:h="15840"/>
          <w:pgMar w:header="0" w:footer="1180" w:top="1500" w:bottom="1380" w:left="1520" w:right="1240"/>
        </w:sectPr>
      </w:pPr>
    </w:p>
    <w:p>
      <w:pPr>
        <w:pStyle w:val="BodyText"/>
        <w:spacing w:line="360" w:lineRule="auto" w:before="52"/>
        <w:ind w:left="179" w:right="171"/>
        <w:jc w:val="both"/>
      </w:pPr>
      <w:r>
        <w:rPr/>
        <w:t>La proyección de inversiones, depreciaciones y valores residuales (Cuadro 10), se utilizó como fuente para el </w:t>
      </w:r>
      <w:r>
        <w:rPr>
          <w:i/>
        </w:rPr>
        <w:t>flujo de proyecto</w:t>
      </w:r>
      <w:r>
        <w:rPr/>
        <w:t>. Los valores residuales deben considerarse dentro del ingreso total del último año del horizonte del proyecto, así también la estimación del monto de necesidades de capital de trabajo.</w:t>
      </w:r>
    </w:p>
    <w:p>
      <w:pPr>
        <w:pStyle w:val="BodyText"/>
      </w:pPr>
    </w:p>
    <w:p>
      <w:pPr>
        <w:pStyle w:val="BodyText"/>
      </w:pPr>
    </w:p>
    <w:p>
      <w:pPr>
        <w:pStyle w:val="BodyText"/>
      </w:pPr>
    </w:p>
    <w:p>
      <w:pPr>
        <w:pStyle w:val="BodyText"/>
      </w:pPr>
    </w:p>
    <w:p>
      <w:pPr>
        <w:pStyle w:val="BodyText"/>
        <w:spacing w:before="142"/>
        <w:ind w:left="179"/>
        <w:jc w:val="both"/>
      </w:pPr>
      <w:r>
        <w:rPr/>
        <w:t>Cuadro 10. Proyección de inversiones, depreciaciones y valores residuales (pesos).</w:t>
      </w:r>
    </w:p>
    <w:p>
      <w:pPr>
        <w:pStyle w:val="BodyText"/>
        <w:spacing w:before="5"/>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2"/>
        <w:gridCol w:w="1717"/>
        <w:gridCol w:w="1008"/>
        <w:gridCol w:w="1078"/>
        <w:gridCol w:w="1152"/>
        <w:gridCol w:w="1225"/>
        <w:gridCol w:w="1045"/>
      </w:tblGrid>
      <w:tr>
        <w:trPr>
          <w:trHeight w:val="427" w:hRule="exact"/>
        </w:trPr>
        <w:tc>
          <w:tcPr>
            <w:tcW w:w="2042" w:type="dxa"/>
            <w:tcBorders>
              <w:left w:val="nil"/>
              <w:right w:val="nil"/>
            </w:tcBorders>
          </w:tcPr>
          <w:p>
            <w:pPr>
              <w:pStyle w:val="TableParagraph"/>
              <w:spacing w:before="0"/>
              <w:ind w:left="71" w:right="430"/>
              <w:jc w:val="left"/>
              <w:rPr>
                <w:sz w:val="24"/>
              </w:rPr>
            </w:pPr>
            <w:r>
              <w:rPr>
                <w:sz w:val="24"/>
              </w:rPr>
              <w:t>Concepto</w:t>
            </w:r>
          </w:p>
        </w:tc>
        <w:tc>
          <w:tcPr>
            <w:tcW w:w="1717" w:type="dxa"/>
            <w:tcBorders>
              <w:left w:val="nil"/>
              <w:right w:val="nil"/>
            </w:tcBorders>
          </w:tcPr>
          <w:p>
            <w:pPr>
              <w:pStyle w:val="TableParagraph"/>
              <w:spacing w:before="0"/>
              <w:ind w:right="238"/>
              <w:rPr>
                <w:sz w:val="24"/>
              </w:rPr>
            </w:pPr>
            <w:r>
              <w:rPr>
                <w:w w:val="99"/>
                <w:sz w:val="24"/>
              </w:rPr>
              <w:t>0</w:t>
            </w:r>
          </w:p>
        </w:tc>
        <w:tc>
          <w:tcPr>
            <w:tcW w:w="1008" w:type="dxa"/>
            <w:tcBorders>
              <w:left w:val="nil"/>
              <w:right w:val="nil"/>
            </w:tcBorders>
          </w:tcPr>
          <w:p>
            <w:pPr>
              <w:pStyle w:val="TableParagraph"/>
              <w:spacing w:before="0"/>
              <w:ind w:right="170"/>
              <w:rPr>
                <w:sz w:val="24"/>
              </w:rPr>
            </w:pPr>
            <w:r>
              <w:rPr>
                <w:w w:val="99"/>
                <w:sz w:val="24"/>
              </w:rPr>
              <w:t>1</w:t>
            </w:r>
          </w:p>
        </w:tc>
        <w:tc>
          <w:tcPr>
            <w:tcW w:w="1078" w:type="dxa"/>
            <w:tcBorders>
              <w:left w:val="nil"/>
              <w:right w:val="nil"/>
            </w:tcBorders>
          </w:tcPr>
          <w:p>
            <w:pPr>
              <w:pStyle w:val="TableParagraph"/>
              <w:spacing w:before="0"/>
              <w:ind w:right="173"/>
              <w:rPr>
                <w:sz w:val="24"/>
              </w:rPr>
            </w:pPr>
            <w:r>
              <w:rPr>
                <w:w w:val="99"/>
                <w:sz w:val="24"/>
              </w:rPr>
              <w:t>2</w:t>
            </w:r>
          </w:p>
        </w:tc>
        <w:tc>
          <w:tcPr>
            <w:tcW w:w="1152" w:type="dxa"/>
            <w:tcBorders>
              <w:left w:val="nil"/>
              <w:right w:val="nil"/>
            </w:tcBorders>
          </w:tcPr>
          <w:p>
            <w:pPr>
              <w:pStyle w:val="TableParagraph"/>
              <w:spacing w:before="0"/>
              <w:ind w:right="245"/>
              <w:rPr>
                <w:sz w:val="24"/>
              </w:rPr>
            </w:pPr>
            <w:r>
              <w:rPr>
                <w:w w:val="99"/>
                <w:sz w:val="24"/>
              </w:rPr>
              <w:t>3</w:t>
            </w:r>
          </w:p>
        </w:tc>
        <w:tc>
          <w:tcPr>
            <w:tcW w:w="1225" w:type="dxa"/>
            <w:tcBorders>
              <w:left w:val="nil"/>
              <w:right w:val="nil"/>
            </w:tcBorders>
          </w:tcPr>
          <w:p>
            <w:pPr>
              <w:pStyle w:val="TableParagraph"/>
              <w:spacing w:before="0"/>
              <w:ind w:right="245"/>
              <w:rPr>
                <w:sz w:val="24"/>
              </w:rPr>
            </w:pPr>
            <w:r>
              <w:rPr>
                <w:w w:val="99"/>
                <w:sz w:val="24"/>
              </w:rPr>
              <w:t>4</w:t>
            </w:r>
          </w:p>
        </w:tc>
        <w:tc>
          <w:tcPr>
            <w:tcW w:w="1045" w:type="dxa"/>
            <w:tcBorders>
              <w:left w:val="nil"/>
              <w:right w:val="nil"/>
            </w:tcBorders>
          </w:tcPr>
          <w:p>
            <w:pPr>
              <w:pStyle w:val="TableParagraph"/>
              <w:spacing w:before="0"/>
              <w:ind w:right="66"/>
              <w:rPr>
                <w:sz w:val="24"/>
              </w:rPr>
            </w:pPr>
            <w:r>
              <w:rPr>
                <w:w w:val="99"/>
                <w:sz w:val="24"/>
              </w:rPr>
              <w:t>5</w:t>
            </w:r>
          </w:p>
        </w:tc>
      </w:tr>
      <w:tr>
        <w:trPr>
          <w:trHeight w:val="358" w:hRule="exact"/>
        </w:trPr>
        <w:tc>
          <w:tcPr>
            <w:tcW w:w="2042" w:type="dxa"/>
            <w:tcBorders>
              <w:left w:val="nil"/>
              <w:bottom w:val="nil"/>
              <w:right w:val="nil"/>
            </w:tcBorders>
          </w:tcPr>
          <w:p>
            <w:pPr>
              <w:pStyle w:val="TableParagraph"/>
              <w:spacing w:line="272" w:lineRule="exact" w:before="0"/>
              <w:ind w:left="71" w:right="430"/>
              <w:jc w:val="left"/>
              <w:rPr>
                <w:sz w:val="24"/>
              </w:rPr>
            </w:pPr>
            <w:r>
              <w:rPr>
                <w:sz w:val="24"/>
              </w:rPr>
              <w:t>Inversión</w:t>
            </w:r>
          </w:p>
        </w:tc>
        <w:tc>
          <w:tcPr>
            <w:tcW w:w="1717" w:type="dxa"/>
            <w:tcBorders>
              <w:left w:val="nil"/>
              <w:bottom w:val="nil"/>
              <w:right w:val="nil"/>
            </w:tcBorders>
          </w:tcPr>
          <w:p>
            <w:pPr>
              <w:pStyle w:val="TableParagraph"/>
              <w:spacing w:line="272" w:lineRule="exact" w:before="0"/>
              <w:ind w:right="235"/>
              <w:rPr>
                <w:sz w:val="24"/>
              </w:rPr>
            </w:pPr>
            <w:r>
              <w:rPr>
                <w:sz w:val="24"/>
              </w:rPr>
              <w:t>735,350</w:t>
            </w:r>
          </w:p>
        </w:tc>
        <w:tc>
          <w:tcPr>
            <w:tcW w:w="1008" w:type="dxa"/>
            <w:tcBorders>
              <w:left w:val="nil"/>
              <w:bottom w:val="nil"/>
              <w:right w:val="nil"/>
            </w:tcBorders>
          </w:tcPr>
          <w:p>
            <w:pPr/>
          </w:p>
        </w:tc>
        <w:tc>
          <w:tcPr>
            <w:tcW w:w="1078" w:type="dxa"/>
            <w:tcBorders>
              <w:left w:val="nil"/>
              <w:bottom w:val="nil"/>
              <w:right w:val="nil"/>
            </w:tcBorders>
          </w:tcPr>
          <w:p>
            <w:pPr/>
          </w:p>
        </w:tc>
        <w:tc>
          <w:tcPr>
            <w:tcW w:w="1152" w:type="dxa"/>
            <w:tcBorders>
              <w:left w:val="nil"/>
              <w:bottom w:val="nil"/>
              <w:right w:val="nil"/>
            </w:tcBorders>
          </w:tcPr>
          <w:p>
            <w:pPr/>
          </w:p>
        </w:tc>
        <w:tc>
          <w:tcPr>
            <w:tcW w:w="1225" w:type="dxa"/>
            <w:tcBorders>
              <w:left w:val="nil"/>
              <w:bottom w:val="nil"/>
              <w:right w:val="nil"/>
            </w:tcBorders>
          </w:tcPr>
          <w:p>
            <w:pPr/>
          </w:p>
        </w:tc>
        <w:tc>
          <w:tcPr>
            <w:tcW w:w="1045" w:type="dxa"/>
            <w:tcBorders>
              <w:left w:val="nil"/>
              <w:bottom w:val="nil"/>
              <w:right w:val="nil"/>
            </w:tcBorders>
          </w:tcPr>
          <w:p>
            <w:pPr/>
          </w:p>
        </w:tc>
      </w:tr>
      <w:tr>
        <w:trPr>
          <w:trHeight w:val="413" w:hRule="exact"/>
        </w:trPr>
        <w:tc>
          <w:tcPr>
            <w:tcW w:w="2042" w:type="dxa"/>
            <w:tcBorders>
              <w:top w:val="nil"/>
              <w:left w:val="nil"/>
              <w:bottom w:val="nil"/>
              <w:right w:val="nil"/>
            </w:tcBorders>
          </w:tcPr>
          <w:p>
            <w:pPr>
              <w:pStyle w:val="TableParagraph"/>
              <w:ind w:left="71" w:right="430"/>
              <w:jc w:val="left"/>
              <w:rPr>
                <w:sz w:val="24"/>
              </w:rPr>
            </w:pPr>
            <w:r>
              <w:rPr>
                <w:sz w:val="24"/>
              </w:rPr>
              <w:t>Fija</w:t>
            </w:r>
          </w:p>
        </w:tc>
        <w:tc>
          <w:tcPr>
            <w:tcW w:w="1717" w:type="dxa"/>
            <w:tcBorders>
              <w:top w:val="nil"/>
              <w:left w:val="nil"/>
              <w:bottom w:val="nil"/>
              <w:right w:val="nil"/>
            </w:tcBorders>
          </w:tcPr>
          <w:p>
            <w:pPr>
              <w:pStyle w:val="TableParagraph"/>
              <w:ind w:right="235"/>
              <w:rPr>
                <w:sz w:val="24"/>
              </w:rPr>
            </w:pPr>
            <w:r>
              <w:rPr>
                <w:sz w:val="24"/>
              </w:rPr>
              <w:t>728,750</w:t>
            </w:r>
          </w:p>
        </w:tc>
        <w:tc>
          <w:tcPr>
            <w:tcW w:w="1008" w:type="dxa"/>
            <w:tcBorders>
              <w:top w:val="nil"/>
              <w:left w:val="nil"/>
              <w:bottom w:val="nil"/>
              <w:right w:val="nil"/>
            </w:tcBorders>
          </w:tcPr>
          <w:p>
            <w:pPr/>
          </w:p>
        </w:tc>
        <w:tc>
          <w:tcPr>
            <w:tcW w:w="1078" w:type="dxa"/>
            <w:tcBorders>
              <w:top w:val="nil"/>
              <w:left w:val="nil"/>
              <w:bottom w:val="nil"/>
              <w:right w:val="nil"/>
            </w:tcBorders>
          </w:tcPr>
          <w:p>
            <w:pPr/>
          </w:p>
        </w:tc>
        <w:tc>
          <w:tcPr>
            <w:tcW w:w="1152" w:type="dxa"/>
            <w:tcBorders>
              <w:top w:val="nil"/>
              <w:left w:val="nil"/>
              <w:bottom w:val="nil"/>
              <w:right w:val="nil"/>
            </w:tcBorders>
          </w:tcPr>
          <w:p>
            <w:pPr/>
          </w:p>
        </w:tc>
        <w:tc>
          <w:tcPr>
            <w:tcW w:w="1225" w:type="dxa"/>
            <w:tcBorders>
              <w:top w:val="nil"/>
              <w:left w:val="nil"/>
              <w:bottom w:val="nil"/>
              <w:right w:val="nil"/>
            </w:tcBorders>
          </w:tcPr>
          <w:p>
            <w:pPr/>
          </w:p>
        </w:tc>
        <w:tc>
          <w:tcPr>
            <w:tcW w:w="1045" w:type="dxa"/>
            <w:tcBorders>
              <w:top w:val="nil"/>
              <w:left w:val="nil"/>
              <w:bottom w:val="nil"/>
              <w:right w:val="nil"/>
            </w:tcBorders>
          </w:tcPr>
          <w:p>
            <w:pPr/>
          </w:p>
        </w:tc>
      </w:tr>
      <w:tr>
        <w:trPr>
          <w:trHeight w:val="415" w:hRule="exact"/>
        </w:trPr>
        <w:tc>
          <w:tcPr>
            <w:tcW w:w="2042" w:type="dxa"/>
            <w:tcBorders>
              <w:top w:val="nil"/>
              <w:left w:val="nil"/>
              <w:bottom w:val="nil"/>
              <w:right w:val="nil"/>
            </w:tcBorders>
          </w:tcPr>
          <w:p>
            <w:pPr>
              <w:pStyle w:val="TableParagraph"/>
              <w:spacing w:before="56"/>
              <w:ind w:left="71" w:right="430"/>
              <w:jc w:val="left"/>
              <w:rPr>
                <w:sz w:val="24"/>
              </w:rPr>
            </w:pPr>
            <w:r>
              <w:rPr>
                <w:sz w:val="24"/>
              </w:rPr>
              <w:t>Diferida</w:t>
            </w:r>
          </w:p>
        </w:tc>
        <w:tc>
          <w:tcPr>
            <w:tcW w:w="1717" w:type="dxa"/>
            <w:tcBorders>
              <w:top w:val="nil"/>
              <w:left w:val="nil"/>
              <w:bottom w:val="nil"/>
              <w:right w:val="nil"/>
            </w:tcBorders>
          </w:tcPr>
          <w:p>
            <w:pPr>
              <w:pStyle w:val="TableParagraph"/>
              <w:spacing w:before="56"/>
              <w:ind w:right="234"/>
              <w:rPr>
                <w:sz w:val="24"/>
              </w:rPr>
            </w:pPr>
            <w:r>
              <w:rPr>
                <w:sz w:val="24"/>
              </w:rPr>
              <w:t>6,600</w:t>
            </w:r>
          </w:p>
        </w:tc>
        <w:tc>
          <w:tcPr>
            <w:tcW w:w="1008" w:type="dxa"/>
            <w:tcBorders>
              <w:top w:val="nil"/>
              <w:left w:val="nil"/>
              <w:bottom w:val="nil"/>
              <w:right w:val="nil"/>
            </w:tcBorders>
          </w:tcPr>
          <w:p>
            <w:pPr/>
          </w:p>
        </w:tc>
        <w:tc>
          <w:tcPr>
            <w:tcW w:w="1078" w:type="dxa"/>
            <w:tcBorders>
              <w:top w:val="nil"/>
              <w:left w:val="nil"/>
              <w:bottom w:val="nil"/>
              <w:right w:val="nil"/>
            </w:tcBorders>
          </w:tcPr>
          <w:p>
            <w:pPr/>
          </w:p>
        </w:tc>
        <w:tc>
          <w:tcPr>
            <w:tcW w:w="1152" w:type="dxa"/>
            <w:tcBorders>
              <w:top w:val="nil"/>
              <w:left w:val="nil"/>
              <w:bottom w:val="nil"/>
              <w:right w:val="nil"/>
            </w:tcBorders>
          </w:tcPr>
          <w:p>
            <w:pPr/>
          </w:p>
        </w:tc>
        <w:tc>
          <w:tcPr>
            <w:tcW w:w="1225" w:type="dxa"/>
            <w:tcBorders>
              <w:top w:val="nil"/>
              <w:left w:val="nil"/>
              <w:bottom w:val="nil"/>
              <w:right w:val="nil"/>
            </w:tcBorders>
          </w:tcPr>
          <w:p>
            <w:pPr/>
          </w:p>
        </w:tc>
        <w:tc>
          <w:tcPr>
            <w:tcW w:w="1045" w:type="dxa"/>
            <w:tcBorders>
              <w:top w:val="nil"/>
              <w:left w:val="nil"/>
              <w:bottom w:val="nil"/>
              <w:right w:val="nil"/>
            </w:tcBorders>
          </w:tcPr>
          <w:p>
            <w:pPr/>
          </w:p>
        </w:tc>
      </w:tr>
      <w:tr>
        <w:trPr>
          <w:trHeight w:val="415" w:hRule="exact"/>
        </w:trPr>
        <w:tc>
          <w:tcPr>
            <w:tcW w:w="2042" w:type="dxa"/>
            <w:tcBorders>
              <w:top w:val="nil"/>
              <w:left w:val="nil"/>
              <w:bottom w:val="nil"/>
              <w:right w:val="nil"/>
            </w:tcBorders>
          </w:tcPr>
          <w:p>
            <w:pPr>
              <w:pStyle w:val="TableParagraph"/>
              <w:spacing w:before="58"/>
              <w:ind w:left="71" w:right="430"/>
              <w:jc w:val="left"/>
              <w:rPr>
                <w:sz w:val="24"/>
              </w:rPr>
            </w:pPr>
            <w:r>
              <w:rPr>
                <w:sz w:val="24"/>
              </w:rPr>
              <w:t>C. de trabajo</w:t>
            </w:r>
          </w:p>
        </w:tc>
        <w:tc>
          <w:tcPr>
            <w:tcW w:w="1717" w:type="dxa"/>
            <w:tcBorders>
              <w:top w:val="nil"/>
              <w:left w:val="nil"/>
              <w:bottom w:val="nil"/>
              <w:right w:val="nil"/>
            </w:tcBorders>
          </w:tcPr>
          <w:p>
            <w:pPr>
              <w:pStyle w:val="TableParagraph"/>
              <w:spacing w:before="58"/>
              <w:ind w:right="235"/>
              <w:rPr>
                <w:sz w:val="24"/>
              </w:rPr>
            </w:pPr>
            <w:r>
              <w:rPr>
                <w:sz w:val="24"/>
              </w:rPr>
              <w:t>505,312</w:t>
            </w:r>
          </w:p>
        </w:tc>
        <w:tc>
          <w:tcPr>
            <w:tcW w:w="1008" w:type="dxa"/>
            <w:tcBorders>
              <w:top w:val="nil"/>
              <w:left w:val="nil"/>
              <w:bottom w:val="nil"/>
              <w:right w:val="nil"/>
            </w:tcBorders>
          </w:tcPr>
          <w:p>
            <w:pPr/>
          </w:p>
        </w:tc>
        <w:tc>
          <w:tcPr>
            <w:tcW w:w="1078" w:type="dxa"/>
            <w:tcBorders>
              <w:top w:val="nil"/>
              <w:left w:val="nil"/>
              <w:bottom w:val="nil"/>
              <w:right w:val="nil"/>
            </w:tcBorders>
          </w:tcPr>
          <w:p>
            <w:pPr/>
          </w:p>
        </w:tc>
        <w:tc>
          <w:tcPr>
            <w:tcW w:w="1152" w:type="dxa"/>
            <w:tcBorders>
              <w:top w:val="nil"/>
              <w:left w:val="nil"/>
              <w:bottom w:val="nil"/>
              <w:right w:val="nil"/>
            </w:tcBorders>
          </w:tcPr>
          <w:p>
            <w:pPr/>
          </w:p>
        </w:tc>
        <w:tc>
          <w:tcPr>
            <w:tcW w:w="1225" w:type="dxa"/>
            <w:tcBorders>
              <w:top w:val="nil"/>
              <w:left w:val="nil"/>
              <w:bottom w:val="nil"/>
              <w:right w:val="nil"/>
            </w:tcBorders>
          </w:tcPr>
          <w:p>
            <w:pPr/>
          </w:p>
        </w:tc>
        <w:tc>
          <w:tcPr>
            <w:tcW w:w="1045" w:type="dxa"/>
            <w:tcBorders>
              <w:top w:val="nil"/>
              <w:left w:val="nil"/>
              <w:bottom w:val="nil"/>
              <w:right w:val="nil"/>
            </w:tcBorders>
          </w:tcPr>
          <w:p>
            <w:pPr/>
          </w:p>
        </w:tc>
      </w:tr>
      <w:tr>
        <w:trPr>
          <w:trHeight w:val="826" w:hRule="exact"/>
        </w:trPr>
        <w:tc>
          <w:tcPr>
            <w:tcW w:w="2042" w:type="dxa"/>
            <w:tcBorders>
              <w:top w:val="nil"/>
              <w:left w:val="nil"/>
              <w:bottom w:val="nil"/>
              <w:right w:val="nil"/>
            </w:tcBorders>
          </w:tcPr>
          <w:p>
            <w:pPr>
              <w:pStyle w:val="TableParagraph"/>
              <w:spacing w:line="360" w:lineRule="auto"/>
              <w:ind w:left="71" w:right="430"/>
              <w:jc w:val="left"/>
              <w:rPr>
                <w:sz w:val="24"/>
              </w:rPr>
            </w:pPr>
            <w:r>
              <w:rPr>
                <w:sz w:val="24"/>
              </w:rPr>
              <w:t>Subtotal Deprec. Anual</w:t>
            </w:r>
          </w:p>
        </w:tc>
        <w:tc>
          <w:tcPr>
            <w:tcW w:w="1717" w:type="dxa"/>
            <w:tcBorders>
              <w:top w:val="nil"/>
              <w:left w:val="nil"/>
              <w:bottom w:val="nil"/>
              <w:right w:val="nil"/>
            </w:tcBorders>
          </w:tcPr>
          <w:p>
            <w:pPr>
              <w:pStyle w:val="TableParagraph"/>
              <w:ind w:right="235"/>
              <w:rPr>
                <w:sz w:val="24"/>
              </w:rPr>
            </w:pPr>
            <w:r>
              <w:rPr>
                <w:sz w:val="24"/>
              </w:rPr>
              <w:t>1,240,662</w:t>
            </w:r>
          </w:p>
        </w:tc>
        <w:tc>
          <w:tcPr>
            <w:tcW w:w="1008" w:type="dxa"/>
            <w:tcBorders>
              <w:top w:val="nil"/>
              <w:left w:val="nil"/>
              <w:bottom w:val="nil"/>
              <w:right w:val="nil"/>
            </w:tcBorders>
          </w:tcPr>
          <w:p>
            <w:pPr>
              <w:pStyle w:val="TableParagraph"/>
              <w:spacing w:before="0"/>
              <w:jc w:val="left"/>
              <w:rPr>
                <w:sz w:val="24"/>
              </w:rPr>
            </w:pPr>
          </w:p>
          <w:p>
            <w:pPr>
              <w:pStyle w:val="TableParagraph"/>
              <w:spacing w:before="192"/>
              <w:ind w:right="167"/>
              <w:rPr>
                <w:sz w:val="24"/>
              </w:rPr>
            </w:pPr>
            <w:r>
              <w:rPr>
                <w:sz w:val="24"/>
              </w:rPr>
              <w:t>8,248</w:t>
            </w:r>
          </w:p>
        </w:tc>
        <w:tc>
          <w:tcPr>
            <w:tcW w:w="1078" w:type="dxa"/>
            <w:tcBorders>
              <w:top w:val="nil"/>
              <w:left w:val="nil"/>
              <w:bottom w:val="nil"/>
              <w:right w:val="nil"/>
            </w:tcBorders>
          </w:tcPr>
          <w:p>
            <w:pPr>
              <w:pStyle w:val="TableParagraph"/>
              <w:spacing w:before="0"/>
              <w:jc w:val="left"/>
              <w:rPr>
                <w:sz w:val="24"/>
              </w:rPr>
            </w:pPr>
          </w:p>
          <w:p>
            <w:pPr>
              <w:pStyle w:val="TableParagraph"/>
              <w:spacing w:before="192"/>
              <w:ind w:right="169"/>
              <w:rPr>
                <w:sz w:val="24"/>
              </w:rPr>
            </w:pPr>
            <w:r>
              <w:rPr>
                <w:sz w:val="24"/>
              </w:rPr>
              <w:t>8,248</w:t>
            </w:r>
          </w:p>
        </w:tc>
        <w:tc>
          <w:tcPr>
            <w:tcW w:w="1152" w:type="dxa"/>
            <w:tcBorders>
              <w:top w:val="nil"/>
              <w:left w:val="nil"/>
              <w:bottom w:val="nil"/>
              <w:right w:val="nil"/>
            </w:tcBorders>
          </w:tcPr>
          <w:p>
            <w:pPr>
              <w:pStyle w:val="TableParagraph"/>
              <w:spacing w:before="0"/>
              <w:jc w:val="left"/>
              <w:rPr>
                <w:sz w:val="24"/>
              </w:rPr>
            </w:pPr>
          </w:p>
          <w:p>
            <w:pPr>
              <w:pStyle w:val="TableParagraph"/>
              <w:spacing w:before="192"/>
              <w:ind w:right="241"/>
              <w:rPr>
                <w:sz w:val="24"/>
              </w:rPr>
            </w:pPr>
            <w:r>
              <w:rPr>
                <w:sz w:val="24"/>
              </w:rPr>
              <w:t>8,248</w:t>
            </w:r>
          </w:p>
        </w:tc>
        <w:tc>
          <w:tcPr>
            <w:tcW w:w="1225" w:type="dxa"/>
            <w:tcBorders>
              <w:top w:val="nil"/>
              <w:left w:val="nil"/>
              <w:bottom w:val="nil"/>
              <w:right w:val="nil"/>
            </w:tcBorders>
          </w:tcPr>
          <w:p>
            <w:pPr>
              <w:pStyle w:val="TableParagraph"/>
              <w:spacing w:before="0"/>
              <w:jc w:val="left"/>
              <w:rPr>
                <w:sz w:val="24"/>
              </w:rPr>
            </w:pPr>
          </w:p>
          <w:p>
            <w:pPr>
              <w:pStyle w:val="TableParagraph"/>
              <w:spacing w:before="192"/>
              <w:ind w:right="241"/>
              <w:rPr>
                <w:sz w:val="24"/>
              </w:rPr>
            </w:pPr>
            <w:r>
              <w:rPr>
                <w:sz w:val="24"/>
              </w:rPr>
              <w:t>8,248</w:t>
            </w:r>
          </w:p>
        </w:tc>
        <w:tc>
          <w:tcPr>
            <w:tcW w:w="1045" w:type="dxa"/>
            <w:tcBorders>
              <w:top w:val="nil"/>
              <w:left w:val="nil"/>
              <w:bottom w:val="nil"/>
              <w:right w:val="nil"/>
            </w:tcBorders>
          </w:tcPr>
          <w:p>
            <w:pPr>
              <w:pStyle w:val="TableParagraph"/>
              <w:spacing w:before="0"/>
              <w:jc w:val="left"/>
              <w:rPr>
                <w:sz w:val="24"/>
              </w:rPr>
            </w:pPr>
          </w:p>
          <w:p>
            <w:pPr>
              <w:pStyle w:val="TableParagraph"/>
              <w:spacing w:before="192"/>
              <w:ind w:right="62"/>
              <w:rPr>
                <w:sz w:val="24"/>
              </w:rPr>
            </w:pPr>
            <w:r>
              <w:rPr>
                <w:sz w:val="24"/>
              </w:rPr>
              <w:t>8,248</w:t>
            </w:r>
          </w:p>
        </w:tc>
      </w:tr>
      <w:tr>
        <w:trPr>
          <w:trHeight w:val="415" w:hRule="exact"/>
        </w:trPr>
        <w:tc>
          <w:tcPr>
            <w:tcW w:w="2042" w:type="dxa"/>
            <w:tcBorders>
              <w:top w:val="nil"/>
              <w:left w:val="nil"/>
              <w:bottom w:val="nil"/>
              <w:right w:val="nil"/>
            </w:tcBorders>
          </w:tcPr>
          <w:p>
            <w:pPr>
              <w:pStyle w:val="TableParagraph"/>
              <w:spacing w:before="56"/>
              <w:ind w:left="71"/>
              <w:jc w:val="left"/>
              <w:rPr>
                <w:sz w:val="24"/>
              </w:rPr>
            </w:pPr>
            <w:r>
              <w:rPr>
                <w:sz w:val="24"/>
              </w:rPr>
              <w:t>Deprec. acum.</w:t>
            </w:r>
          </w:p>
        </w:tc>
        <w:tc>
          <w:tcPr>
            <w:tcW w:w="1717" w:type="dxa"/>
            <w:tcBorders>
              <w:top w:val="nil"/>
              <w:left w:val="nil"/>
              <w:bottom w:val="nil"/>
              <w:right w:val="nil"/>
            </w:tcBorders>
          </w:tcPr>
          <w:p>
            <w:pPr/>
          </w:p>
        </w:tc>
        <w:tc>
          <w:tcPr>
            <w:tcW w:w="1008" w:type="dxa"/>
            <w:tcBorders>
              <w:top w:val="nil"/>
              <w:left w:val="nil"/>
              <w:bottom w:val="nil"/>
              <w:right w:val="nil"/>
            </w:tcBorders>
          </w:tcPr>
          <w:p>
            <w:pPr>
              <w:pStyle w:val="TableParagraph"/>
              <w:spacing w:before="56"/>
              <w:ind w:right="167"/>
              <w:rPr>
                <w:sz w:val="24"/>
              </w:rPr>
            </w:pPr>
            <w:r>
              <w:rPr>
                <w:sz w:val="24"/>
              </w:rPr>
              <w:t>8,248</w:t>
            </w:r>
          </w:p>
        </w:tc>
        <w:tc>
          <w:tcPr>
            <w:tcW w:w="1078" w:type="dxa"/>
            <w:tcBorders>
              <w:top w:val="nil"/>
              <w:left w:val="nil"/>
              <w:bottom w:val="nil"/>
              <w:right w:val="nil"/>
            </w:tcBorders>
          </w:tcPr>
          <w:p>
            <w:pPr>
              <w:pStyle w:val="TableParagraph"/>
              <w:spacing w:before="56"/>
              <w:ind w:right="169"/>
              <w:rPr>
                <w:sz w:val="24"/>
              </w:rPr>
            </w:pPr>
            <w:r>
              <w:rPr>
                <w:sz w:val="24"/>
              </w:rPr>
              <w:t>16,495</w:t>
            </w:r>
          </w:p>
        </w:tc>
        <w:tc>
          <w:tcPr>
            <w:tcW w:w="1152" w:type="dxa"/>
            <w:tcBorders>
              <w:top w:val="nil"/>
              <w:left w:val="nil"/>
              <w:bottom w:val="nil"/>
              <w:right w:val="nil"/>
            </w:tcBorders>
          </w:tcPr>
          <w:p>
            <w:pPr>
              <w:pStyle w:val="TableParagraph"/>
              <w:spacing w:before="56"/>
              <w:ind w:right="241"/>
              <w:rPr>
                <w:sz w:val="24"/>
              </w:rPr>
            </w:pPr>
            <w:r>
              <w:rPr>
                <w:sz w:val="24"/>
              </w:rPr>
              <w:t>24,743</w:t>
            </w:r>
          </w:p>
        </w:tc>
        <w:tc>
          <w:tcPr>
            <w:tcW w:w="1225" w:type="dxa"/>
            <w:tcBorders>
              <w:top w:val="nil"/>
              <w:left w:val="nil"/>
              <w:bottom w:val="nil"/>
              <w:right w:val="nil"/>
            </w:tcBorders>
          </w:tcPr>
          <w:p>
            <w:pPr>
              <w:pStyle w:val="TableParagraph"/>
              <w:spacing w:before="56"/>
              <w:ind w:right="241"/>
              <w:rPr>
                <w:sz w:val="24"/>
              </w:rPr>
            </w:pPr>
            <w:r>
              <w:rPr>
                <w:sz w:val="24"/>
              </w:rPr>
              <w:t>32,990</w:t>
            </w:r>
          </w:p>
        </w:tc>
        <w:tc>
          <w:tcPr>
            <w:tcW w:w="1045" w:type="dxa"/>
            <w:tcBorders>
              <w:top w:val="nil"/>
              <w:left w:val="nil"/>
              <w:bottom w:val="nil"/>
              <w:right w:val="nil"/>
            </w:tcBorders>
          </w:tcPr>
          <w:p>
            <w:pPr>
              <w:pStyle w:val="TableParagraph"/>
              <w:spacing w:before="56"/>
              <w:ind w:right="62"/>
              <w:rPr>
                <w:sz w:val="24"/>
              </w:rPr>
            </w:pPr>
            <w:r>
              <w:rPr>
                <w:sz w:val="24"/>
              </w:rPr>
              <w:t>41,238</w:t>
            </w:r>
          </w:p>
        </w:tc>
      </w:tr>
      <w:tr>
        <w:trPr>
          <w:trHeight w:val="480" w:hRule="exact"/>
        </w:trPr>
        <w:tc>
          <w:tcPr>
            <w:tcW w:w="2042" w:type="dxa"/>
            <w:tcBorders>
              <w:top w:val="nil"/>
              <w:left w:val="nil"/>
              <w:right w:val="nil"/>
            </w:tcBorders>
          </w:tcPr>
          <w:p>
            <w:pPr>
              <w:pStyle w:val="TableParagraph"/>
              <w:spacing w:before="58"/>
              <w:ind w:left="71" w:right="430"/>
              <w:jc w:val="left"/>
              <w:rPr>
                <w:sz w:val="24"/>
              </w:rPr>
            </w:pPr>
            <w:r>
              <w:rPr>
                <w:sz w:val="24"/>
              </w:rPr>
              <w:t>Valor residual</w:t>
            </w:r>
          </w:p>
        </w:tc>
        <w:tc>
          <w:tcPr>
            <w:tcW w:w="1717" w:type="dxa"/>
            <w:tcBorders>
              <w:top w:val="nil"/>
              <w:left w:val="nil"/>
              <w:right w:val="nil"/>
            </w:tcBorders>
          </w:tcPr>
          <w:p>
            <w:pPr>
              <w:pStyle w:val="TableParagraph"/>
              <w:spacing w:before="58"/>
              <w:ind w:right="235"/>
              <w:rPr>
                <w:sz w:val="24"/>
              </w:rPr>
            </w:pPr>
            <w:r>
              <w:rPr>
                <w:sz w:val="24"/>
              </w:rPr>
              <w:t>694,113</w:t>
            </w:r>
          </w:p>
        </w:tc>
        <w:tc>
          <w:tcPr>
            <w:tcW w:w="1008" w:type="dxa"/>
            <w:tcBorders>
              <w:top w:val="nil"/>
              <w:left w:val="nil"/>
              <w:right w:val="nil"/>
            </w:tcBorders>
          </w:tcPr>
          <w:p>
            <w:pPr/>
          </w:p>
        </w:tc>
        <w:tc>
          <w:tcPr>
            <w:tcW w:w="1078" w:type="dxa"/>
            <w:tcBorders>
              <w:top w:val="nil"/>
              <w:left w:val="nil"/>
              <w:right w:val="nil"/>
            </w:tcBorders>
          </w:tcPr>
          <w:p>
            <w:pPr/>
          </w:p>
        </w:tc>
        <w:tc>
          <w:tcPr>
            <w:tcW w:w="1152" w:type="dxa"/>
            <w:tcBorders>
              <w:top w:val="nil"/>
              <w:left w:val="nil"/>
              <w:right w:val="nil"/>
            </w:tcBorders>
          </w:tcPr>
          <w:p>
            <w:pPr/>
          </w:p>
        </w:tc>
        <w:tc>
          <w:tcPr>
            <w:tcW w:w="1225" w:type="dxa"/>
            <w:tcBorders>
              <w:top w:val="nil"/>
              <w:left w:val="nil"/>
              <w:right w:val="nil"/>
            </w:tcBorders>
          </w:tcPr>
          <w:p>
            <w:pPr/>
          </w:p>
        </w:tc>
        <w:tc>
          <w:tcPr>
            <w:tcW w:w="1045" w:type="dxa"/>
            <w:tcBorders>
              <w:top w:val="nil"/>
              <w:left w:val="nil"/>
              <w:right w:val="nil"/>
            </w:tcBorders>
          </w:tcPr>
          <w:p>
            <w:pPr/>
          </w:p>
        </w:tc>
      </w:tr>
    </w:tbl>
    <w:p>
      <w:pPr>
        <w:spacing w:line="220" w:lineRule="exact" w:before="0"/>
        <w:ind w:left="179" w:right="0" w:firstLine="0"/>
        <w:jc w:val="both"/>
        <w:rPr>
          <w:sz w:val="20"/>
        </w:rPr>
      </w:pPr>
      <w:r>
        <w:rPr>
          <w:sz w:val="20"/>
        </w:rPr>
        <w:t>Elaboración propia, con base en el presupuesto de Inversión Total Inicial.</w:t>
      </w:r>
    </w:p>
    <w:p>
      <w:pPr>
        <w:pStyle w:val="BodyText"/>
        <w:rPr>
          <w:sz w:val="20"/>
        </w:rPr>
      </w:pPr>
    </w:p>
    <w:p>
      <w:pPr>
        <w:pStyle w:val="BodyText"/>
        <w:rPr>
          <w:sz w:val="26"/>
        </w:rPr>
      </w:pPr>
    </w:p>
    <w:p>
      <w:pPr>
        <w:pStyle w:val="BodyText"/>
        <w:spacing w:line="360" w:lineRule="auto"/>
        <w:ind w:left="179" w:right="173"/>
        <w:jc w:val="both"/>
      </w:pPr>
      <w:r>
        <w:rPr/>
        <w:t>Los egresos totales (costos y gastos), estimados y proyectados (Cuadro 11), con el método mencionado, ascienden a poco más de 2 millones de (MDP) por cada año de operación del proyecto de la engorda, 99.4% de los egresos totales, corresponden a costos variables y la diferencia a costos fijos. De los costos variables, el rubro de mayor desembolso es por compra anual toretes y alimento, que se realizará y que finalizados en sus instalaciones.</w:t>
      </w:r>
    </w:p>
    <w:p>
      <w:pPr>
        <w:spacing w:after="0" w:line="360" w:lineRule="auto"/>
        <w:jc w:val="both"/>
        <w:sectPr>
          <w:pgSz w:w="12240" w:h="15840"/>
          <w:pgMar w:header="0" w:footer="1180" w:top="1360" w:bottom="1380" w:left="1520" w:right="1240"/>
        </w:sectPr>
      </w:pPr>
    </w:p>
    <w:p>
      <w:pPr>
        <w:pStyle w:val="BodyText"/>
        <w:spacing w:before="52"/>
        <w:ind w:left="199"/>
      </w:pPr>
      <w:r>
        <w:rPr/>
        <w:t>Cuadro 11. Estructura del plan de costos (pesos).</w:t>
      </w:r>
    </w:p>
    <w:p>
      <w:pPr>
        <w:pStyle w:val="BodyText"/>
        <w:spacing w:before="7" w:after="1"/>
        <w:rPr>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5"/>
        <w:gridCol w:w="1214"/>
        <w:gridCol w:w="1207"/>
        <w:gridCol w:w="1208"/>
        <w:gridCol w:w="1210"/>
        <w:gridCol w:w="1204"/>
      </w:tblGrid>
      <w:tr>
        <w:trPr>
          <w:trHeight w:val="422" w:hRule="exact"/>
        </w:trPr>
        <w:tc>
          <w:tcPr>
            <w:tcW w:w="2975" w:type="dxa"/>
            <w:tcBorders>
              <w:left w:val="nil"/>
              <w:right w:val="nil"/>
            </w:tcBorders>
          </w:tcPr>
          <w:p>
            <w:pPr>
              <w:pStyle w:val="TableParagraph"/>
              <w:spacing w:line="272" w:lineRule="exact" w:before="0"/>
              <w:ind w:left="86"/>
              <w:jc w:val="left"/>
              <w:rPr>
                <w:sz w:val="24"/>
              </w:rPr>
            </w:pPr>
            <w:r>
              <w:rPr>
                <w:sz w:val="24"/>
              </w:rPr>
              <w:t>Concepto</w:t>
            </w:r>
          </w:p>
        </w:tc>
        <w:tc>
          <w:tcPr>
            <w:tcW w:w="1214" w:type="dxa"/>
            <w:tcBorders>
              <w:left w:val="nil"/>
              <w:right w:val="nil"/>
            </w:tcBorders>
          </w:tcPr>
          <w:p>
            <w:pPr>
              <w:pStyle w:val="TableParagraph"/>
              <w:spacing w:line="272" w:lineRule="exact" w:before="0"/>
              <w:ind w:right="72"/>
              <w:rPr>
                <w:sz w:val="24"/>
              </w:rPr>
            </w:pPr>
            <w:r>
              <w:rPr>
                <w:w w:val="99"/>
                <w:sz w:val="24"/>
              </w:rPr>
              <w:t>1</w:t>
            </w:r>
          </w:p>
        </w:tc>
        <w:tc>
          <w:tcPr>
            <w:tcW w:w="1207" w:type="dxa"/>
            <w:tcBorders>
              <w:left w:val="nil"/>
              <w:right w:val="nil"/>
            </w:tcBorders>
          </w:tcPr>
          <w:p>
            <w:pPr>
              <w:pStyle w:val="TableParagraph"/>
              <w:spacing w:line="272" w:lineRule="exact" w:before="0"/>
              <w:ind w:right="70"/>
              <w:rPr>
                <w:sz w:val="24"/>
              </w:rPr>
            </w:pPr>
            <w:r>
              <w:rPr>
                <w:w w:val="99"/>
                <w:sz w:val="24"/>
              </w:rPr>
              <w:t>2</w:t>
            </w:r>
          </w:p>
        </w:tc>
        <w:tc>
          <w:tcPr>
            <w:tcW w:w="1208" w:type="dxa"/>
            <w:tcBorders>
              <w:left w:val="nil"/>
              <w:right w:val="nil"/>
            </w:tcBorders>
          </w:tcPr>
          <w:p>
            <w:pPr>
              <w:pStyle w:val="TableParagraph"/>
              <w:spacing w:line="272" w:lineRule="exact" w:before="0"/>
              <w:ind w:right="72"/>
              <w:rPr>
                <w:sz w:val="24"/>
              </w:rPr>
            </w:pPr>
            <w:r>
              <w:rPr>
                <w:w w:val="99"/>
                <w:sz w:val="24"/>
              </w:rPr>
              <w:t>3</w:t>
            </w:r>
          </w:p>
        </w:tc>
        <w:tc>
          <w:tcPr>
            <w:tcW w:w="1210" w:type="dxa"/>
            <w:tcBorders>
              <w:left w:val="nil"/>
              <w:right w:val="nil"/>
            </w:tcBorders>
          </w:tcPr>
          <w:p>
            <w:pPr>
              <w:pStyle w:val="TableParagraph"/>
              <w:spacing w:line="272" w:lineRule="exact" w:before="0"/>
              <w:ind w:right="72"/>
              <w:rPr>
                <w:sz w:val="24"/>
              </w:rPr>
            </w:pPr>
            <w:r>
              <w:rPr>
                <w:w w:val="99"/>
                <w:sz w:val="24"/>
              </w:rPr>
              <w:t>4</w:t>
            </w:r>
          </w:p>
        </w:tc>
        <w:tc>
          <w:tcPr>
            <w:tcW w:w="1204" w:type="dxa"/>
            <w:tcBorders>
              <w:left w:val="nil"/>
              <w:right w:val="nil"/>
            </w:tcBorders>
          </w:tcPr>
          <w:p>
            <w:pPr>
              <w:pStyle w:val="TableParagraph"/>
              <w:spacing w:line="272" w:lineRule="exact" w:before="0"/>
              <w:ind w:right="66"/>
              <w:rPr>
                <w:sz w:val="24"/>
              </w:rPr>
            </w:pPr>
            <w:r>
              <w:rPr>
                <w:w w:val="99"/>
                <w:sz w:val="24"/>
              </w:rPr>
              <w:t>5</w:t>
            </w:r>
          </w:p>
        </w:tc>
      </w:tr>
      <w:tr>
        <w:trPr>
          <w:trHeight w:val="355" w:hRule="exact"/>
        </w:trPr>
        <w:tc>
          <w:tcPr>
            <w:tcW w:w="2975" w:type="dxa"/>
            <w:tcBorders>
              <w:left w:val="nil"/>
              <w:bottom w:val="nil"/>
              <w:right w:val="nil"/>
            </w:tcBorders>
          </w:tcPr>
          <w:p>
            <w:pPr/>
          </w:p>
        </w:tc>
        <w:tc>
          <w:tcPr>
            <w:tcW w:w="1214" w:type="dxa"/>
            <w:tcBorders>
              <w:left w:val="nil"/>
              <w:bottom w:val="nil"/>
              <w:right w:val="nil"/>
            </w:tcBorders>
          </w:tcPr>
          <w:p>
            <w:pPr/>
          </w:p>
        </w:tc>
        <w:tc>
          <w:tcPr>
            <w:tcW w:w="2415" w:type="dxa"/>
            <w:gridSpan w:val="2"/>
            <w:tcBorders>
              <w:left w:val="nil"/>
              <w:bottom w:val="nil"/>
              <w:right w:val="nil"/>
            </w:tcBorders>
          </w:tcPr>
          <w:p>
            <w:pPr>
              <w:pStyle w:val="TableParagraph"/>
              <w:spacing w:line="267" w:lineRule="exact" w:before="0"/>
              <w:ind w:left="70"/>
              <w:jc w:val="left"/>
              <w:rPr>
                <w:b/>
                <w:sz w:val="24"/>
              </w:rPr>
            </w:pPr>
            <w:r>
              <w:rPr>
                <w:b/>
                <w:sz w:val="24"/>
              </w:rPr>
              <w:t>Costos var. ($)</w:t>
            </w:r>
          </w:p>
        </w:tc>
        <w:tc>
          <w:tcPr>
            <w:tcW w:w="1210" w:type="dxa"/>
            <w:tcBorders>
              <w:left w:val="nil"/>
              <w:bottom w:val="nil"/>
              <w:right w:val="nil"/>
            </w:tcBorders>
          </w:tcPr>
          <w:p>
            <w:pPr>
              <w:pStyle w:val="TableParagraph"/>
              <w:spacing w:line="267" w:lineRule="exact" w:before="0"/>
              <w:ind w:right="69"/>
              <w:rPr>
                <w:b/>
                <w:sz w:val="24"/>
              </w:rPr>
            </w:pPr>
            <w:r>
              <w:rPr>
                <w:b/>
                <w:sz w:val="24"/>
              </w:rPr>
              <w:t>2,008,600</w:t>
            </w:r>
          </w:p>
        </w:tc>
        <w:tc>
          <w:tcPr>
            <w:tcW w:w="1204" w:type="dxa"/>
            <w:tcBorders>
              <w:left w:val="nil"/>
              <w:bottom w:val="nil"/>
              <w:right w:val="nil"/>
            </w:tcBorders>
          </w:tcPr>
          <w:p>
            <w:pPr/>
          </w:p>
        </w:tc>
      </w:tr>
      <w:tr>
        <w:trPr>
          <w:trHeight w:val="418" w:hRule="exact"/>
        </w:trPr>
        <w:tc>
          <w:tcPr>
            <w:tcW w:w="2975" w:type="dxa"/>
            <w:tcBorders>
              <w:top w:val="nil"/>
              <w:left w:val="nil"/>
              <w:bottom w:val="nil"/>
              <w:right w:val="nil"/>
            </w:tcBorders>
          </w:tcPr>
          <w:p>
            <w:pPr>
              <w:pStyle w:val="TableParagraph"/>
              <w:spacing w:before="58"/>
              <w:ind w:left="86"/>
              <w:jc w:val="left"/>
              <w:rPr>
                <w:sz w:val="24"/>
              </w:rPr>
            </w:pPr>
            <w:r>
              <w:rPr>
                <w:sz w:val="24"/>
              </w:rPr>
              <w:t>Mano de obra</w:t>
            </w:r>
          </w:p>
        </w:tc>
        <w:tc>
          <w:tcPr>
            <w:tcW w:w="1214" w:type="dxa"/>
            <w:tcBorders>
              <w:top w:val="nil"/>
              <w:left w:val="nil"/>
              <w:bottom w:val="nil"/>
              <w:right w:val="nil"/>
            </w:tcBorders>
          </w:tcPr>
          <w:p>
            <w:pPr>
              <w:pStyle w:val="TableParagraph"/>
              <w:spacing w:before="58"/>
              <w:ind w:right="69"/>
              <w:rPr>
                <w:sz w:val="24"/>
              </w:rPr>
            </w:pPr>
            <w:r>
              <w:rPr>
                <w:sz w:val="24"/>
              </w:rPr>
              <w:t>162,000</w:t>
            </w:r>
          </w:p>
        </w:tc>
        <w:tc>
          <w:tcPr>
            <w:tcW w:w="1207" w:type="dxa"/>
            <w:tcBorders>
              <w:top w:val="nil"/>
              <w:left w:val="nil"/>
              <w:bottom w:val="nil"/>
              <w:right w:val="nil"/>
            </w:tcBorders>
          </w:tcPr>
          <w:p>
            <w:pPr>
              <w:pStyle w:val="TableParagraph"/>
              <w:spacing w:before="58"/>
              <w:ind w:right="66"/>
              <w:rPr>
                <w:sz w:val="24"/>
              </w:rPr>
            </w:pPr>
            <w:r>
              <w:rPr>
                <w:sz w:val="24"/>
              </w:rPr>
              <w:t>162,000</w:t>
            </w:r>
          </w:p>
        </w:tc>
        <w:tc>
          <w:tcPr>
            <w:tcW w:w="1208" w:type="dxa"/>
            <w:tcBorders>
              <w:top w:val="nil"/>
              <w:left w:val="nil"/>
              <w:bottom w:val="nil"/>
              <w:right w:val="nil"/>
            </w:tcBorders>
          </w:tcPr>
          <w:p>
            <w:pPr>
              <w:pStyle w:val="TableParagraph"/>
              <w:spacing w:before="58"/>
              <w:ind w:right="68"/>
              <w:rPr>
                <w:sz w:val="24"/>
              </w:rPr>
            </w:pPr>
            <w:r>
              <w:rPr>
                <w:sz w:val="24"/>
              </w:rPr>
              <w:t>162,000</w:t>
            </w:r>
          </w:p>
        </w:tc>
        <w:tc>
          <w:tcPr>
            <w:tcW w:w="1210" w:type="dxa"/>
            <w:tcBorders>
              <w:top w:val="nil"/>
              <w:left w:val="nil"/>
              <w:bottom w:val="nil"/>
              <w:right w:val="nil"/>
            </w:tcBorders>
          </w:tcPr>
          <w:p>
            <w:pPr>
              <w:pStyle w:val="TableParagraph"/>
              <w:spacing w:before="58"/>
              <w:ind w:right="68"/>
              <w:rPr>
                <w:sz w:val="24"/>
              </w:rPr>
            </w:pPr>
            <w:r>
              <w:rPr>
                <w:sz w:val="24"/>
              </w:rPr>
              <w:t>162,000</w:t>
            </w:r>
          </w:p>
        </w:tc>
        <w:tc>
          <w:tcPr>
            <w:tcW w:w="1204" w:type="dxa"/>
            <w:tcBorders>
              <w:top w:val="nil"/>
              <w:left w:val="nil"/>
              <w:bottom w:val="nil"/>
              <w:right w:val="nil"/>
            </w:tcBorders>
          </w:tcPr>
          <w:p>
            <w:pPr>
              <w:pStyle w:val="TableParagraph"/>
              <w:spacing w:before="58"/>
              <w:ind w:right="63"/>
              <w:rPr>
                <w:sz w:val="24"/>
              </w:rPr>
            </w:pPr>
            <w:r>
              <w:rPr>
                <w:sz w:val="24"/>
              </w:rPr>
              <w:t>162,000</w:t>
            </w:r>
          </w:p>
        </w:tc>
      </w:tr>
      <w:tr>
        <w:trPr>
          <w:trHeight w:val="415" w:hRule="exact"/>
        </w:trPr>
        <w:tc>
          <w:tcPr>
            <w:tcW w:w="2975" w:type="dxa"/>
            <w:tcBorders>
              <w:top w:val="nil"/>
              <w:left w:val="nil"/>
              <w:bottom w:val="nil"/>
              <w:right w:val="nil"/>
            </w:tcBorders>
          </w:tcPr>
          <w:p>
            <w:pPr>
              <w:pStyle w:val="TableParagraph"/>
              <w:spacing w:before="58"/>
              <w:ind w:left="86"/>
              <w:jc w:val="left"/>
              <w:rPr>
                <w:sz w:val="24"/>
              </w:rPr>
            </w:pPr>
            <w:r>
              <w:rPr>
                <w:sz w:val="24"/>
              </w:rPr>
              <w:t>Materia prima</w:t>
            </w:r>
          </w:p>
        </w:tc>
        <w:tc>
          <w:tcPr>
            <w:tcW w:w="1214" w:type="dxa"/>
            <w:tcBorders>
              <w:top w:val="nil"/>
              <w:left w:val="nil"/>
              <w:bottom w:val="nil"/>
              <w:right w:val="nil"/>
            </w:tcBorders>
          </w:tcPr>
          <w:p>
            <w:pPr>
              <w:pStyle w:val="TableParagraph"/>
              <w:spacing w:before="58"/>
              <w:ind w:right="69"/>
              <w:rPr>
                <w:sz w:val="24"/>
              </w:rPr>
            </w:pPr>
            <w:r>
              <w:rPr>
                <w:sz w:val="24"/>
              </w:rPr>
              <w:t>1,470,000</w:t>
            </w:r>
          </w:p>
        </w:tc>
        <w:tc>
          <w:tcPr>
            <w:tcW w:w="1207" w:type="dxa"/>
            <w:tcBorders>
              <w:top w:val="nil"/>
              <w:left w:val="nil"/>
              <w:bottom w:val="nil"/>
              <w:right w:val="nil"/>
            </w:tcBorders>
          </w:tcPr>
          <w:p>
            <w:pPr>
              <w:pStyle w:val="TableParagraph"/>
              <w:spacing w:before="58"/>
              <w:ind w:right="66"/>
              <w:rPr>
                <w:sz w:val="24"/>
              </w:rPr>
            </w:pPr>
            <w:r>
              <w:rPr>
                <w:sz w:val="24"/>
              </w:rPr>
              <w:t>1,470,000</w:t>
            </w:r>
          </w:p>
        </w:tc>
        <w:tc>
          <w:tcPr>
            <w:tcW w:w="1208" w:type="dxa"/>
            <w:tcBorders>
              <w:top w:val="nil"/>
              <w:left w:val="nil"/>
              <w:bottom w:val="nil"/>
              <w:right w:val="nil"/>
            </w:tcBorders>
          </w:tcPr>
          <w:p>
            <w:pPr>
              <w:pStyle w:val="TableParagraph"/>
              <w:spacing w:before="58"/>
              <w:ind w:right="69"/>
              <w:rPr>
                <w:sz w:val="24"/>
              </w:rPr>
            </w:pPr>
            <w:r>
              <w:rPr>
                <w:sz w:val="24"/>
              </w:rPr>
              <w:t>1,470,000</w:t>
            </w:r>
          </w:p>
        </w:tc>
        <w:tc>
          <w:tcPr>
            <w:tcW w:w="1210" w:type="dxa"/>
            <w:tcBorders>
              <w:top w:val="nil"/>
              <w:left w:val="nil"/>
              <w:bottom w:val="nil"/>
              <w:right w:val="nil"/>
            </w:tcBorders>
          </w:tcPr>
          <w:p>
            <w:pPr>
              <w:pStyle w:val="TableParagraph"/>
              <w:spacing w:before="58"/>
              <w:ind w:right="69"/>
              <w:rPr>
                <w:sz w:val="24"/>
              </w:rPr>
            </w:pPr>
            <w:r>
              <w:rPr>
                <w:sz w:val="24"/>
              </w:rPr>
              <w:t>1,470,000</w:t>
            </w:r>
          </w:p>
        </w:tc>
        <w:tc>
          <w:tcPr>
            <w:tcW w:w="1204" w:type="dxa"/>
            <w:tcBorders>
              <w:top w:val="nil"/>
              <w:left w:val="nil"/>
              <w:bottom w:val="nil"/>
              <w:right w:val="nil"/>
            </w:tcBorders>
          </w:tcPr>
          <w:p>
            <w:pPr>
              <w:pStyle w:val="TableParagraph"/>
              <w:spacing w:before="58"/>
              <w:ind w:right="63"/>
              <w:rPr>
                <w:sz w:val="24"/>
              </w:rPr>
            </w:pPr>
            <w:r>
              <w:rPr>
                <w:sz w:val="24"/>
              </w:rPr>
              <w:t>1,470,000</w:t>
            </w:r>
          </w:p>
        </w:tc>
      </w:tr>
      <w:tr>
        <w:trPr>
          <w:trHeight w:val="413" w:hRule="exact"/>
        </w:trPr>
        <w:tc>
          <w:tcPr>
            <w:tcW w:w="2975" w:type="dxa"/>
            <w:tcBorders>
              <w:top w:val="nil"/>
              <w:left w:val="nil"/>
              <w:bottom w:val="nil"/>
              <w:right w:val="nil"/>
            </w:tcBorders>
          </w:tcPr>
          <w:p>
            <w:pPr>
              <w:pStyle w:val="TableParagraph"/>
              <w:ind w:left="86"/>
              <w:jc w:val="left"/>
              <w:rPr>
                <w:sz w:val="24"/>
              </w:rPr>
            </w:pPr>
            <w:r>
              <w:rPr>
                <w:sz w:val="24"/>
              </w:rPr>
              <w:t>Alimentación</w:t>
            </w:r>
          </w:p>
        </w:tc>
        <w:tc>
          <w:tcPr>
            <w:tcW w:w="1214" w:type="dxa"/>
            <w:tcBorders>
              <w:top w:val="nil"/>
              <w:left w:val="nil"/>
              <w:bottom w:val="nil"/>
              <w:right w:val="nil"/>
            </w:tcBorders>
          </w:tcPr>
          <w:p>
            <w:pPr>
              <w:pStyle w:val="TableParagraph"/>
              <w:ind w:right="69"/>
              <w:rPr>
                <w:sz w:val="24"/>
              </w:rPr>
            </w:pPr>
            <w:r>
              <w:rPr>
                <w:sz w:val="24"/>
              </w:rPr>
              <w:t>356,400</w:t>
            </w:r>
          </w:p>
        </w:tc>
        <w:tc>
          <w:tcPr>
            <w:tcW w:w="1207" w:type="dxa"/>
            <w:tcBorders>
              <w:top w:val="nil"/>
              <w:left w:val="nil"/>
              <w:bottom w:val="nil"/>
              <w:right w:val="nil"/>
            </w:tcBorders>
          </w:tcPr>
          <w:p>
            <w:pPr>
              <w:pStyle w:val="TableParagraph"/>
              <w:ind w:right="66"/>
              <w:rPr>
                <w:sz w:val="24"/>
              </w:rPr>
            </w:pPr>
            <w:r>
              <w:rPr>
                <w:sz w:val="24"/>
              </w:rPr>
              <w:t>356,400</w:t>
            </w:r>
          </w:p>
        </w:tc>
        <w:tc>
          <w:tcPr>
            <w:tcW w:w="1208" w:type="dxa"/>
            <w:tcBorders>
              <w:top w:val="nil"/>
              <w:left w:val="nil"/>
              <w:bottom w:val="nil"/>
              <w:right w:val="nil"/>
            </w:tcBorders>
          </w:tcPr>
          <w:p>
            <w:pPr>
              <w:pStyle w:val="TableParagraph"/>
              <w:ind w:right="68"/>
              <w:rPr>
                <w:sz w:val="24"/>
              </w:rPr>
            </w:pPr>
            <w:r>
              <w:rPr>
                <w:sz w:val="24"/>
              </w:rPr>
              <w:t>356,400</w:t>
            </w:r>
          </w:p>
        </w:tc>
        <w:tc>
          <w:tcPr>
            <w:tcW w:w="1210" w:type="dxa"/>
            <w:tcBorders>
              <w:top w:val="nil"/>
              <w:left w:val="nil"/>
              <w:bottom w:val="nil"/>
              <w:right w:val="nil"/>
            </w:tcBorders>
          </w:tcPr>
          <w:p>
            <w:pPr>
              <w:pStyle w:val="TableParagraph"/>
              <w:ind w:right="68"/>
              <w:rPr>
                <w:sz w:val="24"/>
              </w:rPr>
            </w:pPr>
            <w:r>
              <w:rPr>
                <w:sz w:val="24"/>
              </w:rPr>
              <w:t>356,400</w:t>
            </w:r>
          </w:p>
        </w:tc>
        <w:tc>
          <w:tcPr>
            <w:tcW w:w="1204" w:type="dxa"/>
            <w:tcBorders>
              <w:top w:val="nil"/>
              <w:left w:val="nil"/>
              <w:bottom w:val="nil"/>
              <w:right w:val="nil"/>
            </w:tcBorders>
          </w:tcPr>
          <w:p>
            <w:pPr>
              <w:pStyle w:val="TableParagraph"/>
              <w:ind w:right="63"/>
              <w:rPr>
                <w:sz w:val="24"/>
              </w:rPr>
            </w:pPr>
            <w:r>
              <w:rPr>
                <w:sz w:val="24"/>
              </w:rPr>
              <w:t>356,400</w:t>
            </w:r>
          </w:p>
        </w:tc>
      </w:tr>
      <w:tr>
        <w:trPr>
          <w:trHeight w:val="413" w:hRule="exact"/>
        </w:trPr>
        <w:tc>
          <w:tcPr>
            <w:tcW w:w="2975" w:type="dxa"/>
            <w:tcBorders>
              <w:top w:val="nil"/>
              <w:left w:val="nil"/>
              <w:bottom w:val="nil"/>
              <w:right w:val="nil"/>
            </w:tcBorders>
          </w:tcPr>
          <w:p>
            <w:pPr>
              <w:pStyle w:val="TableParagraph"/>
              <w:ind w:left="86"/>
              <w:jc w:val="left"/>
              <w:rPr>
                <w:sz w:val="24"/>
              </w:rPr>
            </w:pPr>
            <w:r>
              <w:rPr>
                <w:sz w:val="24"/>
              </w:rPr>
              <w:t>Vacunación/desparas.</w:t>
            </w:r>
          </w:p>
        </w:tc>
        <w:tc>
          <w:tcPr>
            <w:tcW w:w="1214" w:type="dxa"/>
            <w:tcBorders>
              <w:top w:val="nil"/>
              <w:left w:val="nil"/>
              <w:bottom w:val="nil"/>
              <w:right w:val="nil"/>
            </w:tcBorders>
          </w:tcPr>
          <w:p>
            <w:pPr>
              <w:pStyle w:val="TableParagraph"/>
              <w:ind w:right="68"/>
              <w:rPr>
                <w:sz w:val="24"/>
              </w:rPr>
            </w:pPr>
            <w:r>
              <w:rPr>
                <w:sz w:val="24"/>
              </w:rPr>
              <w:t>1,000</w:t>
            </w:r>
          </w:p>
        </w:tc>
        <w:tc>
          <w:tcPr>
            <w:tcW w:w="1207" w:type="dxa"/>
            <w:tcBorders>
              <w:top w:val="nil"/>
              <w:left w:val="nil"/>
              <w:bottom w:val="nil"/>
              <w:right w:val="nil"/>
            </w:tcBorders>
          </w:tcPr>
          <w:p>
            <w:pPr>
              <w:pStyle w:val="TableParagraph"/>
              <w:ind w:right="66"/>
              <w:rPr>
                <w:sz w:val="24"/>
              </w:rPr>
            </w:pPr>
            <w:r>
              <w:rPr>
                <w:sz w:val="24"/>
              </w:rPr>
              <w:t>1,000</w:t>
            </w:r>
          </w:p>
        </w:tc>
        <w:tc>
          <w:tcPr>
            <w:tcW w:w="1208" w:type="dxa"/>
            <w:tcBorders>
              <w:top w:val="nil"/>
              <w:left w:val="nil"/>
              <w:bottom w:val="nil"/>
              <w:right w:val="nil"/>
            </w:tcBorders>
          </w:tcPr>
          <w:p>
            <w:pPr>
              <w:pStyle w:val="TableParagraph"/>
              <w:ind w:right="68"/>
              <w:rPr>
                <w:sz w:val="24"/>
              </w:rPr>
            </w:pPr>
            <w:r>
              <w:rPr>
                <w:sz w:val="24"/>
              </w:rPr>
              <w:t>1,000</w:t>
            </w:r>
          </w:p>
        </w:tc>
        <w:tc>
          <w:tcPr>
            <w:tcW w:w="1210" w:type="dxa"/>
            <w:tcBorders>
              <w:top w:val="nil"/>
              <w:left w:val="nil"/>
              <w:bottom w:val="nil"/>
              <w:right w:val="nil"/>
            </w:tcBorders>
          </w:tcPr>
          <w:p>
            <w:pPr>
              <w:pStyle w:val="TableParagraph"/>
              <w:ind w:right="68"/>
              <w:rPr>
                <w:sz w:val="24"/>
              </w:rPr>
            </w:pPr>
            <w:r>
              <w:rPr>
                <w:sz w:val="24"/>
              </w:rPr>
              <w:t>1,000</w:t>
            </w:r>
          </w:p>
        </w:tc>
        <w:tc>
          <w:tcPr>
            <w:tcW w:w="1204" w:type="dxa"/>
            <w:tcBorders>
              <w:top w:val="nil"/>
              <w:left w:val="nil"/>
              <w:bottom w:val="nil"/>
              <w:right w:val="nil"/>
            </w:tcBorders>
          </w:tcPr>
          <w:p>
            <w:pPr>
              <w:pStyle w:val="TableParagraph"/>
              <w:ind w:right="62"/>
              <w:rPr>
                <w:sz w:val="24"/>
              </w:rPr>
            </w:pPr>
            <w:r>
              <w:rPr>
                <w:sz w:val="24"/>
              </w:rPr>
              <w:t>1,000</w:t>
            </w:r>
          </w:p>
        </w:tc>
      </w:tr>
      <w:tr>
        <w:trPr>
          <w:trHeight w:val="413" w:hRule="exact"/>
        </w:trPr>
        <w:tc>
          <w:tcPr>
            <w:tcW w:w="2975" w:type="dxa"/>
            <w:tcBorders>
              <w:top w:val="nil"/>
              <w:left w:val="nil"/>
              <w:bottom w:val="nil"/>
              <w:right w:val="nil"/>
            </w:tcBorders>
          </w:tcPr>
          <w:p>
            <w:pPr>
              <w:pStyle w:val="TableParagraph"/>
              <w:spacing w:before="56"/>
              <w:ind w:left="86"/>
              <w:jc w:val="left"/>
              <w:rPr>
                <w:sz w:val="24"/>
              </w:rPr>
            </w:pPr>
            <w:r>
              <w:rPr>
                <w:sz w:val="24"/>
              </w:rPr>
              <w:t>Combustible</w:t>
            </w:r>
          </w:p>
        </w:tc>
        <w:tc>
          <w:tcPr>
            <w:tcW w:w="1214" w:type="dxa"/>
            <w:tcBorders>
              <w:top w:val="nil"/>
              <w:left w:val="nil"/>
              <w:bottom w:val="nil"/>
              <w:right w:val="nil"/>
            </w:tcBorders>
          </w:tcPr>
          <w:p>
            <w:pPr>
              <w:pStyle w:val="TableParagraph"/>
              <w:spacing w:before="56"/>
              <w:ind w:right="68"/>
              <w:rPr>
                <w:sz w:val="24"/>
              </w:rPr>
            </w:pPr>
            <w:r>
              <w:rPr>
                <w:sz w:val="24"/>
              </w:rPr>
              <w:t>19,200</w:t>
            </w:r>
          </w:p>
        </w:tc>
        <w:tc>
          <w:tcPr>
            <w:tcW w:w="1207" w:type="dxa"/>
            <w:tcBorders>
              <w:top w:val="nil"/>
              <w:left w:val="nil"/>
              <w:bottom w:val="nil"/>
              <w:right w:val="nil"/>
            </w:tcBorders>
          </w:tcPr>
          <w:p>
            <w:pPr>
              <w:pStyle w:val="TableParagraph"/>
              <w:spacing w:before="56"/>
              <w:ind w:right="66"/>
              <w:rPr>
                <w:sz w:val="24"/>
              </w:rPr>
            </w:pPr>
            <w:r>
              <w:rPr>
                <w:sz w:val="24"/>
              </w:rPr>
              <w:t>19,200</w:t>
            </w:r>
          </w:p>
        </w:tc>
        <w:tc>
          <w:tcPr>
            <w:tcW w:w="1208" w:type="dxa"/>
            <w:tcBorders>
              <w:top w:val="nil"/>
              <w:left w:val="nil"/>
              <w:bottom w:val="nil"/>
              <w:right w:val="nil"/>
            </w:tcBorders>
          </w:tcPr>
          <w:p>
            <w:pPr>
              <w:pStyle w:val="TableParagraph"/>
              <w:spacing w:before="56"/>
              <w:ind w:right="68"/>
              <w:rPr>
                <w:sz w:val="24"/>
              </w:rPr>
            </w:pPr>
            <w:r>
              <w:rPr>
                <w:sz w:val="24"/>
              </w:rPr>
              <w:t>19,200</w:t>
            </w:r>
          </w:p>
        </w:tc>
        <w:tc>
          <w:tcPr>
            <w:tcW w:w="1210" w:type="dxa"/>
            <w:tcBorders>
              <w:top w:val="nil"/>
              <w:left w:val="nil"/>
              <w:bottom w:val="nil"/>
              <w:right w:val="nil"/>
            </w:tcBorders>
          </w:tcPr>
          <w:p>
            <w:pPr>
              <w:pStyle w:val="TableParagraph"/>
              <w:spacing w:before="56"/>
              <w:ind w:right="68"/>
              <w:rPr>
                <w:sz w:val="24"/>
              </w:rPr>
            </w:pPr>
            <w:r>
              <w:rPr>
                <w:sz w:val="24"/>
              </w:rPr>
              <w:t>19,200</w:t>
            </w:r>
          </w:p>
        </w:tc>
        <w:tc>
          <w:tcPr>
            <w:tcW w:w="1204" w:type="dxa"/>
            <w:tcBorders>
              <w:top w:val="nil"/>
              <w:left w:val="nil"/>
              <w:bottom w:val="nil"/>
              <w:right w:val="nil"/>
            </w:tcBorders>
          </w:tcPr>
          <w:p>
            <w:pPr>
              <w:pStyle w:val="TableParagraph"/>
              <w:spacing w:before="56"/>
              <w:ind w:right="62"/>
              <w:rPr>
                <w:sz w:val="24"/>
              </w:rPr>
            </w:pPr>
            <w:r>
              <w:rPr>
                <w:sz w:val="24"/>
              </w:rPr>
              <w:t>19,200</w:t>
            </w:r>
          </w:p>
        </w:tc>
      </w:tr>
      <w:tr>
        <w:trPr>
          <w:trHeight w:val="415" w:hRule="exact"/>
        </w:trPr>
        <w:tc>
          <w:tcPr>
            <w:tcW w:w="2975" w:type="dxa"/>
            <w:tcBorders>
              <w:top w:val="nil"/>
              <w:left w:val="nil"/>
              <w:bottom w:val="nil"/>
              <w:right w:val="nil"/>
            </w:tcBorders>
          </w:tcPr>
          <w:p>
            <w:pPr/>
          </w:p>
        </w:tc>
        <w:tc>
          <w:tcPr>
            <w:tcW w:w="1214" w:type="dxa"/>
            <w:tcBorders>
              <w:top w:val="nil"/>
              <w:left w:val="nil"/>
              <w:bottom w:val="nil"/>
              <w:right w:val="nil"/>
            </w:tcBorders>
          </w:tcPr>
          <w:p>
            <w:pPr/>
          </w:p>
        </w:tc>
        <w:tc>
          <w:tcPr>
            <w:tcW w:w="2415" w:type="dxa"/>
            <w:gridSpan w:val="2"/>
            <w:tcBorders>
              <w:top w:val="nil"/>
              <w:left w:val="nil"/>
              <w:bottom w:val="nil"/>
              <w:right w:val="nil"/>
            </w:tcBorders>
          </w:tcPr>
          <w:p>
            <w:pPr>
              <w:pStyle w:val="TableParagraph"/>
              <w:ind w:left="70"/>
              <w:jc w:val="left"/>
              <w:rPr>
                <w:b/>
                <w:sz w:val="24"/>
              </w:rPr>
            </w:pPr>
            <w:r>
              <w:rPr>
                <w:b/>
                <w:sz w:val="24"/>
              </w:rPr>
              <w:t>Costos fijos ($)</w:t>
            </w:r>
          </w:p>
        </w:tc>
        <w:tc>
          <w:tcPr>
            <w:tcW w:w="1210" w:type="dxa"/>
            <w:tcBorders>
              <w:top w:val="nil"/>
              <w:left w:val="nil"/>
              <w:bottom w:val="nil"/>
              <w:right w:val="nil"/>
            </w:tcBorders>
          </w:tcPr>
          <w:p>
            <w:pPr>
              <w:pStyle w:val="TableParagraph"/>
              <w:ind w:right="68"/>
              <w:rPr>
                <w:b/>
                <w:sz w:val="24"/>
              </w:rPr>
            </w:pPr>
            <w:r>
              <w:rPr>
                <w:b/>
                <w:sz w:val="24"/>
              </w:rPr>
              <w:t>12,648</w:t>
            </w:r>
          </w:p>
        </w:tc>
        <w:tc>
          <w:tcPr>
            <w:tcW w:w="1204" w:type="dxa"/>
            <w:tcBorders>
              <w:top w:val="nil"/>
              <w:left w:val="nil"/>
              <w:bottom w:val="nil"/>
              <w:right w:val="nil"/>
            </w:tcBorders>
          </w:tcPr>
          <w:p>
            <w:pPr/>
          </w:p>
        </w:tc>
      </w:tr>
      <w:tr>
        <w:trPr>
          <w:trHeight w:val="415" w:hRule="exact"/>
        </w:trPr>
        <w:tc>
          <w:tcPr>
            <w:tcW w:w="2975" w:type="dxa"/>
            <w:tcBorders>
              <w:top w:val="nil"/>
              <w:left w:val="nil"/>
              <w:bottom w:val="nil"/>
              <w:right w:val="nil"/>
            </w:tcBorders>
          </w:tcPr>
          <w:p>
            <w:pPr>
              <w:pStyle w:val="TableParagraph"/>
              <w:spacing w:before="58"/>
              <w:ind w:left="86"/>
              <w:jc w:val="left"/>
              <w:rPr>
                <w:sz w:val="24"/>
              </w:rPr>
            </w:pPr>
            <w:r>
              <w:rPr>
                <w:sz w:val="24"/>
              </w:rPr>
              <w:t>Gastos de venta fijos</w:t>
            </w:r>
          </w:p>
        </w:tc>
        <w:tc>
          <w:tcPr>
            <w:tcW w:w="1214" w:type="dxa"/>
            <w:tcBorders>
              <w:top w:val="nil"/>
              <w:left w:val="nil"/>
              <w:bottom w:val="nil"/>
              <w:right w:val="nil"/>
            </w:tcBorders>
          </w:tcPr>
          <w:p>
            <w:pPr>
              <w:pStyle w:val="TableParagraph"/>
              <w:spacing w:before="58"/>
              <w:ind w:right="68"/>
              <w:rPr>
                <w:sz w:val="24"/>
              </w:rPr>
            </w:pPr>
            <w:r>
              <w:rPr>
                <w:sz w:val="24"/>
              </w:rPr>
              <w:t>4,400</w:t>
            </w:r>
          </w:p>
        </w:tc>
        <w:tc>
          <w:tcPr>
            <w:tcW w:w="1207" w:type="dxa"/>
            <w:tcBorders>
              <w:top w:val="nil"/>
              <w:left w:val="nil"/>
              <w:bottom w:val="nil"/>
              <w:right w:val="nil"/>
            </w:tcBorders>
          </w:tcPr>
          <w:p>
            <w:pPr>
              <w:pStyle w:val="TableParagraph"/>
              <w:spacing w:before="58"/>
              <w:ind w:right="66"/>
              <w:rPr>
                <w:sz w:val="24"/>
              </w:rPr>
            </w:pPr>
            <w:r>
              <w:rPr>
                <w:sz w:val="24"/>
              </w:rPr>
              <w:t>4,400</w:t>
            </w:r>
          </w:p>
        </w:tc>
        <w:tc>
          <w:tcPr>
            <w:tcW w:w="1208" w:type="dxa"/>
            <w:tcBorders>
              <w:top w:val="nil"/>
              <w:left w:val="nil"/>
              <w:bottom w:val="nil"/>
              <w:right w:val="nil"/>
            </w:tcBorders>
          </w:tcPr>
          <w:p>
            <w:pPr>
              <w:pStyle w:val="TableParagraph"/>
              <w:spacing w:before="58"/>
              <w:ind w:right="68"/>
              <w:rPr>
                <w:sz w:val="24"/>
              </w:rPr>
            </w:pPr>
            <w:r>
              <w:rPr>
                <w:sz w:val="24"/>
              </w:rPr>
              <w:t>4,400</w:t>
            </w:r>
          </w:p>
        </w:tc>
        <w:tc>
          <w:tcPr>
            <w:tcW w:w="1210" w:type="dxa"/>
            <w:tcBorders>
              <w:top w:val="nil"/>
              <w:left w:val="nil"/>
              <w:bottom w:val="nil"/>
              <w:right w:val="nil"/>
            </w:tcBorders>
          </w:tcPr>
          <w:p>
            <w:pPr>
              <w:pStyle w:val="TableParagraph"/>
              <w:spacing w:before="58"/>
              <w:ind w:right="68"/>
              <w:rPr>
                <w:sz w:val="24"/>
              </w:rPr>
            </w:pPr>
            <w:r>
              <w:rPr>
                <w:sz w:val="24"/>
              </w:rPr>
              <w:t>4,400</w:t>
            </w:r>
          </w:p>
        </w:tc>
        <w:tc>
          <w:tcPr>
            <w:tcW w:w="1204" w:type="dxa"/>
            <w:tcBorders>
              <w:top w:val="nil"/>
              <w:left w:val="nil"/>
              <w:bottom w:val="nil"/>
              <w:right w:val="nil"/>
            </w:tcBorders>
          </w:tcPr>
          <w:p>
            <w:pPr>
              <w:pStyle w:val="TableParagraph"/>
              <w:spacing w:before="58"/>
              <w:ind w:right="62"/>
              <w:rPr>
                <w:sz w:val="24"/>
              </w:rPr>
            </w:pPr>
            <w:r>
              <w:rPr>
                <w:sz w:val="24"/>
              </w:rPr>
              <w:t>4,400</w:t>
            </w:r>
          </w:p>
        </w:tc>
      </w:tr>
      <w:tr>
        <w:trPr>
          <w:trHeight w:val="413" w:hRule="exact"/>
        </w:trPr>
        <w:tc>
          <w:tcPr>
            <w:tcW w:w="2975" w:type="dxa"/>
            <w:tcBorders>
              <w:top w:val="nil"/>
              <w:left w:val="nil"/>
              <w:bottom w:val="nil"/>
              <w:right w:val="nil"/>
            </w:tcBorders>
          </w:tcPr>
          <w:p>
            <w:pPr>
              <w:pStyle w:val="TableParagraph"/>
              <w:ind w:left="86"/>
              <w:jc w:val="left"/>
              <w:rPr>
                <w:sz w:val="24"/>
              </w:rPr>
            </w:pPr>
            <w:r>
              <w:rPr>
                <w:sz w:val="24"/>
              </w:rPr>
              <w:t>Gasto de administración</w:t>
            </w:r>
          </w:p>
        </w:tc>
        <w:tc>
          <w:tcPr>
            <w:tcW w:w="1214" w:type="dxa"/>
            <w:tcBorders>
              <w:top w:val="nil"/>
              <w:left w:val="nil"/>
              <w:bottom w:val="nil"/>
              <w:right w:val="nil"/>
            </w:tcBorders>
          </w:tcPr>
          <w:p>
            <w:pPr>
              <w:pStyle w:val="TableParagraph"/>
              <w:ind w:right="72"/>
              <w:rPr>
                <w:sz w:val="24"/>
              </w:rPr>
            </w:pPr>
            <w:r>
              <w:rPr>
                <w:w w:val="99"/>
                <w:sz w:val="24"/>
              </w:rPr>
              <w:t>0</w:t>
            </w:r>
          </w:p>
        </w:tc>
        <w:tc>
          <w:tcPr>
            <w:tcW w:w="1207" w:type="dxa"/>
            <w:tcBorders>
              <w:top w:val="nil"/>
              <w:left w:val="nil"/>
              <w:bottom w:val="nil"/>
              <w:right w:val="nil"/>
            </w:tcBorders>
          </w:tcPr>
          <w:p>
            <w:pPr>
              <w:pStyle w:val="TableParagraph"/>
              <w:ind w:right="70"/>
              <w:rPr>
                <w:sz w:val="24"/>
              </w:rPr>
            </w:pPr>
            <w:r>
              <w:rPr>
                <w:w w:val="99"/>
                <w:sz w:val="24"/>
              </w:rPr>
              <w:t>0</w:t>
            </w:r>
          </w:p>
        </w:tc>
        <w:tc>
          <w:tcPr>
            <w:tcW w:w="1208" w:type="dxa"/>
            <w:tcBorders>
              <w:top w:val="nil"/>
              <w:left w:val="nil"/>
              <w:bottom w:val="nil"/>
              <w:right w:val="nil"/>
            </w:tcBorders>
          </w:tcPr>
          <w:p>
            <w:pPr>
              <w:pStyle w:val="TableParagraph"/>
              <w:ind w:right="72"/>
              <w:rPr>
                <w:sz w:val="24"/>
              </w:rPr>
            </w:pPr>
            <w:r>
              <w:rPr>
                <w:w w:val="99"/>
                <w:sz w:val="24"/>
              </w:rPr>
              <w:t>0</w:t>
            </w:r>
          </w:p>
        </w:tc>
        <w:tc>
          <w:tcPr>
            <w:tcW w:w="1210" w:type="dxa"/>
            <w:tcBorders>
              <w:top w:val="nil"/>
              <w:left w:val="nil"/>
              <w:bottom w:val="nil"/>
              <w:right w:val="nil"/>
            </w:tcBorders>
          </w:tcPr>
          <w:p>
            <w:pPr>
              <w:pStyle w:val="TableParagraph"/>
              <w:ind w:right="72"/>
              <w:rPr>
                <w:sz w:val="24"/>
              </w:rPr>
            </w:pPr>
            <w:r>
              <w:rPr>
                <w:w w:val="99"/>
                <w:sz w:val="24"/>
              </w:rPr>
              <w:t>0</w:t>
            </w:r>
          </w:p>
        </w:tc>
        <w:tc>
          <w:tcPr>
            <w:tcW w:w="1204" w:type="dxa"/>
            <w:tcBorders>
              <w:top w:val="nil"/>
              <w:left w:val="nil"/>
              <w:bottom w:val="nil"/>
              <w:right w:val="nil"/>
            </w:tcBorders>
          </w:tcPr>
          <w:p>
            <w:pPr>
              <w:pStyle w:val="TableParagraph"/>
              <w:ind w:right="66"/>
              <w:rPr>
                <w:sz w:val="24"/>
              </w:rPr>
            </w:pPr>
            <w:r>
              <w:rPr>
                <w:w w:val="99"/>
                <w:sz w:val="24"/>
              </w:rPr>
              <w:t>0</w:t>
            </w:r>
          </w:p>
        </w:tc>
      </w:tr>
      <w:tr>
        <w:trPr>
          <w:trHeight w:val="413" w:hRule="exact"/>
        </w:trPr>
        <w:tc>
          <w:tcPr>
            <w:tcW w:w="2975" w:type="dxa"/>
            <w:tcBorders>
              <w:top w:val="nil"/>
              <w:left w:val="nil"/>
              <w:bottom w:val="nil"/>
              <w:right w:val="nil"/>
            </w:tcBorders>
          </w:tcPr>
          <w:p>
            <w:pPr>
              <w:pStyle w:val="TableParagraph"/>
              <w:spacing w:before="56"/>
              <w:ind w:left="86"/>
              <w:jc w:val="left"/>
              <w:rPr>
                <w:sz w:val="24"/>
              </w:rPr>
            </w:pPr>
            <w:r>
              <w:rPr>
                <w:sz w:val="24"/>
              </w:rPr>
              <w:t>Costos fijos de producción</w:t>
            </w:r>
          </w:p>
        </w:tc>
        <w:tc>
          <w:tcPr>
            <w:tcW w:w="1214" w:type="dxa"/>
            <w:tcBorders>
              <w:top w:val="nil"/>
              <w:left w:val="nil"/>
              <w:bottom w:val="nil"/>
              <w:right w:val="nil"/>
            </w:tcBorders>
          </w:tcPr>
          <w:p>
            <w:pPr>
              <w:pStyle w:val="TableParagraph"/>
              <w:spacing w:before="56"/>
              <w:ind w:right="72"/>
              <w:rPr>
                <w:sz w:val="24"/>
              </w:rPr>
            </w:pPr>
            <w:r>
              <w:rPr>
                <w:w w:val="99"/>
                <w:sz w:val="24"/>
              </w:rPr>
              <w:t>0</w:t>
            </w:r>
          </w:p>
        </w:tc>
        <w:tc>
          <w:tcPr>
            <w:tcW w:w="1207" w:type="dxa"/>
            <w:tcBorders>
              <w:top w:val="nil"/>
              <w:left w:val="nil"/>
              <w:bottom w:val="nil"/>
              <w:right w:val="nil"/>
            </w:tcBorders>
          </w:tcPr>
          <w:p>
            <w:pPr>
              <w:pStyle w:val="TableParagraph"/>
              <w:spacing w:before="56"/>
              <w:ind w:right="70"/>
              <w:rPr>
                <w:sz w:val="24"/>
              </w:rPr>
            </w:pPr>
            <w:r>
              <w:rPr>
                <w:w w:val="99"/>
                <w:sz w:val="24"/>
              </w:rPr>
              <w:t>0</w:t>
            </w:r>
          </w:p>
        </w:tc>
        <w:tc>
          <w:tcPr>
            <w:tcW w:w="1208" w:type="dxa"/>
            <w:tcBorders>
              <w:top w:val="nil"/>
              <w:left w:val="nil"/>
              <w:bottom w:val="nil"/>
              <w:right w:val="nil"/>
            </w:tcBorders>
          </w:tcPr>
          <w:p>
            <w:pPr>
              <w:pStyle w:val="TableParagraph"/>
              <w:spacing w:before="56"/>
              <w:ind w:right="72"/>
              <w:rPr>
                <w:sz w:val="24"/>
              </w:rPr>
            </w:pPr>
            <w:r>
              <w:rPr>
                <w:w w:val="99"/>
                <w:sz w:val="24"/>
              </w:rPr>
              <w:t>0</w:t>
            </w:r>
          </w:p>
        </w:tc>
        <w:tc>
          <w:tcPr>
            <w:tcW w:w="1210" w:type="dxa"/>
            <w:tcBorders>
              <w:top w:val="nil"/>
              <w:left w:val="nil"/>
              <w:bottom w:val="nil"/>
              <w:right w:val="nil"/>
            </w:tcBorders>
          </w:tcPr>
          <w:p>
            <w:pPr>
              <w:pStyle w:val="TableParagraph"/>
              <w:spacing w:before="56"/>
              <w:ind w:right="72"/>
              <w:rPr>
                <w:sz w:val="24"/>
              </w:rPr>
            </w:pPr>
            <w:r>
              <w:rPr>
                <w:w w:val="99"/>
                <w:sz w:val="24"/>
              </w:rPr>
              <w:t>0</w:t>
            </w:r>
          </w:p>
        </w:tc>
        <w:tc>
          <w:tcPr>
            <w:tcW w:w="1204" w:type="dxa"/>
            <w:tcBorders>
              <w:top w:val="nil"/>
              <w:left w:val="nil"/>
              <w:bottom w:val="nil"/>
              <w:right w:val="nil"/>
            </w:tcBorders>
          </w:tcPr>
          <w:p>
            <w:pPr>
              <w:pStyle w:val="TableParagraph"/>
              <w:spacing w:before="56"/>
              <w:ind w:right="66"/>
              <w:rPr>
                <w:sz w:val="24"/>
              </w:rPr>
            </w:pPr>
            <w:r>
              <w:rPr>
                <w:w w:val="99"/>
                <w:sz w:val="24"/>
              </w:rPr>
              <w:t>0</w:t>
            </w:r>
          </w:p>
        </w:tc>
      </w:tr>
      <w:tr>
        <w:trPr>
          <w:trHeight w:val="482" w:hRule="exact"/>
        </w:trPr>
        <w:tc>
          <w:tcPr>
            <w:tcW w:w="2975" w:type="dxa"/>
            <w:tcBorders>
              <w:top w:val="nil"/>
              <w:left w:val="nil"/>
              <w:right w:val="nil"/>
            </w:tcBorders>
          </w:tcPr>
          <w:p>
            <w:pPr>
              <w:pStyle w:val="TableParagraph"/>
              <w:ind w:left="86"/>
              <w:jc w:val="left"/>
              <w:rPr>
                <w:sz w:val="24"/>
              </w:rPr>
            </w:pPr>
            <w:r>
              <w:rPr>
                <w:sz w:val="24"/>
              </w:rPr>
              <w:t>Depreciaciones y amortiz</w:t>
            </w:r>
          </w:p>
        </w:tc>
        <w:tc>
          <w:tcPr>
            <w:tcW w:w="1214" w:type="dxa"/>
            <w:tcBorders>
              <w:top w:val="nil"/>
              <w:left w:val="nil"/>
              <w:right w:val="nil"/>
            </w:tcBorders>
          </w:tcPr>
          <w:p>
            <w:pPr>
              <w:pStyle w:val="TableParagraph"/>
              <w:ind w:right="68"/>
              <w:rPr>
                <w:sz w:val="24"/>
              </w:rPr>
            </w:pPr>
            <w:r>
              <w:rPr>
                <w:sz w:val="24"/>
              </w:rPr>
              <w:t>8,248</w:t>
            </w:r>
          </w:p>
        </w:tc>
        <w:tc>
          <w:tcPr>
            <w:tcW w:w="1207" w:type="dxa"/>
            <w:tcBorders>
              <w:top w:val="nil"/>
              <w:left w:val="nil"/>
              <w:right w:val="nil"/>
            </w:tcBorders>
          </w:tcPr>
          <w:p>
            <w:pPr>
              <w:pStyle w:val="TableParagraph"/>
              <w:ind w:right="66"/>
              <w:rPr>
                <w:sz w:val="24"/>
              </w:rPr>
            </w:pPr>
            <w:r>
              <w:rPr>
                <w:sz w:val="24"/>
              </w:rPr>
              <w:t>8,248</w:t>
            </w:r>
          </w:p>
        </w:tc>
        <w:tc>
          <w:tcPr>
            <w:tcW w:w="1208" w:type="dxa"/>
            <w:tcBorders>
              <w:top w:val="nil"/>
              <w:left w:val="nil"/>
              <w:right w:val="nil"/>
            </w:tcBorders>
          </w:tcPr>
          <w:p>
            <w:pPr>
              <w:pStyle w:val="TableParagraph"/>
              <w:ind w:right="68"/>
              <w:rPr>
                <w:sz w:val="24"/>
              </w:rPr>
            </w:pPr>
            <w:r>
              <w:rPr>
                <w:sz w:val="24"/>
              </w:rPr>
              <w:t>8,248</w:t>
            </w:r>
          </w:p>
        </w:tc>
        <w:tc>
          <w:tcPr>
            <w:tcW w:w="1210" w:type="dxa"/>
            <w:tcBorders>
              <w:top w:val="nil"/>
              <w:left w:val="nil"/>
              <w:right w:val="nil"/>
            </w:tcBorders>
          </w:tcPr>
          <w:p>
            <w:pPr>
              <w:pStyle w:val="TableParagraph"/>
              <w:ind w:right="68"/>
              <w:rPr>
                <w:sz w:val="24"/>
              </w:rPr>
            </w:pPr>
            <w:r>
              <w:rPr>
                <w:sz w:val="24"/>
              </w:rPr>
              <w:t>8,248</w:t>
            </w:r>
          </w:p>
        </w:tc>
        <w:tc>
          <w:tcPr>
            <w:tcW w:w="1204" w:type="dxa"/>
            <w:tcBorders>
              <w:top w:val="nil"/>
              <w:left w:val="nil"/>
              <w:right w:val="nil"/>
            </w:tcBorders>
          </w:tcPr>
          <w:p>
            <w:pPr>
              <w:pStyle w:val="TableParagraph"/>
              <w:ind w:right="62"/>
              <w:rPr>
                <w:sz w:val="24"/>
              </w:rPr>
            </w:pPr>
            <w:r>
              <w:rPr>
                <w:sz w:val="24"/>
              </w:rPr>
              <w:t>8,248</w:t>
            </w:r>
          </w:p>
        </w:tc>
      </w:tr>
    </w:tbl>
    <w:p>
      <w:pPr>
        <w:spacing w:line="360" w:lineRule="auto" w:before="0"/>
        <w:ind w:left="199" w:right="112" w:firstLine="0"/>
        <w:jc w:val="both"/>
        <w:rPr>
          <w:sz w:val="20"/>
        </w:rPr>
      </w:pPr>
      <w:r>
        <w:rPr>
          <w:sz w:val="20"/>
        </w:rPr>
        <w:t>Elaboración propia, en </w:t>
      </w:r>
      <w:r>
        <w:rPr>
          <w:spacing w:val="-3"/>
          <w:sz w:val="20"/>
        </w:rPr>
        <w:t>base </w:t>
      </w:r>
      <w:r>
        <w:rPr>
          <w:sz w:val="20"/>
        </w:rPr>
        <w:t>en el Manual de Formulación y Evaluación de Proyectos Productivos  Nivel II, FIRA,</w:t>
      </w:r>
      <w:r>
        <w:rPr>
          <w:spacing w:val="-4"/>
          <w:sz w:val="20"/>
        </w:rPr>
        <w:t> </w:t>
      </w:r>
      <w:r>
        <w:rPr>
          <w:sz w:val="20"/>
        </w:rPr>
        <w:t>2012.</w:t>
      </w:r>
    </w:p>
    <w:p>
      <w:pPr>
        <w:pStyle w:val="BodyText"/>
        <w:rPr>
          <w:sz w:val="20"/>
        </w:rPr>
      </w:pPr>
    </w:p>
    <w:p>
      <w:pPr>
        <w:pStyle w:val="BodyText"/>
        <w:spacing w:line="360" w:lineRule="auto" w:before="116"/>
        <w:ind w:left="199" w:right="118"/>
        <w:jc w:val="both"/>
      </w:pPr>
      <w:r>
        <w:rPr/>
        <w:t>El monto de Capital de Trabajo (Cuadro 12), como aquel recurso necesario para que ocurra la primera producción comercial, se determinó bajo el método de 100% de costos de operación (FIRA, 2012) por año, dividido en 12 meses y, sólo para un </w:t>
      </w:r>
      <w:r>
        <w:rPr>
          <w:spacing w:val="-3"/>
        </w:rPr>
        <w:t>mes </w:t>
      </w:r>
      <w:r>
        <w:rPr/>
        <w:t>de operación, debido a que al final de ese periodo, habrá ingresos por venta tanto de maquila </w:t>
      </w:r>
      <w:r>
        <w:rPr>
          <w:spacing w:val="-4"/>
        </w:rPr>
        <w:t>como </w:t>
      </w:r>
      <w:r>
        <w:rPr/>
        <w:t>de canales, que cubrirán costos de operación para periodos siguientes o posteriores. </w:t>
      </w:r>
      <w:r>
        <w:rPr>
          <w:spacing w:val="-4"/>
        </w:rPr>
        <w:t>El </w:t>
      </w:r>
      <w:r>
        <w:rPr/>
        <w:t>monto de capital de trabajo será aportado por la Sociedad del rastro. Hasta el momento de la formulación de este proyecto, no fue necesario considerar endeudamiento con terceros, por la razón de esperar el posible apoyo  gubernamental durante 2014 y</w:t>
      </w:r>
      <w:r>
        <w:rPr>
          <w:spacing w:val="-17"/>
        </w:rPr>
        <w:t> </w:t>
      </w:r>
      <w:r>
        <w:rPr/>
        <w:t>2015.</w:t>
      </w:r>
    </w:p>
    <w:p>
      <w:pPr>
        <w:pStyle w:val="BodyText"/>
      </w:pPr>
    </w:p>
    <w:p>
      <w:pPr>
        <w:pStyle w:val="BodyText"/>
        <w:spacing w:line="360" w:lineRule="auto" w:before="144"/>
        <w:ind w:left="199" w:right="121"/>
        <w:jc w:val="both"/>
      </w:pPr>
      <w:r>
        <w:rPr/>
        <w:t>El Plan de Ventas (Cuadro 13), consideró tanto el cobro por maquila del rastro ($180.0 por bovino y $95.0 por porcino), </w:t>
      </w:r>
      <w:r>
        <w:rPr>
          <w:spacing w:val="-4"/>
        </w:rPr>
        <w:t>como </w:t>
      </w:r>
      <w:r>
        <w:rPr/>
        <w:t>de la venta de canales de cerdo  ($44.0 por kg) y de bovinos ($60.0 por kg). </w:t>
      </w:r>
      <w:r>
        <w:rPr>
          <w:spacing w:val="-4"/>
        </w:rPr>
        <w:t>Al </w:t>
      </w:r>
      <w:r>
        <w:rPr/>
        <w:t>respecto, no se consideró otro tipo de ingresos que fortalezcan el proyecto, habrá solo tres productos</w:t>
      </w:r>
      <w:r>
        <w:rPr>
          <w:spacing w:val="-27"/>
        </w:rPr>
        <w:t> </w:t>
      </w:r>
      <w:r>
        <w:rPr/>
        <w:t>vendidos.</w:t>
      </w:r>
    </w:p>
    <w:p>
      <w:pPr>
        <w:spacing w:after="0" w:line="360" w:lineRule="auto"/>
        <w:jc w:val="both"/>
        <w:sectPr>
          <w:pgSz w:w="12240" w:h="15840"/>
          <w:pgMar w:header="0" w:footer="1180" w:top="1360" w:bottom="1380" w:left="1500" w:right="1300"/>
        </w:sectPr>
      </w:pPr>
    </w:p>
    <w:p>
      <w:pPr>
        <w:pStyle w:val="BodyText"/>
        <w:spacing w:line="362" w:lineRule="auto" w:before="52" w:after="4"/>
        <w:ind w:left="890" w:right="185" w:hanging="711"/>
      </w:pPr>
      <w:r>
        <w:rPr/>
        <w:t>Cuadro 12. Modelo base para la estimación de ingresos, costos e indicadores de rentabilidad de la engorda en corral.</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76"/>
        <w:gridCol w:w="3600"/>
        <w:gridCol w:w="1992"/>
      </w:tblGrid>
      <w:tr>
        <w:trPr>
          <w:trHeight w:val="423" w:hRule="exact"/>
        </w:trPr>
        <w:tc>
          <w:tcPr>
            <w:tcW w:w="3676" w:type="dxa"/>
            <w:tcBorders>
              <w:left w:val="nil"/>
              <w:right w:val="nil"/>
            </w:tcBorders>
          </w:tcPr>
          <w:p>
            <w:pPr>
              <w:pStyle w:val="TableParagraph"/>
              <w:spacing w:line="272" w:lineRule="exact" w:before="0"/>
              <w:ind w:left="71"/>
              <w:jc w:val="left"/>
              <w:rPr>
                <w:sz w:val="24"/>
              </w:rPr>
            </w:pPr>
            <w:r>
              <w:rPr>
                <w:sz w:val="24"/>
              </w:rPr>
              <w:t>Concepto</w:t>
            </w:r>
          </w:p>
        </w:tc>
        <w:tc>
          <w:tcPr>
            <w:tcW w:w="3600" w:type="dxa"/>
            <w:tcBorders>
              <w:left w:val="nil"/>
              <w:right w:val="nil"/>
            </w:tcBorders>
          </w:tcPr>
          <w:p>
            <w:pPr>
              <w:pStyle w:val="TableParagraph"/>
              <w:spacing w:line="272" w:lineRule="exact" w:before="0"/>
              <w:ind w:left="790"/>
              <w:jc w:val="left"/>
              <w:rPr>
                <w:sz w:val="24"/>
              </w:rPr>
            </w:pPr>
            <w:r>
              <w:rPr>
                <w:sz w:val="24"/>
              </w:rPr>
              <w:t>Unidad de medida</w:t>
            </w:r>
          </w:p>
        </w:tc>
        <w:tc>
          <w:tcPr>
            <w:tcW w:w="1992" w:type="dxa"/>
            <w:tcBorders>
              <w:left w:val="nil"/>
              <w:right w:val="nil"/>
            </w:tcBorders>
          </w:tcPr>
          <w:p>
            <w:pPr>
              <w:pStyle w:val="TableParagraph"/>
              <w:spacing w:line="272" w:lineRule="exact" w:before="0"/>
              <w:ind w:right="62"/>
              <w:rPr>
                <w:sz w:val="24"/>
              </w:rPr>
            </w:pPr>
            <w:r>
              <w:rPr>
                <w:sz w:val="24"/>
              </w:rPr>
              <w:t>Magnitud</w:t>
            </w:r>
          </w:p>
        </w:tc>
      </w:tr>
      <w:tr>
        <w:trPr>
          <w:trHeight w:val="360" w:hRule="exact"/>
        </w:trPr>
        <w:tc>
          <w:tcPr>
            <w:tcW w:w="3676" w:type="dxa"/>
            <w:tcBorders>
              <w:left w:val="nil"/>
              <w:bottom w:val="nil"/>
              <w:right w:val="nil"/>
            </w:tcBorders>
          </w:tcPr>
          <w:p>
            <w:pPr>
              <w:pStyle w:val="TableParagraph"/>
              <w:spacing w:line="272" w:lineRule="exact" w:before="0"/>
              <w:ind w:left="71"/>
              <w:jc w:val="left"/>
              <w:rPr>
                <w:sz w:val="24"/>
              </w:rPr>
            </w:pPr>
            <w:r>
              <w:rPr>
                <w:sz w:val="24"/>
              </w:rPr>
              <w:t>Producción total (kg)</w:t>
            </w:r>
          </w:p>
        </w:tc>
        <w:tc>
          <w:tcPr>
            <w:tcW w:w="3600" w:type="dxa"/>
            <w:tcBorders>
              <w:left w:val="nil"/>
              <w:bottom w:val="nil"/>
              <w:right w:val="nil"/>
            </w:tcBorders>
          </w:tcPr>
          <w:p>
            <w:pPr>
              <w:pStyle w:val="TableParagraph"/>
              <w:spacing w:line="272" w:lineRule="exact" w:before="0"/>
              <w:ind w:left="790"/>
              <w:jc w:val="left"/>
              <w:rPr>
                <w:sz w:val="24"/>
              </w:rPr>
            </w:pPr>
            <w:r>
              <w:rPr>
                <w:sz w:val="24"/>
              </w:rPr>
              <w:t>Kg de carne</w:t>
            </w:r>
          </w:p>
        </w:tc>
        <w:tc>
          <w:tcPr>
            <w:tcW w:w="1992" w:type="dxa"/>
            <w:tcBorders>
              <w:left w:val="nil"/>
              <w:bottom w:val="nil"/>
              <w:right w:val="nil"/>
            </w:tcBorders>
          </w:tcPr>
          <w:p>
            <w:pPr>
              <w:pStyle w:val="TableParagraph"/>
              <w:spacing w:line="272" w:lineRule="exact" w:before="0"/>
              <w:ind w:right="62"/>
              <w:rPr>
                <w:sz w:val="24"/>
              </w:rPr>
            </w:pPr>
            <w:r>
              <w:rPr>
                <w:sz w:val="24"/>
              </w:rPr>
              <w:t>50,000</w:t>
            </w:r>
          </w:p>
        </w:tc>
      </w:tr>
      <w:tr>
        <w:trPr>
          <w:trHeight w:val="415" w:hRule="exact"/>
        </w:trPr>
        <w:tc>
          <w:tcPr>
            <w:tcW w:w="3676" w:type="dxa"/>
            <w:tcBorders>
              <w:top w:val="nil"/>
              <w:left w:val="nil"/>
              <w:bottom w:val="nil"/>
              <w:right w:val="nil"/>
            </w:tcBorders>
          </w:tcPr>
          <w:p>
            <w:pPr>
              <w:pStyle w:val="TableParagraph"/>
              <w:spacing w:before="58"/>
              <w:ind w:left="71"/>
              <w:jc w:val="left"/>
              <w:rPr>
                <w:sz w:val="24"/>
              </w:rPr>
            </w:pPr>
            <w:r>
              <w:rPr>
                <w:sz w:val="24"/>
              </w:rPr>
              <w:t>Precio venta ($/kg)</w:t>
            </w:r>
          </w:p>
        </w:tc>
        <w:tc>
          <w:tcPr>
            <w:tcW w:w="3600" w:type="dxa"/>
            <w:tcBorders>
              <w:top w:val="nil"/>
              <w:left w:val="nil"/>
              <w:bottom w:val="nil"/>
              <w:right w:val="nil"/>
            </w:tcBorders>
          </w:tcPr>
          <w:p>
            <w:pPr>
              <w:pStyle w:val="TableParagraph"/>
              <w:spacing w:before="58"/>
              <w:ind w:left="790"/>
              <w:jc w:val="left"/>
              <w:rPr>
                <w:sz w:val="24"/>
              </w:rPr>
            </w:pPr>
            <w:r>
              <w:rPr>
                <w:sz w:val="24"/>
              </w:rPr>
              <w:t>Kg de peso vivo</w:t>
            </w:r>
          </w:p>
        </w:tc>
        <w:tc>
          <w:tcPr>
            <w:tcW w:w="1992" w:type="dxa"/>
            <w:tcBorders>
              <w:top w:val="nil"/>
              <w:left w:val="nil"/>
              <w:bottom w:val="nil"/>
              <w:right w:val="nil"/>
            </w:tcBorders>
          </w:tcPr>
          <w:p>
            <w:pPr>
              <w:pStyle w:val="TableParagraph"/>
              <w:spacing w:before="58"/>
              <w:ind w:right="65"/>
              <w:rPr>
                <w:sz w:val="24"/>
              </w:rPr>
            </w:pPr>
            <w:r>
              <w:rPr>
                <w:sz w:val="24"/>
              </w:rPr>
              <w:t>45</w:t>
            </w:r>
          </w:p>
        </w:tc>
      </w:tr>
      <w:tr>
        <w:trPr>
          <w:trHeight w:val="413" w:hRule="exact"/>
        </w:trPr>
        <w:tc>
          <w:tcPr>
            <w:tcW w:w="3676" w:type="dxa"/>
            <w:tcBorders>
              <w:top w:val="nil"/>
              <w:left w:val="nil"/>
              <w:bottom w:val="nil"/>
              <w:right w:val="nil"/>
            </w:tcBorders>
          </w:tcPr>
          <w:p>
            <w:pPr>
              <w:pStyle w:val="TableParagraph"/>
              <w:ind w:left="71"/>
              <w:jc w:val="left"/>
              <w:rPr>
                <w:sz w:val="24"/>
              </w:rPr>
            </w:pPr>
            <w:r>
              <w:rPr>
                <w:sz w:val="24"/>
              </w:rPr>
              <w:t>Mano de obra</w:t>
            </w:r>
          </w:p>
        </w:tc>
        <w:tc>
          <w:tcPr>
            <w:tcW w:w="3600" w:type="dxa"/>
            <w:tcBorders>
              <w:top w:val="nil"/>
              <w:left w:val="nil"/>
              <w:bottom w:val="nil"/>
              <w:right w:val="nil"/>
            </w:tcBorders>
          </w:tcPr>
          <w:p>
            <w:pPr>
              <w:pStyle w:val="TableParagraph"/>
              <w:ind w:left="790"/>
              <w:jc w:val="left"/>
              <w:rPr>
                <w:sz w:val="24"/>
              </w:rPr>
            </w:pPr>
            <w:r>
              <w:rPr>
                <w:sz w:val="24"/>
              </w:rPr>
              <w:t>Pesos</w:t>
            </w:r>
          </w:p>
        </w:tc>
        <w:tc>
          <w:tcPr>
            <w:tcW w:w="1992" w:type="dxa"/>
            <w:tcBorders>
              <w:top w:val="nil"/>
              <w:left w:val="nil"/>
              <w:bottom w:val="nil"/>
              <w:right w:val="nil"/>
            </w:tcBorders>
          </w:tcPr>
          <w:p>
            <w:pPr>
              <w:pStyle w:val="TableParagraph"/>
              <w:ind w:right="62"/>
              <w:rPr>
                <w:sz w:val="24"/>
              </w:rPr>
            </w:pPr>
            <w:r>
              <w:rPr>
                <w:sz w:val="24"/>
              </w:rPr>
              <w:t>162,000</w:t>
            </w:r>
          </w:p>
        </w:tc>
      </w:tr>
      <w:tr>
        <w:trPr>
          <w:trHeight w:val="413" w:hRule="exact"/>
        </w:trPr>
        <w:tc>
          <w:tcPr>
            <w:tcW w:w="3676" w:type="dxa"/>
            <w:tcBorders>
              <w:top w:val="nil"/>
              <w:left w:val="nil"/>
              <w:bottom w:val="nil"/>
              <w:right w:val="nil"/>
            </w:tcBorders>
          </w:tcPr>
          <w:p>
            <w:pPr>
              <w:pStyle w:val="TableParagraph"/>
              <w:ind w:left="71"/>
              <w:jc w:val="left"/>
              <w:rPr>
                <w:sz w:val="24"/>
              </w:rPr>
            </w:pPr>
            <w:r>
              <w:rPr>
                <w:sz w:val="24"/>
              </w:rPr>
              <w:t>Materia prima</w:t>
            </w:r>
          </w:p>
        </w:tc>
        <w:tc>
          <w:tcPr>
            <w:tcW w:w="3600" w:type="dxa"/>
            <w:tcBorders>
              <w:top w:val="nil"/>
              <w:left w:val="nil"/>
              <w:bottom w:val="nil"/>
              <w:right w:val="nil"/>
            </w:tcBorders>
          </w:tcPr>
          <w:p>
            <w:pPr>
              <w:pStyle w:val="TableParagraph"/>
              <w:ind w:left="790"/>
              <w:jc w:val="left"/>
              <w:rPr>
                <w:sz w:val="24"/>
              </w:rPr>
            </w:pPr>
            <w:r>
              <w:rPr>
                <w:sz w:val="24"/>
              </w:rPr>
              <w:t>Toretes</w:t>
            </w:r>
          </w:p>
        </w:tc>
        <w:tc>
          <w:tcPr>
            <w:tcW w:w="1992" w:type="dxa"/>
            <w:tcBorders>
              <w:top w:val="nil"/>
              <w:left w:val="nil"/>
              <w:bottom w:val="nil"/>
              <w:right w:val="nil"/>
            </w:tcBorders>
          </w:tcPr>
          <w:p>
            <w:pPr>
              <w:pStyle w:val="TableParagraph"/>
              <w:ind w:right="62"/>
              <w:rPr>
                <w:sz w:val="24"/>
              </w:rPr>
            </w:pPr>
            <w:r>
              <w:rPr>
                <w:sz w:val="24"/>
              </w:rPr>
              <w:t>1,470,000</w:t>
            </w:r>
          </w:p>
        </w:tc>
      </w:tr>
      <w:tr>
        <w:trPr>
          <w:trHeight w:val="415" w:hRule="exact"/>
        </w:trPr>
        <w:tc>
          <w:tcPr>
            <w:tcW w:w="3676" w:type="dxa"/>
            <w:tcBorders>
              <w:top w:val="nil"/>
              <w:left w:val="nil"/>
              <w:bottom w:val="nil"/>
              <w:right w:val="nil"/>
            </w:tcBorders>
          </w:tcPr>
          <w:p>
            <w:pPr>
              <w:pStyle w:val="TableParagraph"/>
              <w:spacing w:before="56"/>
              <w:ind w:left="71"/>
              <w:jc w:val="left"/>
              <w:rPr>
                <w:sz w:val="24"/>
              </w:rPr>
            </w:pPr>
            <w:r>
              <w:rPr>
                <w:sz w:val="24"/>
              </w:rPr>
              <w:t>Alimentación (anual)</w:t>
            </w:r>
          </w:p>
        </w:tc>
        <w:tc>
          <w:tcPr>
            <w:tcW w:w="3600" w:type="dxa"/>
            <w:tcBorders>
              <w:top w:val="nil"/>
              <w:left w:val="nil"/>
              <w:bottom w:val="nil"/>
              <w:right w:val="nil"/>
            </w:tcBorders>
          </w:tcPr>
          <w:p>
            <w:pPr>
              <w:pStyle w:val="TableParagraph"/>
              <w:spacing w:before="56"/>
              <w:ind w:left="790"/>
              <w:jc w:val="left"/>
              <w:rPr>
                <w:sz w:val="24"/>
              </w:rPr>
            </w:pPr>
            <w:r>
              <w:rPr>
                <w:sz w:val="24"/>
              </w:rPr>
              <w:t>Kg de alimento</w:t>
            </w:r>
          </w:p>
        </w:tc>
        <w:tc>
          <w:tcPr>
            <w:tcW w:w="1992" w:type="dxa"/>
            <w:tcBorders>
              <w:top w:val="nil"/>
              <w:left w:val="nil"/>
              <w:bottom w:val="nil"/>
              <w:right w:val="nil"/>
            </w:tcBorders>
          </w:tcPr>
          <w:p>
            <w:pPr>
              <w:pStyle w:val="TableParagraph"/>
              <w:spacing w:before="56"/>
              <w:ind w:right="62"/>
              <w:rPr>
                <w:sz w:val="24"/>
              </w:rPr>
            </w:pPr>
            <w:r>
              <w:rPr>
                <w:sz w:val="24"/>
              </w:rPr>
              <w:t>356,400</w:t>
            </w:r>
          </w:p>
        </w:tc>
      </w:tr>
      <w:tr>
        <w:trPr>
          <w:trHeight w:val="415" w:hRule="exact"/>
        </w:trPr>
        <w:tc>
          <w:tcPr>
            <w:tcW w:w="3676" w:type="dxa"/>
            <w:tcBorders>
              <w:top w:val="nil"/>
              <w:left w:val="nil"/>
              <w:bottom w:val="nil"/>
              <w:right w:val="nil"/>
            </w:tcBorders>
          </w:tcPr>
          <w:p>
            <w:pPr>
              <w:pStyle w:val="TableParagraph"/>
              <w:spacing w:before="58"/>
              <w:ind w:left="71"/>
              <w:jc w:val="left"/>
              <w:rPr>
                <w:sz w:val="24"/>
              </w:rPr>
            </w:pPr>
            <w:r>
              <w:rPr>
                <w:sz w:val="24"/>
              </w:rPr>
              <w:t>Vacunas/desparasitantes</w:t>
            </w:r>
          </w:p>
        </w:tc>
        <w:tc>
          <w:tcPr>
            <w:tcW w:w="3600" w:type="dxa"/>
            <w:tcBorders>
              <w:top w:val="nil"/>
              <w:left w:val="nil"/>
              <w:bottom w:val="nil"/>
              <w:right w:val="nil"/>
            </w:tcBorders>
          </w:tcPr>
          <w:p>
            <w:pPr>
              <w:pStyle w:val="TableParagraph"/>
              <w:spacing w:before="58"/>
              <w:ind w:left="790"/>
              <w:jc w:val="left"/>
              <w:rPr>
                <w:sz w:val="24"/>
              </w:rPr>
            </w:pPr>
            <w:r>
              <w:rPr>
                <w:sz w:val="24"/>
              </w:rPr>
              <w:t>$ por periodo</w:t>
            </w:r>
          </w:p>
        </w:tc>
        <w:tc>
          <w:tcPr>
            <w:tcW w:w="1992" w:type="dxa"/>
            <w:tcBorders>
              <w:top w:val="nil"/>
              <w:left w:val="nil"/>
              <w:bottom w:val="nil"/>
              <w:right w:val="nil"/>
            </w:tcBorders>
          </w:tcPr>
          <w:p>
            <w:pPr>
              <w:pStyle w:val="TableParagraph"/>
              <w:spacing w:before="58"/>
              <w:ind w:right="62"/>
              <w:rPr>
                <w:sz w:val="24"/>
              </w:rPr>
            </w:pPr>
            <w:r>
              <w:rPr>
                <w:sz w:val="24"/>
              </w:rPr>
              <w:t>1,000</w:t>
            </w:r>
          </w:p>
        </w:tc>
      </w:tr>
      <w:tr>
        <w:trPr>
          <w:trHeight w:val="413" w:hRule="exact"/>
        </w:trPr>
        <w:tc>
          <w:tcPr>
            <w:tcW w:w="3676" w:type="dxa"/>
            <w:tcBorders>
              <w:top w:val="nil"/>
              <w:left w:val="nil"/>
              <w:bottom w:val="nil"/>
              <w:right w:val="nil"/>
            </w:tcBorders>
          </w:tcPr>
          <w:p>
            <w:pPr>
              <w:pStyle w:val="TableParagraph"/>
              <w:ind w:left="71"/>
              <w:jc w:val="left"/>
              <w:rPr>
                <w:sz w:val="24"/>
              </w:rPr>
            </w:pPr>
            <w:r>
              <w:rPr>
                <w:sz w:val="24"/>
              </w:rPr>
              <w:t>Combustible</w:t>
            </w:r>
          </w:p>
        </w:tc>
        <w:tc>
          <w:tcPr>
            <w:tcW w:w="3600" w:type="dxa"/>
            <w:tcBorders>
              <w:top w:val="nil"/>
              <w:left w:val="nil"/>
              <w:bottom w:val="nil"/>
              <w:right w:val="nil"/>
            </w:tcBorders>
          </w:tcPr>
          <w:p>
            <w:pPr>
              <w:pStyle w:val="TableParagraph"/>
              <w:ind w:left="790"/>
              <w:jc w:val="left"/>
              <w:rPr>
                <w:sz w:val="24"/>
              </w:rPr>
            </w:pPr>
            <w:r>
              <w:rPr>
                <w:sz w:val="24"/>
              </w:rPr>
              <w:t>$/año</w:t>
            </w:r>
          </w:p>
        </w:tc>
        <w:tc>
          <w:tcPr>
            <w:tcW w:w="1992" w:type="dxa"/>
            <w:tcBorders>
              <w:top w:val="nil"/>
              <w:left w:val="nil"/>
              <w:bottom w:val="nil"/>
              <w:right w:val="nil"/>
            </w:tcBorders>
          </w:tcPr>
          <w:p>
            <w:pPr>
              <w:pStyle w:val="TableParagraph"/>
              <w:ind w:right="62"/>
              <w:rPr>
                <w:sz w:val="24"/>
              </w:rPr>
            </w:pPr>
            <w:r>
              <w:rPr>
                <w:sz w:val="24"/>
              </w:rPr>
              <w:t>19,200</w:t>
            </w:r>
          </w:p>
        </w:tc>
      </w:tr>
      <w:tr>
        <w:trPr>
          <w:trHeight w:val="413" w:hRule="exact"/>
        </w:trPr>
        <w:tc>
          <w:tcPr>
            <w:tcW w:w="3676" w:type="dxa"/>
            <w:tcBorders>
              <w:top w:val="nil"/>
              <w:left w:val="nil"/>
              <w:bottom w:val="nil"/>
              <w:right w:val="nil"/>
            </w:tcBorders>
          </w:tcPr>
          <w:p>
            <w:pPr>
              <w:pStyle w:val="TableParagraph"/>
              <w:ind w:left="71"/>
              <w:jc w:val="left"/>
              <w:rPr>
                <w:sz w:val="24"/>
              </w:rPr>
            </w:pPr>
            <w:r>
              <w:rPr>
                <w:sz w:val="24"/>
              </w:rPr>
              <w:t>Gastos de venta fijos</w:t>
            </w:r>
          </w:p>
        </w:tc>
        <w:tc>
          <w:tcPr>
            <w:tcW w:w="3600" w:type="dxa"/>
            <w:tcBorders>
              <w:top w:val="nil"/>
              <w:left w:val="nil"/>
              <w:bottom w:val="nil"/>
              <w:right w:val="nil"/>
            </w:tcBorders>
          </w:tcPr>
          <w:p>
            <w:pPr>
              <w:pStyle w:val="TableParagraph"/>
              <w:ind w:left="790"/>
              <w:jc w:val="left"/>
              <w:rPr>
                <w:sz w:val="24"/>
              </w:rPr>
            </w:pPr>
            <w:r>
              <w:rPr>
                <w:sz w:val="24"/>
              </w:rPr>
              <w:t>$/año</w:t>
            </w:r>
          </w:p>
        </w:tc>
        <w:tc>
          <w:tcPr>
            <w:tcW w:w="1992" w:type="dxa"/>
            <w:tcBorders>
              <w:top w:val="nil"/>
              <w:left w:val="nil"/>
              <w:bottom w:val="nil"/>
              <w:right w:val="nil"/>
            </w:tcBorders>
          </w:tcPr>
          <w:p>
            <w:pPr>
              <w:pStyle w:val="TableParagraph"/>
              <w:ind w:right="62"/>
              <w:rPr>
                <w:sz w:val="24"/>
              </w:rPr>
            </w:pPr>
            <w:r>
              <w:rPr>
                <w:sz w:val="24"/>
              </w:rPr>
              <w:t>4,400</w:t>
            </w:r>
          </w:p>
        </w:tc>
      </w:tr>
      <w:tr>
        <w:trPr>
          <w:trHeight w:val="413" w:hRule="exact"/>
        </w:trPr>
        <w:tc>
          <w:tcPr>
            <w:tcW w:w="3676" w:type="dxa"/>
            <w:tcBorders>
              <w:top w:val="nil"/>
              <w:left w:val="nil"/>
              <w:bottom w:val="nil"/>
              <w:right w:val="nil"/>
            </w:tcBorders>
          </w:tcPr>
          <w:p>
            <w:pPr>
              <w:pStyle w:val="TableParagraph"/>
              <w:spacing w:before="56"/>
              <w:ind w:left="71"/>
              <w:jc w:val="left"/>
              <w:rPr>
                <w:sz w:val="24"/>
              </w:rPr>
            </w:pPr>
            <w:r>
              <w:rPr>
                <w:sz w:val="24"/>
              </w:rPr>
              <w:t>Gastos/administración</w:t>
            </w:r>
          </w:p>
        </w:tc>
        <w:tc>
          <w:tcPr>
            <w:tcW w:w="3600" w:type="dxa"/>
            <w:tcBorders>
              <w:top w:val="nil"/>
              <w:left w:val="nil"/>
              <w:bottom w:val="nil"/>
              <w:right w:val="nil"/>
            </w:tcBorders>
          </w:tcPr>
          <w:p>
            <w:pPr>
              <w:pStyle w:val="TableParagraph"/>
              <w:spacing w:before="56"/>
              <w:ind w:left="790"/>
              <w:jc w:val="left"/>
              <w:rPr>
                <w:sz w:val="24"/>
              </w:rPr>
            </w:pPr>
            <w:r>
              <w:rPr>
                <w:sz w:val="24"/>
              </w:rPr>
              <w:t>$/año</w:t>
            </w:r>
          </w:p>
        </w:tc>
        <w:tc>
          <w:tcPr>
            <w:tcW w:w="1992" w:type="dxa"/>
            <w:tcBorders>
              <w:top w:val="nil"/>
              <w:left w:val="nil"/>
              <w:bottom w:val="nil"/>
              <w:right w:val="nil"/>
            </w:tcBorders>
          </w:tcPr>
          <w:p>
            <w:pPr>
              <w:pStyle w:val="TableParagraph"/>
              <w:spacing w:before="56"/>
              <w:ind w:right="66"/>
              <w:rPr>
                <w:sz w:val="24"/>
              </w:rPr>
            </w:pPr>
            <w:r>
              <w:rPr>
                <w:w w:val="99"/>
                <w:sz w:val="24"/>
              </w:rPr>
              <w:t>0</w:t>
            </w:r>
          </w:p>
        </w:tc>
      </w:tr>
      <w:tr>
        <w:trPr>
          <w:trHeight w:val="415" w:hRule="exact"/>
        </w:trPr>
        <w:tc>
          <w:tcPr>
            <w:tcW w:w="3676" w:type="dxa"/>
            <w:tcBorders>
              <w:top w:val="nil"/>
              <w:left w:val="nil"/>
              <w:bottom w:val="nil"/>
              <w:right w:val="nil"/>
            </w:tcBorders>
          </w:tcPr>
          <w:p>
            <w:pPr>
              <w:pStyle w:val="TableParagraph"/>
              <w:ind w:left="71"/>
              <w:jc w:val="left"/>
              <w:rPr>
                <w:sz w:val="24"/>
              </w:rPr>
            </w:pPr>
            <w:r>
              <w:rPr>
                <w:sz w:val="24"/>
              </w:rPr>
              <w:t>Costos fijos de producción</w:t>
            </w:r>
          </w:p>
        </w:tc>
        <w:tc>
          <w:tcPr>
            <w:tcW w:w="3600" w:type="dxa"/>
            <w:tcBorders>
              <w:top w:val="nil"/>
              <w:left w:val="nil"/>
              <w:bottom w:val="nil"/>
              <w:right w:val="nil"/>
            </w:tcBorders>
          </w:tcPr>
          <w:p>
            <w:pPr>
              <w:pStyle w:val="TableParagraph"/>
              <w:ind w:left="790"/>
              <w:jc w:val="left"/>
              <w:rPr>
                <w:sz w:val="24"/>
              </w:rPr>
            </w:pPr>
            <w:r>
              <w:rPr>
                <w:sz w:val="24"/>
              </w:rPr>
              <w:t>$/año</w:t>
            </w:r>
          </w:p>
        </w:tc>
        <w:tc>
          <w:tcPr>
            <w:tcW w:w="1992" w:type="dxa"/>
            <w:tcBorders>
              <w:top w:val="nil"/>
              <w:left w:val="nil"/>
              <w:bottom w:val="nil"/>
              <w:right w:val="nil"/>
            </w:tcBorders>
          </w:tcPr>
          <w:p>
            <w:pPr>
              <w:pStyle w:val="TableParagraph"/>
              <w:ind w:right="66"/>
              <w:rPr>
                <w:sz w:val="24"/>
              </w:rPr>
            </w:pPr>
            <w:r>
              <w:rPr>
                <w:w w:val="99"/>
                <w:sz w:val="24"/>
              </w:rPr>
              <w:t>0</w:t>
            </w:r>
          </w:p>
        </w:tc>
      </w:tr>
      <w:tr>
        <w:trPr>
          <w:trHeight w:val="415" w:hRule="exact"/>
        </w:trPr>
        <w:tc>
          <w:tcPr>
            <w:tcW w:w="3676" w:type="dxa"/>
            <w:tcBorders>
              <w:top w:val="nil"/>
              <w:left w:val="nil"/>
              <w:bottom w:val="nil"/>
              <w:right w:val="nil"/>
            </w:tcBorders>
          </w:tcPr>
          <w:p>
            <w:pPr>
              <w:pStyle w:val="TableParagraph"/>
              <w:spacing w:before="58"/>
              <w:ind w:left="71"/>
              <w:jc w:val="left"/>
              <w:rPr>
                <w:sz w:val="24"/>
              </w:rPr>
            </w:pPr>
            <w:r>
              <w:rPr>
                <w:sz w:val="24"/>
              </w:rPr>
              <w:t>ISR</w:t>
            </w:r>
          </w:p>
        </w:tc>
        <w:tc>
          <w:tcPr>
            <w:tcW w:w="3600" w:type="dxa"/>
            <w:tcBorders>
              <w:top w:val="nil"/>
              <w:left w:val="nil"/>
              <w:bottom w:val="nil"/>
              <w:right w:val="nil"/>
            </w:tcBorders>
          </w:tcPr>
          <w:p>
            <w:pPr>
              <w:pStyle w:val="TableParagraph"/>
              <w:spacing w:before="58"/>
              <w:ind w:left="790"/>
              <w:jc w:val="left"/>
              <w:rPr>
                <w:sz w:val="24"/>
              </w:rPr>
            </w:pPr>
            <w:r>
              <w:rPr>
                <w:w w:val="99"/>
                <w:sz w:val="24"/>
              </w:rPr>
              <w:t>%</w:t>
            </w:r>
          </w:p>
        </w:tc>
        <w:tc>
          <w:tcPr>
            <w:tcW w:w="1992" w:type="dxa"/>
            <w:tcBorders>
              <w:top w:val="nil"/>
              <w:left w:val="nil"/>
              <w:bottom w:val="nil"/>
              <w:right w:val="nil"/>
            </w:tcBorders>
          </w:tcPr>
          <w:p>
            <w:pPr>
              <w:pStyle w:val="TableParagraph"/>
              <w:spacing w:before="58"/>
              <w:ind w:right="62"/>
              <w:rPr>
                <w:sz w:val="24"/>
              </w:rPr>
            </w:pPr>
            <w:r>
              <w:rPr>
                <w:sz w:val="24"/>
              </w:rPr>
              <w:t>0%</w:t>
            </w:r>
          </w:p>
        </w:tc>
      </w:tr>
      <w:tr>
        <w:trPr>
          <w:trHeight w:val="413" w:hRule="exact"/>
        </w:trPr>
        <w:tc>
          <w:tcPr>
            <w:tcW w:w="3676" w:type="dxa"/>
            <w:tcBorders>
              <w:top w:val="nil"/>
              <w:left w:val="nil"/>
              <w:bottom w:val="nil"/>
              <w:right w:val="nil"/>
            </w:tcBorders>
          </w:tcPr>
          <w:p>
            <w:pPr>
              <w:pStyle w:val="TableParagraph"/>
              <w:ind w:left="71"/>
              <w:jc w:val="left"/>
              <w:rPr>
                <w:sz w:val="24"/>
              </w:rPr>
            </w:pPr>
            <w:r>
              <w:rPr>
                <w:sz w:val="24"/>
              </w:rPr>
              <w:t>PTU</w:t>
            </w:r>
          </w:p>
        </w:tc>
        <w:tc>
          <w:tcPr>
            <w:tcW w:w="3600" w:type="dxa"/>
            <w:tcBorders>
              <w:top w:val="nil"/>
              <w:left w:val="nil"/>
              <w:bottom w:val="nil"/>
              <w:right w:val="nil"/>
            </w:tcBorders>
          </w:tcPr>
          <w:p>
            <w:pPr>
              <w:pStyle w:val="TableParagraph"/>
              <w:ind w:left="790"/>
              <w:jc w:val="left"/>
              <w:rPr>
                <w:sz w:val="24"/>
              </w:rPr>
            </w:pPr>
            <w:r>
              <w:rPr>
                <w:w w:val="99"/>
                <w:sz w:val="24"/>
              </w:rPr>
              <w:t>$</w:t>
            </w:r>
          </w:p>
        </w:tc>
        <w:tc>
          <w:tcPr>
            <w:tcW w:w="1992" w:type="dxa"/>
            <w:tcBorders>
              <w:top w:val="nil"/>
              <w:left w:val="nil"/>
              <w:bottom w:val="nil"/>
              <w:right w:val="nil"/>
            </w:tcBorders>
          </w:tcPr>
          <w:p>
            <w:pPr>
              <w:pStyle w:val="TableParagraph"/>
              <w:ind w:right="62"/>
              <w:rPr>
                <w:sz w:val="24"/>
              </w:rPr>
            </w:pPr>
            <w:r>
              <w:rPr>
                <w:sz w:val="24"/>
              </w:rPr>
              <w:t>0%</w:t>
            </w:r>
          </w:p>
        </w:tc>
      </w:tr>
      <w:tr>
        <w:trPr>
          <w:trHeight w:val="413" w:hRule="exact"/>
        </w:trPr>
        <w:tc>
          <w:tcPr>
            <w:tcW w:w="3676" w:type="dxa"/>
            <w:tcBorders>
              <w:top w:val="nil"/>
              <w:left w:val="nil"/>
              <w:bottom w:val="nil"/>
              <w:right w:val="nil"/>
            </w:tcBorders>
          </w:tcPr>
          <w:p>
            <w:pPr>
              <w:pStyle w:val="TableParagraph"/>
              <w:spacing w:before="56"/>
              <w:ind w:left="71"/>
              <w:jc w:val="left"/>
              <w:rPr>
                <w:sz w:val="24"/>
              </w:rPr>
            </w:pPr>
            <w:r>
              <w:rPr>
                <w:sz w:val="24"/>
              </w:rPr>
              <w:t>TREMA (%)</w:t>
            </w:r>
          </w:p>
        </w:tc>
        <w:tc>
          <w:tcPr>
            <w:tcW w:w="3600" w:type="dxa"/>
            <w:tcBorders>
              <w:top w:val="nil"/>
              <w:left w:val="nil"/>
              <w:bottom w:val="nil"/>
              <w:right w:val="nil"/>
            </w:tcBorders>
          </w:tcPr>
          <w:p>
            <w:pPr/>
          </w:p>
        </w:tc>
        <w:tc>
          <w:tcPr>
            <w:tcW w:w="1992" w:type="dxa"/>
            <w:tcBorders>
              <w:top w:val="nil"/>
              <w:left w:val="nil"/>
              <w:bottom w:val="nil"/>
              <w:right w:val="nil"/>
            </w:tcBorders>
          </w:tcPr>
          <w:p>
            <w:pPr>
              <w:pStyle w:val="TableParagraph"/>
              <w:spacing w:before="56"/>
              <w:ind w:right="62"/>
              <w:rPr>
                <w:sz w:val="24"/>
              </w:rPr>
            </w:pPr>
            <w:r>
              <w:rPr>
                <w:w w:val="95"/>
                <w:sz w:val="24"/>
              </w:rPr>
              <w:t>12%</w:t>
            </w:r>
          </w:p>
        </w:tc>
      </w:tr>
      <w:tr>
        <w:trPr>
          <w:trHeight w:val="482" w:hRule="exact"/>
        </w:trPr>
        <w:tc>
          <w:tcPr>
            <w:tcW w:w="3676" w:type="dxa"/>
            <w:tcBorders>
              <w:top w:val="nil"/>
              <w:left w:val="nil"/>
              <w:right w:val="nil"/>
            </w:tcBorders>
          </w:tcPr>
          <w:p>
            <w:pPr>
              <w:pStyle w:val="TableParagraph"/>
              <w:ind w:left="71"/>
              <w:jc w:val="left"/>
              <w:rPr>
                <w:sz w:val="24"/>
              </w:rPr>
            </w:pPr>
            <w:r>
              <w:rPr>
                <w:sz w:val="24"/>
              </w:rPr>
              <w:t>Capital de trabajo*</w:t>
            </w:r>
          </w:p>
        </w:tc>
        <w:tc>
          <w:tcPr>
            <w:tcW w:w="3600" w:type="dxa"/>
            <w:tcBorders>
              <w:top w:val="nil"/>
              <w:left w:val="nil"/>
              <w:right w:val="nil"/>
            </w:tcBorders>
          </w:tcPr>
          <w:p>
            <w:pPr>
              <w:pStyle w:val="TableParagraph"/>
              <w:ind w:left="790"/>
              <w:jc w:val="left"/>
              <w:rPr>
                <w:sz w:val="24"/>
              </w:rPr>
            </w:pPr>
            <w:r>
              <w:rPr>
                <w:sz w:val="24"/>
              </w:rPr>
              <w:t>Primeros 3 meses</w:t>
            </w:r>
          </w:p>
        </w:tc>
        <w:tc>
          <w:tcPr>
            <w:tcW w:w="1992" w:type="dxa"/>
            <w:tcBorders>
              <w:top w:val="nil"/>
              <w:left w:val="nil"/>
              <w:right w:val="nil"/>
            </w:tcBorders>
          </w:tcPr>
          <w:p>
            <w:pPr>
              <w:pStyle w:val="TableParagraph"/>
              <w:ind w:right="62"/>
              <w:rPr>
                <w:sz w:val="24"/>
              </w:rPr>
            </w:pPr>
            <w:r>
              <w:rPr>
                <w:sz w:val="24"/>
              </w:rPr>
              <w:t>505,312</w:t>
            </w:r>
          </w:p>
        </w:tc>
      </w:tr>
      <w:tr>
        <w:trPr>
          <w:trHeight w:val="297" w:hRule="exact"/>
        </w:trPr>
        <w:tc>
          <w:tcPr>
            <w:tcW w:w="9267" w:type="dxa"/>
            <w:gridSpan w:val="3"/>
            <w:tcBorders>
              <w:left w:val="nil"/>
              <w:bottom w:val="nil"/>
              <w:right w:val="nil"/>
            </w:tcBorders>
          </w:tcPr>
          <w:p>
            <w:pPr>
              <w:pStyle w:val="TableParagraph"/>
              <w:spacing w:line="225" w:lineRule="exact" w:before="0"/>
              <w:ind w:left="71"/>
              <w:jc w:val="left"/>
              <w:rPr>
                <w:sz w:val="20"/>
              </w:rPr>
            </w:pPr>
            <w:r>
              <w:rPr>
                <w:sz w:val="20"/>
              </w:rPr>
              <w:t>*Se utilizó como el 50% de costos totales del primer año de operación del proyecto.</w:t>
            </w:r>
          </w:p>
        </w:tc>
      </w:tr>
      <w:tr>
        <w:trPr>
          <w:trHeight w:val="274" w:hRule="exact"/>
        </w:trPr>
        <w:tc>
          <w:tcPr>
            <w:tcW w:w="3676" w:type="dxa"/>
            <w:tcBorders>
              <w:top w:val="nil"/>
              <w:left w:val="nil"/>
              <w:bottom w:val="nil"/>
              <w:right w:val="nil"/>
            </w:tcBorders>
          </w:tcPr>
          <w:p>
            <w:pPr>
              <w:pStyle w:val="TableParagraph"/>
              <w:spacing w:before="47"/>
              <w:ind w:left="71"/>
              <w:jc w:val="left"/>
              <w:rPr>
                <w:sz w:val="20"/>
              </w:rPr>
            </w:pPr>
            <w:r>
              <w:rPr>
                <w:sz w:val="20"/>
              </w:rPr>
              <w:t>Elaboración propia.</w:t>
            </w:r>
          </w:p>
        </w:tc>
        <w:tc>
          <w:tcPr>
            <w:tcW w:w="3600" w:type="dxa"/>
            <w:tcBorders>
              <w:top w:val="nil"/>
              <w:left w:val="nil"/>
              <w:bottom w:val="nil"/>
              <w:right w:val="nil"/>
            </w:tcBorders>
          </w:tcPr>
          <w:p>
            <w:pPr/>
          </w:p>
        </w:tc>
        <w:tc>
          <w:tcPr>
            <w:tcW w:w="1992" w:type="dxa"/>
            <w:tcBorders>
              <w:top w:val="nil"/>
              <w:left w:val="nil"/>
              <w:bottom w:val="nil"/>
              <w:right w:val="nil"/>
            </w:tcBorders>
          </w:tcPr>
          <w:p>
            <w:pPr/>
          </w:p>
        </w:tc>
      </w:tr>
    </w:tbl>
    <w:p>
      <w:pPr>
        <w:pStyle w:val="BodyText"/>
        <w:spacing w:line="360" w:lineRule="auto" w:before="121"/>
        <w:ind w:left="179" w:right="179"/>
        <w:jc w:val="both"/>
      </w:pPr>
      <w:r>
        <w:rPr/>
        <w:t>Los ingresos anuales (Cuadro 13), son constantes, debido al método utilizado en  este proyecto (FIRA, 2012) que fue el </w:t>
      </w:r>
      <w:r>
        <w:rPr>
          <w:i/>
        </w:rPr>
        <w:t>método de producción constante, sin inflación </w:t>
      </w:r>
      <w:r>
        <w:rPr/>
        <w:t>(Rodríguez et al., 2008; Baca, 2013; Peña et al., 2015). Tales ingresos provendrán  de la venta de ganado vivo finalizado a propietarios de carnicerías de la región de estudio, quienes, a </w:t>
      </w:r>
      <w:r>
        <w:rPr>
          <w:spacing w:val="-3"/>
        </w:rPr>
        <w:t>su </w:t>
      </w:r>
      <w:r>
        <w:rPr/>
        <w:t>vez, sacrificarán en rastro municipal del municipio de  Tejupilco.</w:t>
      </w:r>
    </w:p>
    <w:p>
      <w:pPr>
        <w:pStyle w:val="BodyText"/>
      </w:pPr>
    </w:p>
    <w:p>
      <w:pPr>
        <w:pStyle w:val="BodyText"/>
        <w:spacing w:before="139"/>
        <w:ind w:left="179"/>
        <w:jc w:val="both"/>
      </w:pPr>
      <w:r>
        <w:rPr/>
        <w:t>Cuadro 13. Plan de ventas (pesos).</w:t>
      </w:r>
    </w:p>
    <w:p>
      <w:pPr>
        <w:pStyle w:val="BodyText"/>
        <w:spacing w:before="3"/>
        <w:rPr>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1"/>
        <w:gridCol w:w="1589"/>
        <w:gridCol w:w="1431"/>
        <w:gridCol w:w="1431"/>
        <w:gridCol w:w="1431"/>
        <w:gridCol w:w="1314"/>
      </w:tblGrid>
      <w:tr>
        <w:trPr>
          <w:trHeight w:val="428" w:hRule="exact"/>
        </w:trPr>
        <w:tc>
          <w:tcPr>
            <w:tcW w:w="2071" w:type="dxa"/>
            <w:tcBorders>
              <w:left w:val="nil"/>
              <w:right w:val="nil"/>
            </w:tcBorders>
          </w:tcPr>
          <w:p>
            <w:pPr>
              <w:pStyle w:val="TableParagraph"/>
              <w:spacing w:before="1"/>
              <w:ind w:left="71"/>
              <w:jc w:val="left"/>
              <w:rPr>
                <w:sz w:val="24"/>
              </w:rPr>
            </w:pPr>
            <w:r>
              <w:rPr>
                <w:sz w:val="24"/>
              </w:rPr>
              <w:t>Concepto</w:t>
            </w:r>
          </w:p>
        </w:tc>
        <w:tc>
          <w:tcPr>
            <w:tcW w:w="1589" w:type="dxa"/>
            <w:tcBorders>
              <w:left w:val="nil"/>
              <w:right w:val="nil"/>
            </w:tcBorders>
          </w:tcPr>
          <w:p>
            <w:pPr>
              <w:pStyle w:val="TableParagraph"/>
              <w:spacing w:before="1"/>
              <w:ind w:right="182"/>
              <w:rPr>
                <w:sz w:val="24"/>
              </w:rPr>
            </w:pPr>
            <w:r>
              <w:rPr>
                <w:w w:val="99"/>
                <w:sz w:val="24"/>
              </w:rPr>
              <w:t>1</w:t>
            </w:r>
          </w:p>
        </w:tc>
        <w:tc>
          <w:tcPr>
            <w:tcW w:w="1431" w:type="dxa"/>
            <w:tcBorders>
              <w:left w:val="nil"/>
              <w:right w:val="nil"/>
            </w:tcBorders>
          </w:tcPr>
          <w:p>
            <w:pPr>
              <w:pStyle w:val="TableParagraph"/>
              <w:spacing w:before="1"/>
              <w:ind w:right="182"/>
              <w:rPr>
                <w:sz w:val="24"/>
              </w:rPr>
            </w:pPr>
            <w:r>
              <w:rPr>
                <w:w w:val="99"/>
                <w:sz w:val="24"/>
              </w:rPr>
              <w:t>2</w:t>
            </w:r>
          </w:p>
        </w:tc>
        <w:tc>
          <w:tcPr>
            <w:tcW w:w="1431" w:type="dxa"/>
            <w:tcBorders>
              <w:left w:val="nil"/>
              <w:right w:val="nil"/>
            </w:tcBorders>
          </w:tcPr>
          <w:p>
            <w:pPr>
              <w:pStyle w:val="TableParagraph"/>
              <w:spacing w:before="1"/>
              <w:ind w:right="182"/>
              <w:rPr>
                <w:sz w:val="24"/>
              </w:rPr>
            </w:pPr>
            <w:r>
              <w:rPr>
                <w:w w:val="99"/>
                <w:sz w:val="24"/>
              </w:rPr>
              <w:t>3</w:t>
            </w:r>
          </w:p>
        </w:tc>
        <w:tc>
          <w:tcPr>
            <w:tcW w:w="1431" w:type="dxa"/>
            <w:tcBorders>
              <w:left w:val="nil"/>
              <w:right w:val="nil"/>
            </w:tcBorders>
          </w:tcPr>
          <w:p>
            <w:pPr>
              <w:pStyle w:val="TableParagraph"/>
              <w:spacing w:before="1"/>
              <w:ind w:right="182"/>
              <w:rPr>
                <w:sz w:val="24"/>
              </w:rPr>
            </w:pPr>
            <w:r>
              <w:rPr>
                <w:w w:val="99"/>
                <w:sz w:val="24"/>
              </w:rPr>
              <w:t>4</w:t>
            </w:r>
          </w:p>
        </w:tc>
        <w:tc>
          <w:tcPr>
            <w:tcW w:w="1314" w:type="dxa"/>
            <w:tcBorders>
              <w:left w:val="nil"/>
              <w:right w:val="nil"/>
            </w:tcBorders>
          </w:tcPr>
          <w:p>
            <w:pPr>
              <w:pStyle w:val="TableParagraph"/>
              <w:spacing w:before="1"/>
              <w:ind w:right="66"/>
              <w:rPr>
                <w:sz w:val="24"/>
              </w:rPr>
            </w:pPr>
            <w:r>
              <w:rPr>
                <w:w w:val="99"/>
                <w:sz w:val="24"/>
              </w:rPr>
              <w:t>5</w:t>
            </w:r>
          </w:p>
        </w:tc>
      </w:tr>
      <w:tr>
        <w:trPr>
          <w:trHeight w:val="422" w:hRule="exact"/>
        </w:trPr>
        <w:tc>
          <w:tcPr>
            <w:tcW w:w="2071" w:type="dxa"/>
            <w:tcBorders>
              <w:left w:val="nil"/>
              <w:right w:val="nil"/>
            </w:tcBorders>
          </w:tcPr>
          <w:p>
            <w:pPr>
              <w:pStyle w:val="TableParagraph"/>
              <w:spacing w:line="272" w:lineRule="exact" w:before="0"/>
              <w:ind w:left="71"/>
              <w:jc w:val="left"/>
              <w:rPr>
                <w:sz w:val="24"/>
              </w:rPr>
            </w:pPr>
            <w:r>
              <w:rPr>
                <w:sz w:val="24"/>
              </w:rPr>
              <w:t>Ventas anuales</w:t>
            </w:r>
          </w:p>
        </w:tc>
        <w:tc>
          <w:tcPr>
            <w:tcW w:w="1589" w:type="dxa"/>
            <w:tcBorders>
              <w:left w:val="nil"/>
              <w:right w:val="nil"/>
            </w:tcBorders>
          </w:tcPr>
          <w:p>
            <w:pPr>
              <w:pStyle w:val="TableParagraph"/>
              <w:spacing w:line="272" w:lineRule="exact" w:before="0"/>
              <w:ind w:right="179"/>
              <w:rPr>
                <w:sz w:val="24"/>
              </w:rPr>
            </w:pPr>
            <w:r>
              <w:rPr>
                <w:sz w:val="24"/>
              </w:rPr>
              <w:t>2,250,000</w:t>
            </w:r>
          </w:p>
        </w:tc>
        <w:tc>
          <w:tcPr>
            <w:tcW w:w="1431" w:type="dxa"/>
            <w:tcBorders>
              <w:left w:val="nil"/>
              <w:right w:val="nil"/>
            </w:tcBorders>
          </w:tcPr>
          <w:p>
            <w:pPr>
              <w:pStyle w:val="TableParagraph"/>
              <w:spacing w:line="272" w:lineRule="exact" w:before="0"/>
              <w:ind w:right="179"/>
              <w:rPr>
                <w:sz w:val="24"/>
              </w:rPr>
            </w:pPr>
            <w:r>
              <w:rPr>
                <w:sz w:val="24"/>
              </w:rPr>
              <w:t>2,250,000</w:t>
            </w:r>
          </w:p>
        </w:tc>
        <w:tc>
          <w:tcPr>
            <w:tcW w:w="1431" w:type="dxa"/>
            <w:tcBorders>
              <w:left w:val="nil"/>
              <w:right w:val="nil"/>
            </w:tcBorders>
          </w:tcPr>
          <w:p>
            <w:pPr>
              <w:pStyle w:val="TableParagraph"/>
              <w:spacing w:line="272" w:lineRule="exact" w:before="0"/>
              <w:ind w:right="179"/>
              <w:rPr>
                <w:sz w:val="24"/>
              </w:rPr>
            </w:pPr>
            <w:r>
              <w:rPr>
                <w:sz w:val="24"/>
              </w:rPr>
              <w:t>2,250,000</w:t>
            </w:r>
          </w:p>
        </w:tc>
        <w:tc>
          <w:tcPr>
            <w:tcW w:w="1431" w:type="dxa"/>
            <w:tcBorders>
              <w:left w:val="nil"/>
              <w:right w:val="nil"/>
            </w:tcBorders>
          </w:tcPr>
          <w:p>
            <w:pPr>
              <w:pStyle w:val="TableParagraph"/>
              <w:spacing w:line="272" w:lineRule="exact" w:before="0"/>
              <w:ind w:right="179"/>
              <w:rPr>
                <w:sz w:val="24"/>
              </w:rPr>
            </w:pPr>
            <w:r>
              <w:rPr>
                <w:sz w:val="24"/>
              </w:rPr>
              <w:t>2,250,000</w:t>
            </w:r>
          </w:p>
        </w:tc>
        <w:tc>
          <w:tcPr>
            <w:tcW w:w="1314" w:type="dxa"/>
            <w:tcBorders>
              <w:left w:val="nil"/>
              <w:right w:val="nil"/>
            </w:tcBorders>
          </w:tcPr>
          <w:p>
            <w:pPr>
              <w:pStyle w:val="TableParagraph"/>
              <w:spacing w:line="272" w:lineRule="exact" w:before="0"/>
              <w:ind w:right="62"/>
              <w:rPr>
                <w:sz w:val="24"/>
              </w:rPr>
            </w:pPr>
            <w:r>
              <w:rPr>
                <w:sz w:val="24"/>
              </w:rPr>
              <w:t>2,250,000</w:t>
            </w:r>
          </w:p>
        </w:tc>
      </w:tr>
    </w:tbl>
    <w:p>
      <w:pPr>
        <w:spacing w:line="225" w:lineRule="exact" w:before="0"/>
        <w:ind w:left="179" w:right="185" w:firstLine="0"/>
        <w:jc w:val="left"/>
        <w:rPr>
          <w:sz w:val="20"/>
        </w:rPr>
      </w:pPr>
      <w:r>
        <w:rPr>
          <w:sz w:val="20"/>
        </w:rPr>
        <w:t>Elaboración propia.</w:t>
      </w:r>
    </w:p>
    <w:p>
      <w:pPr>
        <w:spacing w:after="0" w:line="225" w:lineRule="exact"/>
        <w:jc w:val="left"/>
        <w:rPr>
          <w:sz w:val="20"/>
        </w:rPr>
        <w:sectPr>
          <w:pgSz w:w="12240" w:h="15840"/>
          <w:pgMar w:header="0" w:footer="1180" w:top="1360" w:bottom="1380" w:left="1520" w:right="1240"/>
        </w:sectPr>
      </w:pPr>
    </w:p>
    <w:p>
      <w:pPr>
        <w:pStyle w:val="Heading2"/>
        <w:ind w:left="179"/>
      </w:pPr>
      <w:bookmarkStart w:name="_bookmark41" w:id="54"/>
      <w:bookmarkEnd w:id="54"/>
      <w:r>
        <w:rPr>
          <w:b w:val="0"/>
        </w:rPr>
      </w:r>
      <w:r>
        <w:rPr/>
        <w:t>Punto de equilibrio (PE)</w:t>
      </w:r>
    </w:p>
    <w:p>
      <w:pPr>
        <w:pStyle w:val="BodyText"/>
        <w:spacing w:before="7"/>
        <w:rPr>
          <w:b/>
          <w:sz w:val="38"/>
        </w:rPr>
      </w:pPr>
    </w:p>
    <w:p>
      <w:pPr>
        <w:pStyle w:val="BodyText"/>
        <w:spacing w:line="360" w:lineRule="auto"/>
        <w:ind w:left="179" w:right="172"/>
        <w:jc w:val="both"/>
      </w:pPr>
      <w:r>
        <w:rPr>
          <w:i/>
        </w:rPr>
        <w:t>El umbral de rentabilidad</w:t>
      </w:r>
      <w:r>
        <w:rPr/>
        <w:t>, </w:t>
      </w:r>
      <w:r>
        <w:rPr>
          <w:i/>
        </w:rPr>
        <w:t>Punto de Equilibrio (PE</w:t>
      </w:r>
      <w:r>
        <w:rPr/>
        <w:t>) (Cuadro 13) o capacidad de producción mínima económica (CPME), entendido como el nivel donde los costos totales de producción (fijos </w:t>
      </w:r>
      <w:r>
        <w:rPr>
          <w:spacing w:val="-3"/>
        </w:rPr>
        <w:t>más </w:t>
      </w:r>
      <w:r>
        <w:rPr/>
        <w:t>variables), se igualan al ingreso total por ventas, se calculó con base en el rubro de mayor importancia en los ingresos anuales </w:t>
      </w:r>
      <w:r>
        <w:rPr>
          <w:spacing w:val="8"/>
        </w:rPr>
        <w:t>y, </w:t>
      </w:r>
      <w:r>
        <w:rPr/>
        <w:t>fue la venta de animales vivos finalizados a 500.0 kg de peso e indicó que deben  producirse y/o venderse cinco toretes, equivalentes a 118,000.0 pesos, después de esos niveles de producción/venta, habrá ganancias, de lo contrario, habrá pérdidas dentro del negocio pecuario o una vez que el rastro entre en actividad</w:t>
      </w:r>
      <w:r>
        <w:rPr>
          <w:spacing w:val="-33"/>
        </w:rPr>
        <w:t> </w:t>
      </w:r>
      <w:r>
        <w:rPr/>
        <w:t>operativa.</w:t>
      </w:r>
    </w:p>
    <w:p>
      <w:pPr>
        <w:pStyle w:val="BodyText"/>
      </w:pPr>
    </w:p>
    <w:p>
      <w:pPr>
        <w:pStyle w:val="BodyText"/>
        <w:spacing w:before="140"/>
        <w:ind w:left="179"/>
        <w:jc w:val="both"/>
      </w:pPr>
      <w:r>
        <w:rPr/>
        <w:t>Cuadro 13. Punto de Equilibrio (PE).</w:t>
      </w:r>
    </w:p>
    <w:p>
      <w:pPr>
        <w:pStyle w:val="BodyText"/>
        <w:spacing w:before="3"/>
        <w:rPr>
          <w:sz w:val="1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56"/>
        <w:gridCol w:w="4311"/>
      </w:tblGrid>
      <w:tr>
        <w:trPr>
          <w:trHeight w:val="427" w:hRule="exact"/>
        </w:trPr>
        <w:tc>
          <w:tcPr>
            <w:tcW w:w="4956" w:type="dxa"/>
            <w:tcBorders>
              <w:left w:val="nil"/>
              <w:right w:val="nil"/>
            </w:tcBorders>
          </w:tcPr>
          <w:p>
            <w:pPr>
              <w:pStyle w:val="TableParagraph"/>
              <w:spacing w:line="272" w:lineRule="exact" w:before="0"/>
              <w:ind w:left="71"/>
              <w:jc w:val="left"/>
              <w:rPr>
                <w:sz w:val="24"/>
              </w:rPr>
            </w:pPr>
            <w:r>
              <w:rPr>
                <w:sz w:val="24"/>
              </w:rPr>
              <w:t>Concepto</w:t>
            </w:r>
          </w:p>
        </w:tc>
        <w:tc>
          <w:tcPr>
            <w:tcW w:w="4311" w:type="dxa"/>
            <w:tcBorders>
              <w:left w:val="nil"/>
              <w:right w:val="nil"/>
            </w:tcBorders>
          </w:tcPr>
          <w:p>
            <w:pPr>
              <w:pStyle w:val="TableParagraph"/>
              <w:spacing w:line="272" w:lineRule="exact" w:before="0"/>
              <w:ind w:right="63"/>
              <w:rPr>
                <w:sz w:val="24"/>
              </w:rPr>
            </w:pPr>
            <w:r>
              <w:rPr>
                <w:sz w:val="24"/>
              </w:rPr>
              <w:t>Monto ($)</w:t>
            </w:r>
          </w:p>
        </w:tc>
      </w:tr>
      <w:tr>
        <w:trPr>
          <w:trHeight w:val="358" w:hRule="exact"/>
        </w:trPr>
        <w:tc>
          <w:tcPr>
            <w:tcW w:w="4956" w:type="dxa"/>
            <w:tcBorders>
              <w:left w:val="nil"/>
              <w:bottom w:val="nil"/>
              <w:right w:val="nil"/>
            </w:tcBorders>
          </w:tcPr>
          <w:p>
            <w:pPr>
              <w:pStyle w:val="TableParagraph"/>
              <w:spacing w:line="272" w:lineRule="exact" w:before="0"/>
              <w:ind w:left="71"/>
              <w:jc w:val="left"/>
              <w:rPr>
                <w:sz w:val="24"/>
              </w:rPr>
            </w:pPr>
            <w:r>
              <w:rPr>
                <w:sz w:val="24"/>
              </w:rPr>
              <w:t>CFT</w:t>
            </w:r>
          </w:p>
        </w:tc>
        <w:tc>
          <w:tcPr>
            <w:tcW w:w="4311" w:type="dxa"/>
            <w:tcBorders>
              <w:left w:val="nil"/>
              <w:bottom w:val="nil"/>
              <w:right w:val="nil"/>
            </w:tcBorders>
          </w:tcPr>
          <w:p>
            <w:pPr>
              <w:pStyle w:val="TableParagraph"/>
              <w:spacing w:line="272" w:lineRule="exact" w:before="0"/>
              <w:ind w:right="62"/>
              <w:rPr>
                <w:sz w:val="24"/>
              </w:rPr>
            </w:pPr>
            <w:r>
              <w:rPr>
                <w:sz w:val="24"/>
              </w:rPr>
              <w:t>12,648</w:t>
            </w:r>
          </w:p>
        </w:tc>
      </w:tr>
      <w:tr>
        <w:trPr>
          <w:trHeight w:val="413" w:hRule="exact"/>
        </w:trPr>
        <w:tc>
          <w:tcPr>
            <w:tcW w:w="4956" w:type="dxa"/>
            <w:tcBorders>
              <w:top w:val="nil"/>
              <w:left w:val="nil"/>
              <w:bottom w:val="nil"/>
              <w:right w:val="nil"/>
            </w:tcBorders>
          </w:tcPr>
          <w:p>
            <w:pPr>
              <w:pStyle w:val="TableParagraph"/>
              <w:ind w:left="71"/>
              <w:jc w:val="left"/>
              <w:rPr>
                <w:sz w:val="24"/>
              </w:rPr>
            </w:pPr>
            <w:r>
              <w:rPr>
                <w:sz w:val="24"/>
              </w:rPr>
              <w:t>CVMe</w:t>
            </w:r>
          </w:p>
        </w:tc>
        <w:tc>
          <w:tcPr>
            <w:tcW w:w="4311" w:type="dxa"/>
            <w:tcBorders>
              <w:top w:val="nil"/>
              <w:left w:val="nil"/>
              <w:bottom w:val="nil"/>
              <w:right w:val="nil"/>
            </w:tcBorders>
          </w:tcPr>
          <w:p>
            <w:pPr>
              <w:pStyle w:val="TableParagraph"/>
              <w:ind w:right="62"/>
              <w:rPr>
                <w:sz w:val="24"/>
              </w:rPr>
            </w:pPr>
            <w:r>
              <w:rPr>
                <w:sz w:val="24"/>
              </w:rPr>
              <w:t>20,086</w:t>
            </w:r>
          </w:p>
        </w:tc>
      </w:tr>
      <w:tr>
        <w:trPr>
          <w:trHeight w:val="413" w:hRule="exact"/>
        </w:trPr>
        <w:tc>
          <w:tcPr>
            <w:tcW w:w="4956" w:type="dxa"/>
            <w:tcBorders>
              <w:top w:val="nil"/>
              <w:left w:val="nil"/>
              <w:bottom w:val="nil"/>
              <w:right w:val="nil"/>
            </w:tcBorders>
          </w:tcPr>
          <w:p>
            <w:pPr>
              <w:pStyle w:val="TableParagraph"/>
              <w:spacing w:before="56"/>
              <w:ind w:left="71"/>
              <w:jc w:val="left"/>
              <w:rPr>
                <w:sz w:val="24"/>
              </w:rPr>
            </w:pPr>
            <w:r>
              <w:rPr>
                <w:sz w:val="24"/>
              </w:rPr>
              <w:t>Precio de venta</w:t>
            </w:r>
          </w:p>
        </w:tc>
        <w:tc>
          <w:tcPr>
            <w:tcW w:w="4311" w:type="dxa"/>
            <w:tcBorders>
              <w:top w:val="nil"/>
              <w:left w:val="nil"/>
              <w:bottom w:val="nil"/>
              <w:right w:val="nil"/>
            </w:tcBorders>
          </w:tcPr>
          <w:p>
            <w:pPr>
              <w:pStyle w:val="TableParagraph"/>
              <w:spacing w:before="56"/>
              <w:ind w:right="62"/>
              <w:rPr>
                <w:sz w:val="24"/>
              </w:rPr>
            </w:pPr>
            <w:r>
              <w:rPr>
                <w:sz w:val="24"/>
              </w:rPr>
              <w:t>22,500</w:t>
            </w:r>
          </w:p>
        </w:tc>
      </w:tr>
      <w:tr>
        <w:trPr>
          <w:trHeight w:val="415" w:hRule="exact"/>
        </w:trPr>
        <w:tc>
          <w:tcPr>
            <w:tcW w:w="4956" w:type="dxa"/>
            <w:tcBorders>
              <w:top w:val="nil"/>
              <w:left w:val="nil"/>
              <w:bottom w:val="nil"/>
              <w:right w:val="nil"/>
            </w:tcBorders>
          </w:tcPr>
          <w:p>
            <w:pPr>
              <w:pStyle w:val="TableParagraph"/>
              <w:ind w:left="71"/>
              <w:jc w:val="left"/>
              <w:rPr>
                <w:sz w:val="24"/>
              </w:rPr>
            </w:pPr>
            <w:r>
              <w:rPr>
                <w:sz w:val="24"/>
              </w:rPr>
              <w:t>PE, toretes</w:t>
            </w:r>
          </w:p>
        </w:tc>
        <w:tc>
          <w:tcPr>
            <w:tcW w:w="4311" w:type="dxa"/>
            <w:tcBorders>
              <w:top w:val="nil"/>
              <w:left w:val="nil"/>
              <w:bottom w:val="nil"/>
              <w:right w:val="nil"/>
            </w:tcBorders>
          </w:tcPr>
          <w:p>
            <w:pPr>
              <w:pStyle w:val="TableParagraph"/>
              <w:ind w:right="66"/>
              <w:rPr>
                <w:sz w:val="24"/>
              </w:rPr>
            </w:pPr>
            <w:r>
              <w:rPr>
                <w:w w:val="99"/>
                <w:sz w:val="24"/>
              </w:rPr>
              <w:t>5</w:t>
            </w:r>
          </w:p>
        </w:tc>
      </w:tr>
      <w:tr>
        <w:trPr>
          <w:trHeight w:val="480" w:hRule="exact"/>
        </w:trPr>
        <w:tc>
          <w:tcPr>
            <w:tcW w:w="4956" w:type="dxa"/>
            <w:tcBorders>
              <w:top w:val="nil"/>
              <w:left w:val="nil"/>
              <w:right w:val="nil"/>
            </w:tcBorders>
          </w:tcPr>
          <w:p>
            <w:pPr>
              <w:pStyle w:val="TableParagraph"/>
              <w:spacing w:before="58"/>
              <w:ind w:left="71"/>
              <w:jc w:val="left"/>
              <w:rPr>
                <w:sz w:val="24"/>
              </w:rPr>
            </w:pPr>
            <w:r>
              <w:rPr>
                <w:sz w:val="24"/>
              </w:rPr>
              <w:t>PE, en ventas</w:t>
            </w:r>
          </w:p>
        </w:tc>
        <w:tc>
          <w:tcPr>
            <w:tcW w:w="4311" w:type="dxa"/>
            <w:tcBorders>
              <w:top w:val="nil"/>
              <w:left w:val="nil"/>
              <w:right w:val="nil"/>
            </w:tcBorders>
          </w:tcPr>
          <w:p>
            <w:pPr>
              <w:pStyle w:val="TableParagraph"/>
              <w:spacing w:before="58"/>
              <w:ind w:right="62"/>
              <w:rPr>
                <w:sz w:val="24"/>
              </w:rPr>
            </w:pPr>
            <w:r>
              <w:rPr>
                <w:sz w:val="24"/>
              </w:rPr>
              <w:t>117,883</w:t>
            </w:r>
          </w:p>
        </w:tc>
      </w:tr>
    </w:tbl>
    <w:p>
      <w:pPr>
        <w:spacing w:line="225" w:lineRule="exact" w:before="0"/>
        <w:ind w:left="179" w:right="185" w:firstLine="0"/>
        <w:jc w:val="left"/>
        <w:rPr>
          <w:sz w:val="20"/>
        </w:rPr>
      </w:pPr>
      <w:r>
        <w:rPr>
          <w:sz w:val="20"/>
        </w:rPr>
        <w:t>Cálculos propios.</w:t>
      </w:r>
    </w:p>
    <w:p>
      <w:pPr>
        <w:spacing w:after="0" w:line="225" w:lineRule="exact"/>
        <w:jc w:val="left"/>
        <w:rPr>
          <w:sz w:val="20"/>
        </w:rPr>
        <w:sectPr>
          <w:pgSz w:w="12240" w:h="15840"/>
          <w:pgMar w:header="0" w:footer="1180" w:top="1360" w:bottom="1380" w:left="1520" w:right="1240"/>
        </w:sectPr>
      </w:pPr>
    </w:p>
    <w:p>
      <w:pPr>
        <w:pStyle w:val="Heading2"/>
      </w:pPr>
      <w:bookmarkStart w:name="_bookmark42" w:id="55"/>
      <w:bookmarkEnd w:id="55"/>
      <w:r>
        <w:rPr>
          <w:b w:val="0"/>
        </w:rPr>
      </w:r>
      <w:r>
        <w:rPr/>
        <w:t>Flujo del proyecto</w:t>
      </w:r>
    </w:p>
    <w:p>
      <w:pPr>
        <w:pStyle w:val="BodyText"/>
        <w:spacing w:before="7"/>
        <w:rPr>
          <w:b/>
          <w:sz w:val="38"/>
        </w:rPr>
      </w:pPr>
    </w:p>
    <w:p>
      <w:pPr>
        <w:pStyle w:val="BodyText"/>
        <w:spacing w:line="360" w:lineRule="auto"/>
        <w:ind w:left="119" w:right="115"/>
        <w:jc w:val="both"/>
      </w:pPr>
      <w:r>
        <w:rPr/>
        <w:t>El </w:t>
      </w:r>
      <w:r>
        <w:rPr>
          <w:i/>
        </w:rPr>
        <w:t>Flujo de Proyecto </w:t>
      </w:r>
      <w:r>
        <w:rPr/>
        <w:t>(FP) (FIRA, 2012) (Cuadro 14) es un presupuesto proforma que resume toda la información del estudio financiero del </w:t>
      </w:r>
      <w:r>
        <w:rPr>
          <w:spacing w:val="-3"/>
        </w:rPr>
        <w:t>mismo </w:t>
      </w:r>
      <w:r>
        <w:rPr/>
        <w:t>y finaliza con  información del </w:t>
      </w:r>
      <w:r>
        <w:rPr>
          <w:i/>
        </w:rPr>
        <w:t>Flujo Neto de Proyecto</w:t>
      </w:r>
      <w:r>
        <w:rPr/>
        <w:t>, sin actualizar o descontar a una tasa de descuento previamente estimada por el proyectista; incluye depreciaciones de  activos tangibles (excepto el terreno) y amortizaciones de activos intangibles (activos diferidos), debido a que éstas deben deducirse </w:t>
      </w:r>
      <w:r>
        <w:rPr>
          <w:spacing w:val="5"/>
        </w:rPr>
        <w:t>de </w:t>
      </w:r>
      <w:r>
        <w:rPr/>
        <w:t>impuestos, no  reducen rentabilidad del</w:t>
      </w:r>
      <w:r>
        <w:rPr>
          <w:spacing w:val="-3"/>
        </w:rPr>
        <w:t> </w:t>
      </w:r>
      <w:r>
        <w:rPr>
          <w:spacing w:val="-2"/>
        </w:rPr>
        <w:t>mismo.</w:t>
      </w:r>
    </w:p>
    <w:p>
      <w:pPr>
        <w:pStyle w:val="BodyText"/>
      </w:pPr>
    </w:p>
    <w:p>
      <w:pPr>
        <w:pStyle w:val="BodyText"/>
        <w:spacing w:line="360" w:lineRule="auto" w:before="144"/>
        <w:ind w:left="119" w:right="115"/>
        <w:jc w:val="both"/>
      </w:pPr>
      <w:r>
        <w:rPr/>
        <w:t>Además, por tratarse de un negocio pecuario con transformación de productos primarios, la Ley lo exime del pago de ISR, PTU, facturaciones y demás posibles impuestos, incluidas las respectivas declaraciones anuales ante el SAT; por ello no se consideraron tales impuestos en el presupuesto respectivo. EL FP permite presentar toda la información financiera desglosada y calculada, </w:t>
      </w:r>
      <w:r>
        <w:rPr>
          <w:spacing w:val="-3"/>
        </w:rPr>
        <w:t>más </w:t>
      </w:r>
      <w:r>
        <w:rPr/>
        <w:t>el total, que es, precisamente, el F de</w:t>
      </w:r>
      <w:r>
        <w:rPr>
          <w:spacing w:val="-9"/>
        </w:rPr>
        <w:t> </w:t>
      </w:r>
      <w:r>
        <w:rPr/>
        <w:t>P.</w:t>
      </w:r>
    </w:p>
    <w:p>
      <w:pPr>
        <w:spacing w:after="0" w:line="360" w:lineRule="auto"/>
        <w:jc w:val="both"/>
        <w:sectPr>
          <w:pgSz w:w="12240" w:h="15840"/>
          <w:pgMar w:header="0" w:footer="1180" w:top="1360" w:bottom="1380" w:left="1580" w:right="1300"/>
        </w:sectPr>
      </w:pPr>
    </w:p>
    <w:p>
      <w:pPr>
        <w:pStyle w:val="BodyText"/>
        <w:spacing w:before="52"/>
        <w:ind w:left="199" w:right="15"/>
      </w:pPr>
      <w:r>
        <w:rPr/>
        <w:t>Cuadro 14. Flujo de Proyecto (pesos) para la engorda en corral.</w:t>
      </w:r>
    </w:p>
    <w:p>
      <w:pPr>
        <w:pStyle w:val="BodyText"/>
        <w:spacing w:before="7" w:after="1"/>
        <w:rPr>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63"/>
        <w:gridCol w:w="1189"/>
        <w:gridCol w:w="1027"/>
        <w:gridCol w:w="1025"/>
        <w:gridCol w:w="1025"/>
        <w:gridCol w:w="1044"/>
        <w:gridCol w:w="1007"/>
      </w:tblGrid>
      <w:tr>
        <w:trPr>
          <w:trHeight w:val="346" w:hRule="exact"/>
        </w:trPr>
        <w:tc>
          <w:tcPr>
            <w:tcW w:w="2963" w:type="dxa"/>
            <w:tcBorders>
              <w:left w:val="nil"/>
              <w:bottom w:val="nil"/>
              <w:right w:val="nil"/>
            </w:tcBorders>
          </w:tcPr>
          <w:p>
            <w:pPr>
              <w:pStyle w:val="TableParagraph"/>
              <w:spacing w:before="34"/>
              <w:ind w:left="86"/>
              <w:jc w:val="left"/>
              <w:rPr>
                <w:sz w:val="24"/>
              </w:rPr>
            </w:pPr>
            <w:r>
              <w:rPr>
                <w:sz w:val="24"/>
              </w:rPr>
              <w:t>Concepto</w:t>
            </w:r>
          </w:p>
        </w:tc>
        <w:tc>
          <w:tcPr>
            <w:tcW w:w="1189" w:type="dxa"/>
            <w:tcBorders>
              <w:left w:val="nil"/>
              <w:bottom w:val="nil"/>
              <w:right w:val="nil"/>
            </w:tcBorders>
          </w:tcPr>
          <w:p>
            <w:pPr/>
          </w:p>
        </w:tc>
        <w:tc>
          <w:tcPr>
            <w:tcW w:w="1027" w:type="dxa"/>
            <w:tcBorders>
              <w:left w:val="nil"/>
              <w:bottom w:val="nil"/>
              <w:right w:val="nil"/>
            </w:tcBorders>
          </w:tcPr>
          <w:p>
            <w:pPr>
              <w:pStyle w:val="TableParagraph"/>
              <w:spacing w:before="34"/>
              <w:ind w:left="54" w:right="59"/>
              <w:jc w:val="center"/>
              <w:rPr>
                <w:sz w:val="24"/>
              </w:rPr>
            </w:pPr>
            <w:r>
              <w:rPr>
                <w:sz w:val="24"/>
              </w:rPr>
              <w:t>Años</w:t>
            </w:r>
          </w:p>
        </w:tc>
        <w:tc>
          <w:tcPr>
            <w:tcW w:w="1025" w:type="dxa"/>
            <w:tcBorders>
              <w:left w:val="nil"/>
              <w:bottom w:val="nil"/>
              <w:right w:val="nil"/>
            </w:tcBorders>
          </w:tcPr>
          <w:p>
            <w:pPr/>
          </w:p>
        </w:tc>
        <w:tc>
          <w:tcPr>
            <w:tcW w:w="1025" w:type="dxa"/>
            <w:tcBorders>
              <w:left w:val="nil"/>
              <w:bottom w:val="nil"/>
              <w:right w:val="nil"/>
            </w:tcBorders>
          </w:tcPr>
          <w:p>
            <w:pPr/>
          </w:p>
        </w:tc>
        <w:tc>
          <w:tcPr>
            <w:tcW w:w="1044" w:type="dxa"/>
            <w:tcBorders>
              <w:left w:val="nil"/>
              <w:bottom w:val="nil"/>
              <w:right w:val="nil"/>
            </w:tcBorders>
          </w:tcPr>
          <w:p>
            <w:pPr/>
          </w:p>
        </w:tc>
        <w:tc>
          <w:tcPr>
            <w:tcW w:w="1007" w:type="dxa"/>
            <w:tcBorders>
              <w:left w:val="nil"/>
              <w:bottom w:val="nil"/>
              <w:right w:val="nil"/>
            </w:tcBorders>
          </w:tcPr>
          <w:p>
            <w:pPr/>
          </w:p>
        </w:tc>
      </w:tr>
      <w:tr>
        <w:trPr>
          <w:trHeight w:val="293" w:hRule="exact"/>
        </w:trPr>
        <w:tc>
          <w:tcPr>
            <w:tcW w:w="2963" w:type="dxa"/>
            <w:tcBorders>
              <w:top w:val="nil"/>
              <w:left w:val="nil"/>
              <w:right w:val="nil"/>
            </w:tcBorders>
          </w:tcPr>
          <w:p>
            <w:pPr/>
          </w:p>
        </w:tc>
        <w:tc>
          <w:tcPr>
            <w:tcW w:w="1189" w:type="dxa"/>
            <w:tcBorders>
              <w:top w:val="nil"/>
              <w:left w:val="nil"/>
              <w:right w:val="nil"/>
            </w:tcBorders>
          </w:tcPr>
          <w:p>
            <w:pPr>
              <w:pStyle w:val="TableParagraph"/>
              <w:spacing w:before="5"/>
              <w:ind w:left="95"/>
              <w:jc w:val="center"/>
              <w:rPr>
                <w:sz w:val="24"/>
              </w:rPr>
            </w:pPr>
            <w:r>
              <w:rPr>
                <w:w w:val="99"/>
                <w:sz w:val="24"/>
              </w:rPr>
              <w:t>0</w:t>
            </w:r>
          </w:p>
        </w:tc>
        <w:tc>
          <w:tcPr>
            <w:tcW w:w="1027" w:type="dxa"/>
            <w:tcBorders>
              <w:top w:val="nil"/>
              <w:left w:val="nil"/>
              <w:right w:val="nil"/>
            </w:tcBorders>
          </w:tcPr>
          <w:p>
            <w:pPr>
              <w:pStyle w:val="TableParagraph"/>
              <w:spacing w:before="5"/>
              <w:ind w:right="6"/>
              <w:jc w:val="center"/>
              <w:rPr>
                <w:sz w:val="24"/>
              </w:rPr>
            </w:pPr>
            <w:r>
              <w:rPr>
                <w:w w:val="99"/>
                <w:sz w:val="24"/>
              </w:rPr>
              <w:t>1</w:t>
            </w:r>
          </w:p>
        </w:tc>
        <w:tc>
          <w:tcPr>
            <w:tcW w:w="1025" w:type="dxa"/>
            <w:tcBorders>
              <w:top w:val="nil"/>
              <w:left w:val="nil"/>
              <w:right w:val="nil"/>
            </w:tcBorders>
          </w:tcPr>
          <w:p>
            <w:pPr>
              <w:pStyle w:val="TableParagraph"/>
              <w:spacing w:before="5"/>
              <w:ind w:right="3"/>
              <w:jc w:val="center"/>
              <w:rPr>
                <w:sz w:val="24"/>
              </w:rPr>
            </w:pPr>
            <w:r>
              <w:rPr>
                <w:w w:val="99"/>
                <w:sz w:val="24"/>
              </w:rPr>
              <w:t>2</w:t>
            </w:r>
          </w:p>
        </w:tc>
        <w:tc>
          <w:tcPr>
            <w:tcW w:w="1025" w:type="dxa"/>
            <w:tcBorders>
              <w:top w:val="nil"/>
              <w:left w:val="nil"/>
              <w:right w:val="nil"/>
            </w:tcBorders>
          </w:tcPr>
          <w:p>
            <w:pPr>
              <w:pStyle w:val="TableParagraph"/>
              <w:spacing w:before="5"/>
              <w:ind w:right="8"/>
              <w:jc w:val="center"/>
              <w:rPr>
                <w:sz w:val="24"/>
              </w:rPr>
            </w:pPr>
            <w:r>
              <w:rPr>
                <w:w w:val="99"/>
                <w:sz w:val="24"/>
              </w:rPr>
              <w:t>3</w:t>
            </w:r>
          </w:p>
        </w:tc>
        <w:tc>
          <w:tcPr>
            <w:tcW w:w="1044" w:type="dxa"/>
            <w:tcBorders>
              <w:top w:val="nil"/>
              <w:left w:val="nil"/>
              <w:right w:val="nil"/>
            </w:tcBorders>
          </w:tcPr>
          <w:p>
            <w:pPr>
              <w:pStyle w:val="TableParagraph"/>
              <w:spacing w:before="5"/>
              <w:ind w:right="23"/>
              <w:jc w:val="center"/>
              <w:rPr>
                <w:sz w:val="24"/>
              </w:rPr>
            </w:pPr>
            <w:r>
              <w:rPr>
                <w:w w:val="99"/>
                <w:sz w:val="24"/>
              </w:rPr>
              <w:t>4</w:t>
            </w:r>
          </w:p>
        </w:tc>
        <w:tc>
          <w:tcPr>
            <w:tcW w:w="1007" w:type="dxa"/>
            <w:tcBorders>
              <w:top w:val="nil"/>
              <w:left w:val="nil"/>
              <w:right w:val="nil"/>
            </w:tcBorders>
          </w:tcPr>
          <w:p>
            <w:pPr>
              <w:pStyle w:val="TableParagraph"/>
              <w:spacing w:before="5"/>
              <w:ind w:right="19"/>
              <w:jc w:val="center"/>
              <w:rPr>
                <w:sz w:val="24"/>
              </w:rPr>
            </w:pPr>
            <w:r>
              <w:rPr>
                <w:w w:val="99"/>
                <w:sz w:val="24"/>
              </w:rPr>
              <w:t>5</w:t>
            </w:r>
          </w:p>
        </w:tc>
      </w:tr>
      <w:tr>
        <w:trPr>
          <w:trHeight w:val="586" w:hRule="exact"/>
        </w:trPr>
        <w:tc>
          <w:tcPr>
            <w:tcW w:w="2963" w:type="dxa"/>
            <w:tcBorders>
              <w:left w:val="nil"/>
              <w:bottom w:val="nil"/>
              <w:right w:val="nil"/>
            </w:tcBorders>
          </w:tcPr>
          <w:p>
            <w:pPr>
              <w:pStyle w:val="TableParagraph"/>
              <w:spacing w:before="10"/>
              <w:jc w:val="left"/>
              <w:rPr>
                <w:sz w:val="23"/>
              </w:rPr>
            </w:pPr>
          </w:p>
          <w:p>
            <w:pPr>
              <w:pStyle w:val="TableParagraph"/>
              <w:spacing w:before="0"/>
              <w:ind w:left="86"/>
              <w:jc w:val="left"/>
              <w:rPr>
                <w:sz w:val="24"/>
              </w:rPr>
            </w:pPr>
            <w:r>
              <w:rPr>
                <w:sz w:val="24"/>
              </w:rPr>
              <w:t>Inversión</w:t>
            </w:r>
          </w:p>
        </w:tc>
        <w:tc>
          <w:tcPr>
            <w:tcW w:w="1189" w:type="dxa"/>
            <w:tcBorders>
              <w:left w:val="nil"/>
              <w:bottom w:val="nil"/>
              <w:right w:val="nil"/>
            </w:tcBorders>
          </w:tcPr>
          <w:p>
            <w:pPr>
              <w:pStyle w:val="TableParagraph"/>
              <w:spacing w:line="272" w:lineRule="exact" w:before="0"/>
              <w:ind w:left="154" w:right="60"/>
              <w:jc w:val="center"/>
              <w:rPr>
                <w:sz w:val="24"/>
              </w:rPr>
            </w:pPr>
            <w:r>
              <w:rPr>
                <w:sz w:val="24"/>
              </w:rPr>
              <w:t>1,245,66</w:t>
            </w:r>
          </w:p>
          <w:p>
            <w:pPr>
              <w:pStyle w:val="TableParagraph"/>
              <w:spacing w:before="2"/>
              <w:ind w:left="95"/>
              <w:jc w:val="center"/>
              <w:rPr>
                <w:sz w:val="24"/>
              </w:rPr>
            </w:pPr>
            <w:r>
              <w:rPr>
                <w:w w:val="99"/>
                <w:sz w:val="24"/>
              </w:rPr>
              <w:t>2</w:t>
            </w:r>
          </w:p>
        </w:tc>
        <w:tc>
          <w:tcPr>
            <w:tcW w:w="1027" w:type="dxa"/>
            <w:tcBorders>
              <w:left w:val="nil"/>
              <w:bottom w:val="nil"/>
              <w:right w:val="nil"/>
            </w:tcBorders>
          </w:tcPr>
          <w:p>
            <w:pPr/>
          </w:p>
        </w:tc>
        <w:tc>
          <w:tcPr>
            <w:tcW w:w="1025" w:type="dxa"/>
            <w:tcBorders>
              <w:left w:val="nil"/>
              <w:bottom w:val="nil"/>
              <w:right w:val="nil"/>
            </w:tcBorders>
          </w:tcPr>
          <w:p>
            <w:pPr/>
          </w:p>
        </w:tc>
        <w:tc>
          <w:tcPr>
            <w:tcW w:w="1025" w:type="dxa"/>
            <w:tcBorders>
              <w:left w:val="nil"/>
              <w:bottom w:val="nil"/>
              <w:right w:val="nil"/>
            </w:tcBorders>
          </w:tcPr>
          <w:p>
            <w:pPr/>
          </w:p>
        </w:tc>
        <w:tc>
          <w:tcPr>
            <w:tcW w:w="1044" w:type="dxa"/>
            <w:tcBorders>
              <w:left w:val="nil"/>
              <w:bottom w:val="nil"/>
              <w:right w:val="nil"/>
            </w:tcBorders>
          </w:tcPr>
          <w:p>
            <w:pPr/>
          </w:p>
        </w:tc>
        <w:tc>
          <w:tcPr>
            <w:tcW w:w="1007" w:type="dxa"/>
            <w:tcBorders>
              <w:left w:val="nil"/>
              <w:bottom w:val="nil"/>
              <w:right w:val="nil"/>
            </w:tcBorders>
          </w:tcPr>
          <w:p>
            <w:pPr/>
          </w:p>
        </w:tc>
      </w:tr>
      <w:tr>
        <w:trPr>
          <w:trHeight w:val="314" w:hRule="exact"/>
        </w:trPr>
        <w:tc>
          <w:tcPr>
            <w:tcW w:w="2963" w:type="dxa"/>
            <w:tcBorders>
              <w:top w:val="nil"/>
              <w:left w:val="nil"/>
              <w:bottom w:val="nil"/>
              <w:right w:val="nil"/>
            </w:tcBorders>
          </w:tcPr>
          <w:p>
            <w:pPr>
              <w:pStyle w:val="TableParagraph"/>
              <w:spacing w:before="5"/>
              <w:ind w:left="287"/>
              <w:jc w:val="left"/>
              <w:rPr>
                <w:sz w:val="24"/>
              </w:rPr>
            </w:pPr>
            <w:r>
              <w:rPr>
                <w:sz w:val="24"/>
              </w:rPr>
              <w:t>Fija + diferida</w:t>
            </w:r>
          </w:p>
        </w:tc>
        <w:tc>
          <w:tcPr>
            <w:tcW w:w="1189" w:type="dxa"/>
            <w:tcBorders>
              <w:top w:val="nil"/>
              <w:left w:val="nil"/>
              <w:bottom w:val="nil"/>
              <w:right w:val="nil"/>
            </w:tcBorders>
          </w:tcPr>
          <w:p>
            <w:pPr>
              <w:pStyle w:val="TableParagraph"/>
              <w:spacing w:before="5"/>
              <w:ind w:left="154" w:right="60"/>
              <w:jc w:val="center"/>
              <w:rPr>
                <w:sz w:val="24"/>
              </w:rPr>
            </w:pPr>
            <w:r>
              <w:rPr>
                <w:sz w:val="24"/>
              </w:rPr>
              <w:t>740,350</w:t>
            </w:r>
          </w:p>
        </w:tc>
        <w:tc>
          <w:tcPr>
            <w:tcW w:w="1027" w:type="dxa"/>
            <w:tcBorders>
              <w:top w:val="nil"/>
              <w:left w:val="nil"/>
              <w:bottom w:val="nil"/>
              <w:right w:val="nil"/>
            </w:tcBorders>
          </w:tcPr>
          <w:p>
            <w:pPr/>
          </w:p>
        </w:tc>
        <w:tc>
          <w:tcPr>
            <w:tcW w:w="1025" w:type="dxa"/>
            <w:tcBorders>
              <w:top w:val="nil"/>
              <w:left w:val="nil"/>
              <w:bottom w:val="nil"/>
              <w:right w:val="nil"/>
            </w:tcBorders>
          </w:tcPr>
          <w:p>
            <w:pPr/>
          </w:p>
        </w:tc>
        <w:tc>
          <w:tcPr>
            <w:tcW w:w="1025" w:type="dxa"/>
            <w:tcBorders>
              <w:top w:val="nil"/>
              <w:left w:val="nil"/>
              <w:bottom w:val="nil"/>
              <w:right w:val="nil"/>
            </w:tcBorders>
          </w:tcPr>
          <w:p>
            <w:pPr/>
          </w:p>
        </w:tc>
        <w:tc>
          <w:tcPr>
            <w:tcW w:w="1044" w:type="dxa"/>
            <w:tcBorders>
              <w:top w:val="nil"/>
              <w:left w:val="nil"/>
              <w:bottom w:val="nil"/>
              <w:right w:val="nil"/>
            </w:tcBorders>
          </w:tcPr>
          <w:p>
            <w:pPr/>
          </w:p>
        </w:tc>
        <w:tc>
          <w:tcPr>
            <w:tcW w:w="1007" w:type="dxa"/>
            <w:tcBorders>
              <w:top w:val="nil"/>
              <w:left w:val="nil"/>
              <w:bottom w:val="nil"/>
              <w:right w:val="nil"/>
            </w:tcBorders>
          </w:tcPr>
          <w:p>
            <w:pPr/>
          </w:p>
        </w:tc>
      </w:tr>
      <w:tr>
        <w:trPr>
          <w:trHeight w:val="314" w:hRule="exact"/>
        </w:trPr>
        <w:tc>
          <w:tcPr>
            <w:tcW w:w="2963" w:type="dxa"/>
            <w:tcBorders>
              <w:top w:val="nil"/>
              <w:left w:val="nil"/>
              <w:bottom w:val="nil"/>
              <w:right w:val="nil"/>
            </w:tcBorders>
          </w:tcPr>
          <w:p>
            <w:pPr>
              <w:pStyle w:val="TableParagraph"/>
              <w:spacing w:before="7"/>
              <w:ind w:left="287"/>
              <w:jc w:val="left"/>
              <w:rPr>
                <w:sz w:val="24"/>
              </w:rPr>
            </w:pPr>
            <w:r>
              <w:rPr>
                <w:sz w:val="24"/>
              </w:rPr>
              <w:t>Capital de trabajo.</w:t>
            </w:r>
          </w:p>
        </w:tc>
        <w:tc>
          <w:tcPr>
            <w:tcW w:w="1189" w:type="dxa"/>
            <w:tcBorders>
              <w:top w:val="nil"/>
              <w:left w:val="nil"/>
              <w:bottom w:val="nil"/>
              <w:right w:val="nil"/>
            </w:tcBorders>
          </w:tcPr>
          <w:p>
            <w:pPr>
              <w:pStyle w:val="TableParagraph"/>
              <w:spacing w:before="7"/>
              <w:ind w:left="154" w:right="60"/>
              <w:jc w:val="center"/>
              <w:rPr>
                <w:sz w:val="24"/>
              </w:rPr>
            </w:pPr>
            <w:r>
              <w:rPr>
                <w:sz w:val="24"/>
              </w:rPr>
              <w:t>505,312</w:t>
            </w:r>
          </w:p>
        </w:tc>
        <w:tc>
          <w:tcPr>
            <w:tcW w:w="1027" w:type="dxa"/>
            <w:tcBorders>
              <w:top w:val="nil"/>
              <w:left w:val="nil"/>
              <w:bottom w:val="nil"/>
              <w:right w:val="nil"/>
            </w:tcBorders>
          </w:tcPr>
          <w:p>
            <w:pPr/>
          </w:p>
        </w:tc>
        <w:tc>
          <w:tcPr>
            <w:tcW w:w="1025" w:type="dxa"/>
            <w:tcBorders>
              <w:top w:val="nil"/>
              <w:left w:val="nil"/>
              <w:bottom w:val="nil"/>
              <w:right w:val="nil"/>
            </w:tcBorders>
          </w:tcPr>
          <w:p>
            <w:pPr/>
          </w:p>
        </w:tc>
        <w:tc>
          <w:tcPr>
            <w:tcW w:w="1025" w:type="dxa"/>
            <w:tcBorders>
              <w:top w:val="nil"/>
              <w:left w:val="nil"/>
              <w:bottom w:val="nil"/>
              <w:right w:val="nil"/>
            </w:tcBorders>
          </w:tcPr>
          <w:p>
            <w:pPr/>
          </w:p>
        </w:tc>
        <w:tc>
          <w:tcPr>
            <w:tcW w:w="1044" w:type="dxa"/>
            <w:tcBorders>
              <w:top w:val="nil"/>
              <w:left w:val="nil"/>
              <w:bottom w:val="nil"/>
              <w:right w:val="nil"/>
            </w:tcBorders>
          </w:tcPr>
          <w:p>
            <w:pPr/>
          </w:p>
        </w:tc>
        <w:tc>
          <w:tcPr>
            <w:tcW w:w="1007" w:type="dxa"/>
            <w:tcBorders>
              <w:top w:val="nil"/>
              <w:left w:val="nil"/>
              <w:bottom w:val="nil"/>
              <w:right w:val="nil"/>
            </w:tcBorders>
          </w:tcPr>
          <w:p>
            <w:pPr/>
          </w:p>
        </w:tc>
      </w:tr>
      <w:tr>
        <w:trPr>
          <w:trHeight w:val="315" w:hRule="exact"/>
        </w:trPr>
        <w:tc>
          <w:tcPr>
            <w:tcW w:w="2963" w:type="dxa"/>
            <w:tcBorders>
              <w:top w:val="nil"/>
              <w:left w:val="nil"/>
              <w:bottom w:val="nil"/>
              <w:right w:val="nil"/>
            </w:tcBorders>
          </w:tcPr>
          <w:p>
            <w:pPr>
              <w:pStyle w:val="TableParagraph"/>
              <w:spacing w:before="5"/>
              <w:ind w:left="86"/>
              <w:jc w:val="left"/>
              <w:rPr>
                <w:sz w:val="24"/>
              </w:rPr>
            </w:pPr>
            <w:r>
              <w:rPr>
                <w:sz w:val="24"/>
              </w:rPr>
              <w:t>Valores residuales</w:t>
            </w:r>
          </w:p>
        </w:tc>
        <w:tc>
          <w:tcPr>
            <w:tcW w:w="1189" w:type="dxa"/>
            <w:tcBorders>
              <w:top w:val="nil"/>
              <w:left w:val="nil"/>
              <w:bottom w:val="nil"/>
              <w:right w:val="nil"/>
            </w:tcBorders>
          </w:tcPr>
          <w:p>
            <w:pPr/>
          </w:p>
        </w:tc>
        <w:tc>
          <w:tcPr>
            <w:tcW w:w="1027" w:type="dxa"/>
            <w:tcBorders>
              <w:top w:val="nil"/>
              <w:left w:val="nil"/>
              <w:bottom w:val="nil"/>
              <w:right w:val="nil"/>
            </w:tcBorders>
          </w:tcPr>
          <w:p>
            <w:pPr/>
          </w:p>
        </w:tc>
        <w:tc>
          <w:tcPr>
            <w:tcW w:w="1025" w:type="dxa"/>
            <w:tcBorders>
              <w:top w:val="nil"/>
              <w:left w:val="nil"/>
              <w:bottom w:val="nil"/>
              <w:right w:val="nil"/>
            </w:tcBorders>
          </w:tcPr>
          <w:p>
            <w:pPr/>
          </w:p>
        </w:tc>
        <w:tc>
          <w:tcPr>
            <w:tcW w:w="1025" w:type="dxa"/>
            <w:tcBorders>
              <w:top w:val="nil"/>
              <w:left w:val="nil"/>
              <w:bottom w:val="nil"/>
              <w:right w:val="nil"/>
            </w:tcBorders>
          </w:tcPr>
          <w:p>
            <w:pPr/>
          </w:p>
        </w:tc>
        <w:tc>
          <w:tcPr>
            <w:tcW w:w="1044" w:type="dxa"/>
            <w:tcBorders>
              <w:top w:val="nil"/>
              <w:left w:val="nil"/>
              <w:bottom w:val="nil"/>
              <w:right w:val="nil"/>
            </w:tcBorders>
          </w:tcPr>
          <w:p>
            <w:pPr/>
          </w:p>
        </w:tc>
        <w:tc>
          <w:tcPr>
            <w:tcW w:w="1007" w:type="dxa"/>
            <w:tcBorders>
              <w:top w:val="nil"/>
              <w:left w:val="nil"/>
              <w:bottom w:val="nil"/>
              <w:right w:val="nil"/>
            </w:tcBorders>
          </w:tcPr>
          <w:p>
            <w:pPr/>
          </w:p>
        </w:tc>
      </w:tr>
      <w:tr>
        <w:trPr>
          <w:trHeight w:val="317" w:hRule="exact"/>
        </w:trPr>
        <w:tc>
          <w:tcPr>
            <w:tcW w:w="2963" w:type="dxa"/>
            <w:tcBorders>
              <w:top w:val="nil"/>
              <w:left w:val="nil"/>
              <w:bottom w:val="nil"/>
              <w:right w:val="nil"/>
            </w:tcBorders>
          </w:tcPr>
          <w:p>
            <w:pPr>
              <w:pStyle w:val="TableParagraph"/>
              <w:spacing w:before="8"/>
              <w:ind w:left="287"/>
              <w:jc w:val="left"/>
              <w:rPr>
                <w:sz w:val="24"/>
              </w:rPr>
            </w:pPr>
            <w:r>
              <w:rPr>
                <w:sz w:val="24"/>
              </w:rPr>
              <w:t>Inversión física</w:t>
            </w:r>
          </w:p>
        </w:tc>
        <w:tc>
          <w:tcPr>
            <w:tcW w:w="1189" w:type="dxa"/>
            <w:tcBorders>
              <w:top w:val="nil"/>
              <w:left w:val="nil"/>
              <w:bottom w:val="nil"/>
              <w:right w:val="nil"/>
            </w:tcBorders>
          </w:tcPr>
          <w:p>
            <w:pPr/>
          </w:p>
        </w:tc>
        <w:tc>
          <w:tcPr>
            <w:tcW w:w="1027" w:type="dxa"/>
            <w:tcBorders>
              <w:top w:val="nil"/>
              <w:left w:val="nil"/>
              <w:bottom w:val="nil"/>
              <w:right w:val="nil"/>
            </w:tcBorders>
          </w:tcPr>
          <w:p>
            <w:pPr/>
          </w:p>
        </w:tc>
        <w:tc>
          <w:tcPr>
            <w:tcW w:w="1025" w:type="dxa"/>
            <w:tcBorders>
              <w:top w:val="nil"/>
              <w:left w:val="nil"/>
              <w:bottom w:val="nil"/>
              <w:right w:val="nil"/>
            </w:tcBorders>
          </w:tcPr>
          <w:p>
            <w:pPr/>
          </w:p>
        </w:tc>
        <w:tc>
          <w:tcPr>
            <w:tcW w:w="1025" w:type="dxa"/>
            <w:tcBorders>
              <w:top w:val="nil"/>
              <w:left w:val="nil"/>
              <w:bottom w:val="nil"/>
              <w:right w:val="nil"/>
            </w:tcBorders>
          </w:tcPr>
          <w:p>
            <w:pPr/>
          </w:p>
        </w:tc>
        <w:tc>
          <w:tcPr>
            <w:tcW w:w="1044" w:type="dxa"/>
            <w:tcBorders>
              <w:top w:val="nil"/>
              <w:left w:val="nil"/>
              <w:bottom w:val="nil"/>
              <w:right w:val="nil"/>
            </w:tcBorders>
          </w:tcPr>
          <w:p>
            <w:pPr/>
          </w:p>
        </w:tc>
        <w:tc>
          <w:tcPr>
            <w:tcW w:w="1007" w:type="dxa"/>
            <w:tcBorders>
              <w:top w:val="nil"/>
              <w:left w:val="nil"/>
              <w:bottom w:val="nil"/>
              <w:right w:val="nil"/>
            </w:tcBorders>
          </w:tcPr>
          <w:p>
            <w:pPr>
              <w:pStyle w:val="TableParagraph"/>
              <w:spacing w:before="8"/>
              <w:ind w:left="44" w:right="54"/>
              <w:jc w:val="center"/>
              <w:rPr>
                <w:sz w:val="24"/>
              </w:rPr>
            </w:pPr>
            <w:r>
              <w:rPr>
                <w:sz w:val="24"/>
              </w:rPr>
              <w:t>694,113</w:t>
            </w:r>
          </w:p>
        </w:tc>
      </w:tr>
      <w:tr>
        <w:trPr>
          <w:trHeight w:val="295" w:hRule="exact"/>
        </w:trPr>
        <w:tc>
          <w:tcPr>
            <w:tcW w:w="2963" w:type="dxa"/>
            <w:tcBorders>
              <w:top w:val="nil"/>
              <w:left w:val="nil"/>
              <w:bottom w:val="nil"/>
              <w:right w:val="nil"/>
            </w:tcBorders>
          </w:tcPr>
          <w:p>
            <w:pPr>
              <w:pStyle w:val="TableParagraph"/>
              <w:spacing w:before="7"/>
              <w:ind w:left="287"/>
              <w:jc w:val="left"/>
              <w:rPr>
                <w:sz w:val="24"/>
              </w:rPr>
            </w:pPr>
            <w:r>
              <w:rPr>
                <w:sz w:val="24"/>
              </w:rPr>
              <w:t>Capital de trabajo</w:t>
            </w:r>
          </w:p>
        </w:tc>
        <w:tc>
          <w:tcPr>
            <w:tcW w:w="1189" w:type="dxa"/>
            <w:tcBorders>
              <w:top w:val="nil"/>
              <w:left w:val="nil"/>
              <w:bottom w:val="nil"/>
              <w:right w:val="nil"/>
            </w:tcBorders>
          </w:tcPr>
          <w:p>
            <w:pPr/>
          </w:p>
        </w:tc>
        <w:tc>
          <w:tcPr>
            <w:tcW w:w="1027" w:type="dxa"/>
            <w:tcBorders>
              <w:top w:val="nil"/>
              <w:left w:val="nil"/>
              <w:bottom w:val="nil"/>
              <w:right w:val="nil"/>
            </w:tcBorders>
          </w:tcPr>
          <w:p>
            <w:pPr/>
          </w:p>
        </w:tc>
        <w:tc>
          <w:tcPr>
            <w:tcW w:w="1025" w:type="dxa"/>
            <w:tcBorders>
              <w:top w:val="nil"/>
              <w:left w:val="nil"/>
              <w:bottom w:val="nil"/>
              <w:right w:val="nil"/>
            </w:tcBorders>
          </w:tcPr>
          <w:p>
            <w:pPr/>
          </w:p>
        </w:tc>
        <w:tc>
          <w:tcPr>
            <w:tcW w:w="1025" w:type="dxa"/>
            <w:tcBorders>
              <w:top w:val="nil"/>
              <w:left w:val="nil"/>
              <w:bottom w:val="nil"/>
              <w:right w:val="nil"/>
            </w:tcBorders>
          </w:tcPr>
          <w:p>
            <w:pPr/>
          </w:p>
        </w:tc>
        <w:tc>
          <w:tcPr>
            <w:tcW w:w="1044" w:type="dxa"/>
            <w:tcBorders>
              <w:top w:val="nil"/>
              <w:left w:val="nil"/>
              <w:bottom w:val="nil"/>
              <w:right w:val="nil"/>
            </w:tcBorders>
          </w:tcPr>
          <w:p>
            <w:pPr/>
          </w:p>
        </w:tc>
        <w:tc>
          <w:tcPr>
            <w:tcW w:w="1007" w:type="dxa"/>
            <w:tcBorders>
              <w:top w:val="nil"/>
              <w:left w:val="nil"/>
              <w:bottom w:val="nil"/>
              <w:right w:val="nil"/>
            </w:tcBorders>
          </w:tcPr>
          <w:p>
            <w:pPr>
              <w:pStyle w:val="TableParagraph"/>
              <w:spacing w:before="7"/>
              <w:ind w:left="44" w:right="54"/>
              <w:jc w:val="center"/>
              <w:rPr>
                <w:sz w:val="24"/>
              </w:rPr>
            </w:pPr>
            <w:r>
              <w:rPr>
                <w:sz w:val="24"/>
              </w:rPr>
              <w:t>505,312</w:t>
            </w:r>
          </w:p>
        </w:tc>
      </w:tr>
      <w:tr>
        <w:trPr>
          <w:trHeight w:val="552" w:hRule="exact"/>
        </w:trPr>
        <w:tc>
          <w:tcPr>
            <w:tcW w:w="2963" w:type="dxa"/>
            <w:tcBorders>
              <w:top w:val="nil"/>
              <w:left w:val="nil"/>
              <w:bottom w:val="nil"/>
              <w:right w:val="nil"/>
            </w:tcBorders>
          </w:tcPr>
          <w:p>
            <w:pPr>
              <w:pStyle w:val="TableParagraph"/>
              <w:spacing w:before="0"/>
              <w:jc w:val="left"/>
              <w:rPr>
                <w:sz w:val="23"/>
              </w:rPr>
            </w:pPr>
          </w:p>
          <w:p>
            <w:pPr>
              <w:pStyle w:val="TableParagraph"/>
              <w:spacing w:before="0"/>
              <w:ind w:left="86"/>
              <w:jc w:val="left"/>
              <w:rPr>
                <w:sz w:val="24"/>
              </w:rPr>
            </w:pPr>
            <w:r>
              <w:rPr>
                <w:sz w:val="24"/>
              </w:rPr>
              <w:t>Ingresos</w:t>
            </w:r>
          </w:p>
        </w:tc>
        <w:tc>
          <w:tcPr>
            <w:tcW w:w="1189" w:type="dxa"/>
            <w:tcBorders>
              <w:top w:val="nil"/>
              <w:left w:val="nil"/>
              <w:bottom w:val="nil"/>
              <w:right w:val="nil"/>
            </w:tcBorders>
          </w:tcPr>
          <w:p>
            <w:pPr>
              <w:pStyle w:val="TableParagraph"/>
              <w:spacing w:before="0"/>
              <w:jc w:val="left"/>
              <w:rPr>
                <w:sz w:val="23"/>
              </w:rPr>
            </w:pPr>
          </w:p>
          <w:p>
            <w:pPr>
              <w:pStyle w:val="TableParagraph"/>
              <w:spacing w:before="0"/>
              <w:ind w:left="95"/>
              <w:jc w:val="center"/>
              <w:rPr>
                <w:sz w:val="24"/>
              </w:rPr>
            </w:pPr>
            <w:r>
              <w:rPr>
                <w:w w:val="99"/>
                <w:sz w:val="24"/>
              </w:rPr>
              <w:t>0</w:t>
            </w:r>
          </w:p>
        </w:tc>
        <w:tc>
          <w:tcPr>
            <w:tcW w:w="1027" w:type="dxa"/>
            <w:tcBorders>
              <w:top w:val="nil"/>
              <w:left w:val="nil"/>
              <w:bottom w:val="nil"/>
              <w:right w:val="nil"/>
            </w:tcBorders>
          </w:tcPr>
          <w:p>
            <w:pPr>
              <w:pStyle w:val="TableParagraph"/>
              <w:spacing w:line="262" w:lineRule="exact" w:before="0"/>
              <w:ind w:left="59" w:right="59"/>
              <w:jc w:val="center"/>
              <w:rPr>
                <w:sz w:val="24"/>
              </w:rPr>
            </w:pPr>
            <w:r>
              <w:rPr>
                <w:sz w:val="24"/>
              </w:rPr>
              <w:t>2,250,0</w:t>
            </w:r>
          </w:p>
          <w:p>
            <w:pPr>
              <w:pStyle w:val="TableParagraph"/>
              <w:spacing w:before="2"/>
              <w:ind w:left="54" w:right="59"/>
              <w:jc w:val="center"/>
              <w:rPr>
                <w:sz w:val="24"/>
              </w:rPr>
            </w:pPr>
            <w:r>
              <w:rPr>
                <w:sz w:val="24"/>
              </w:rPr>
              <w:t>00</w:t>
            </w:r>
          </w:p>
        </w:tc>
        <w:tc>
          <w:tcPr>
            <w:tcW w:w="1025" w:type="dxa"/>
            <w:tcBorders>
              <w:top w:val="nil"/>
              <w:left w:val="nil"/>
              <w:bottom w:val="nil"/>
              <w:right w:val="nil"/>
            </w:tcBorders>
          </w:tcPr>
          <w:p>
            <w:pPr>
              <w:pStyle w:val="TableParagraph"/>
              <w:spacing w:line="262" w:lineRule="exact" w:before="0"/>
              <w:ind w:left="58" w:right="57"/>
              <w:jc w:val="center"/>
              <w:rPr>
                <w:sz w:val="24"/>
              </w:rPr>
            </w:pPr>
            <w:r>
              <w:rPr>
                <w:sz w:val="24"/>
              </w:rPr>
              <w:t>2,250,0</w:t>
            </w:r>
          </w:p>
          <w:p>
            <w:pPr>
              <w:pStyle w:val="TableParagraph"/>
              <w:spacing w:before="2"/>
              <w:ind w:left="55" w:right="57"/>
              <w:jc w:val="center"/>
              <w:rPr>
                <w:sz w:val="24"/>
              </w:rPr>
            </w:pPr>
            <w:r>
              <w:rPr>
                <w:sz w:val="24"/>
              </w:rPr>
              <w:t>00</w:t>
            </w:r>
          </w:p>
        </w:tc>
        <w:tc>
          <w:tcPr>
            <w:tcW w:w="1025" w:type="dxa"/>
            <w:tcBorders>
              <w:top w:val="nil"/>
              <w:left w:val="nil"/>
              <w:bottom w:val="nil"/>
              <w:right w:val="nil"/>
            </w:tcBorders>
          </w:tcPr>
          <w:p>
            <w:pPr>
              <w:pStyle w:val="TableParagraph"/>
              <w:spacing w:line="262" w:lineRule="exact" w:before="0"/>
              <w:ind w:left="58" w:right="58"/>
              <w:jc w:val="center"/>
              <w:rPr>
                <w:sz w:val="24"/>
              </w:rPr>
            </w:pPr>
            <w:r>
              <w:rPr>
                <w:sz w:val="24"/>
              </w:rPr>
              <w:t>2,250,0</w:t>
            </w:r>
          </w:p>
          <w:p>
            <w:pPr>
              <w:pStyle w:val="TableParagraph"/>
              <w:spacing w:before="2"/>
              <w:ind w:left="51" w:right="58"/>
              <w:jc w:val="center"/>
              <w:rPr>
                <w:sz w:val="24"/>
              </w:rPr>
            </w:pPr>
            <w:r>
              <w:rPr>
                <w:sz w:val="24"/>
              </w:rPr>
              <w:t>00</w:t>
            </w:r>
          </w:p>
        </w:tc>
        <w:tc>
          <w:tcPr>
            <w:tcW w:w="1044" w:type="dxa"/>
            <w:tcBorders>
              <w:top w:val="nil"/>
              <w:left w:val="nil"/>
              <w:bottom w:val="nil"/>
              <w:right w:val="nil"/>
            </w:tcBorders>
          </w:tcPr>
          <w:p>
            <w:pPr>
              <w:pStyle w:val="TableParagraph"/>
              <w:spacing w:line="262" w:lineRule="exact" w:before="0"/>
              <w:ind w:left="61" w:right="75"/>
              <w:jc w:val="center"/>
              <w:rPr>
                <w:sz w:val="24"/>
              </w:rPr>
            </w:pPr>
            <w:r>
              <w:rPr>
                <w:sz w:val="24"/>
              </w:rPr>
              <w:t>2,250,0</w:t>
            </w:r>
          </w:p>
          <w:p>
            <w:pPr>
              <w:pStyle w:val="TableParagraph"/>
              <w:spacing w:before="2"/>
              <w:ind w:left="53" w:right="75"/>
              <w:jc w:val="center"/>
              <w:rPr>
                <w:sz w:val="24"/>
              </w:rPr>
            </w:pPr>
            <w:r>
              <w:rPr>
                <w:sz w:val="24"/>
              </w:rPr>
              <w:t>00</w:t>
            </w:r>
          </w:p>
        </w:tc>
        <w:tc>
          <w:tcPr>
            <w:tcW w:w="1007" w:type="dxa"/>
            <w:tcBorders>
              <w:top w:val="nil"/>
              <w:left w:val="nil"/>
              <w:bottom w:val="nil"/>
              <w:right w:val="nil"/>
            </w:tcBorders>
          </w:tcPr>
          <w:p>
            <w:pPr>
              <w:pStyle w:val="TableParagraph"/>
              <w:spacing w:line="262" w:lineRule="exact" w:before="0"/>
              <w:ind w:left="43" w:right="54"/>
              <w:jc w:val="center"/>
              <w:rPr>
                <w:sz w:val="24"/>
              </w:rPr>
            </w:pPr>
            <w:r>
              <w:rPr>
                <w:sz w:val="24"/>
              </w:rPr>
              <w:t>2,250,0</w:t>
            </w:r>
          </w:p>
          <w:p>
            <w:pPr>
              <w:pStyle w:val="TableParagraph"/>
              <w:spacing w:before="2"/>
              <w:ind w:left="36" w:right="54"/>
              <w:jc w:val="center"/>
              <w:rPr>
                <w:sz w:val="24"/>
              </w:rPr>
            </w:pPr>
            <w:r>
              <w:rPr>
                <w:sz w:val="24"/>
              </w:rPr>
              <w:t>00</w:t>
            </w:r>
          </w:p>
        </w:tc>
      </w:tr>
      <w:tr>
        <w:trPr>
          <w:trHeight w:val="572" w:hRule="exact"/>
        </w:trPr>
        <w:tc>
          <w:tcPr>
            <w:tcW w:w="2963" w:type="dxa"/>
            <w:tcBorders>
              <w:top w:val="nil"/>
              <w:left w:val="nil"/>
              <w:bottom w:val="nil"/>
              <w:right w:val="nil"/>
            </w:tcBorders>
          </w:tcPr>
          <w:p>
            <w:pPr>
              <w:pStyle w:val="TableParagraph"/>
              <w:spacing w:before="0"/>
              <w:jc w:val="left"/>
              <w:rPr>
                <w:sz w:val="23"/>
              </w:rPr>
            </w:pPr>
          </w:p>
          <w:p>
            <w:pPr>
              <w:pStyle w:val="TableParagraph"/>
              <w:spacing w:before="0"/>
              <w:ind w:left="287"/>
              <w:jc w:val="left"/>
              <w:rPr>
                <w:sz w:val="24"/>
              </w:rPr>
            </w:pPr>
            <w:r>
              <w:rPr>
                <w:sz w:val="24"/>
              </w:rPr>
              <w:t>Ventas</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line="262" w:lineRule="exact" w:before="0"/>
              <w:ind w:left="59" w:right="59"/>
              <w:jc w:val="center"/>
              <w:rPr>
                <w:sz w:val="24"/>
              </w:rPr>
            </w:pPr>
            <w:r>
              <w:rPr>
                <w:sz w:val="24"/>
              </w:rPr>
              <w:t>2,250,0</w:t>
            </w:r>
          </w:p>
          <w:p>
            <w:pPr>
              <w:pStyle w:val="TableParagraph"/>
              <w:spacing w:before="2"/>
              <w:ind w:left="54" w:right="59"/>
              <w:jc w:val="center"/>
              <w:rPr>
                <w:sz w:val="24"/>
              </w:rPr>
            </w:pPr>
            <w:r>
              <w:rPr>
                <w:sz w:val="24"/>
              </w:rPr>
              <w:t>00</w:t>
            </w:r>
          </w:p>
        </w:tc>
        <w:tc>
          <w:tcPr>
            <w:tcW w:w="1025" w:type="dxa"/>
            <w:tcBorders>
              <w:top w:val="nil"/>
              <w:left w:val="nil"/>
              <w:bottom w:val="nil"/>
              <w:right w:val="nil"/>
            </w:tcBorders>
          </w:tcPr>
          <w:p>
            <w:pPr>
              <w:pStyle w:val="TableParagraph"/>
              <w:spacing w:line="262" w:lineRule="exact" w:before="0"/>
              <w:ind w:left="58" w:right="57"/>
              <w:jc w:val="center"/>
              <w:rPr>
                <w:sz w:val="24"/>
              </w:rPr>
            </w:pPr>
            <w:r>
              <w:rPr>
                <w:sz w:val="24"/>
              </w:rPr>
              <w:t>2,250,0</w:t>
            </w:r>
          </w:p>
          <w:p>
            <w:pPr>
              <w:pStyle w:val="TableParagraph"/>
              <w:spacing w:before="2"/>
              <w:ind w:left="55" w:right="57"/>
              <w:jc w:val="center"/>
              <w:rPr>
                <w:sz w:val="24"/>
              </w:rPr>
            </w:pPr>
            <w:r>
              <w:rPr>
                <w:sz w:val="24"/>
              </w:rPr>
              <w:t>00</w:t>
            </w:r>
          </w:p>
        </w:tc>
        <w:tc>
          <w:tcPr>
            <w:tcW w:w="1025" w:type="dxa"/>
            <w:tcBorders>
              <w:top w:val="nil"/>
              <w:left w:val="nil"/>
              <w:bottom w:val="nil"/>
              <w:right w:val="nil"/>
            </w:tcBorders>
          </w:tcPr>
          <w:p>
            <w:pPr>
              <w:pStyle w:val="TableParagraph"/>
              <w:spacing w:line="262" w:lineRule="exact" w:before="0"/>
              <w:ind w:left="58" w:right="58"/>
              <w:jc w:val="center"/>
              <w:rPr>
                <w:sz w:val="24"/>
              </w:rPr>
            </w:pPr>
            <w:r>
              <w:rPr>
                <w:sz w:val="24"/>
              </w:rPr>
              <w:t>2,250,0</w:t>
            </w:r>
          </w:p>
          <w:p>
            <w:pPr>
              <w:pStyle w:val="TableParagraph"/>
              <w:spacing w:before="2"/>
              <w:ind w:left="51" w:right="58"/>
              <w:jc w:val="center"/>
              <w:rPr>
                <w:sz w:val="24"/>
              </w:rPr>
            </w:pPr>
            <w:r>
              <w:rPr>
                <w:sz w:val="24"/>
              </w:rPr>
              <w:t>00</w:t>
            </w:r>
          </w:p>
        </w:tc>
        <w:tc>
          <w:tcPr>
            <w:tcW w:w="1044" w:type="dxa"/>
            <w:tcBorders>
              <w:top w:val="nil"/>
              <w:left w:val="nil"/>
              <w:bottom w:val="nil"/>
              <w:right w:val="nil"/>
            </w:tcBorders>
          </w:tcPr>
          <w:p>
            <w:pPr>
              <w:pStyle w:val="TableParagraph"/>
              <w:spacing w:line="262" w:lineRule="exact" w:before="0"/>
              <w:ind w:left="61" w:right="75"/>
              <w:jc w:val="center"/>
              <w:rPr>
                <w:sz w:val="24"/>
              </w:rPr>
            </w:pPr>
            <w:r>
              <w:rPr>
                <w:sz w:val="24"/>
              </w:rPr>
              <w:t>2,250,0</w:t>
            </w:r>
          </w:p>
          <w:p>
            <w:pPr>
              <w:pStyle w:val="TableParagraph"/>
              <w:spacing w:before="2"/>
              <w:ind w:left="53" w:right="75"/>
              <w:jc w:val="center"/>
              <w:rPr>
                <w:sz w:val="24"/>
              </w:rPr>
            </w:pPr>
            <w:r>
              <w:rPr>
                <w:sz w:val="24"/>
              </w:rPr>
              <w:t>00</w:t>
            </w:r>
          </w:p>
        </w:tc>
        <w:tc>
          <w:tcPr>
            <w:tcW w:w="1007" w:type="dxa"/>
            <w:tcBorders>
              <w:top w:val="nil"/>
              <w:left w:val="nil"/>
              <w:bottom w:val="nil"/>
              <w:right w:val="nil"/>
            </w:tcBorders>
          </w:tcPr>
          <w:p>
            <w:pPr>
              <w:pStyle w:val="TableParagraph"/>
              <w:spacing w:line="262" w:lineRule="exact" w:before="0"/>
              <w:ind w:left="43" w:right="54"/>
              <w:jc w:val="center"/>
              <w:rPr>
                <w:sz w:val="24"/>
              </w:rPr>
            </w:pPr>
            <w:r>
              <w:rPr>
                <w:sz w:val="24"/>
              </w:rPr>
              <w:t>2,250,0</w:t>
            </w:r>
          </w:p>
          <w:p>
            <w:pPr>
              <w:pStyle w:val="TableParagraph"/>
              <w:spacing w:before="2"/>
              <w:ind w:left="36" w:right="54"/>
              <w:jc w:val="center"/>
              <w:rPr>
                <w:sz w:val="24"/>
              </w:rPr>
            </w:pPr>
            <w:r>
              <w:rPr>
                <w:sz w:val="24"/>
              </w:rPr>
              <w:t>00</w:t>
            </w:r>
          </w:p>
        </w:tc>
      </w:tr>
      <w:tr>
        <w:trPr>
          <w:trHeight w:val="295" w:hRule="exact"/>
        </w:trPr>
        <w:tc>
          <w:tcPr>
            <w:tcW w:w="2963" w:type="dxa"/>
            <w:tcBorders>
              <w:top w:val="nil"/>
              <w:left w:val="nil"/>
              <w:bottom w:val="nil"/>
              <w:right w:val="nil"/>
            </w:tcBorders>
          </w:tcPr>
          <w:p>
            <w:pPr>
              <w:pStyle w:val="TableParagraph"/>
              <w:spacing w:before="5"/>
              <w:ind w:left="287"/>
              <w:jc w:val="left"/>
              <w:rPr>
                <w:sz w:val="24"/>
              </w:rPr>
            </w:pPr>
            <w:r>
              <w:rPr>
                <w:sz w:val="24"/>
              </w:rPr>
              <w:t>Otros</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5"/>
              <w:ind w:right="6"/>
              <w:jc w:val="center"/>
              <w:rPr>
                <w:sz w:val="24"/>
              </w:rPr>
            </w:pPr>
            <w:r>
              <w:rPr>
                <w:w w:val="99"/>
                <w:sz w:val="24"/>
              </w:rPr>
              <w:t>0</w:t>
            </w:r>
          </w:p>
        </w:tc>
        <w:tc>
          <w:tcPr>
            <w:tcW w:w="1025" w:type="dxa"/>
            <w:tcBorders>
              <w:top w:val="nil"/>
              <w:left w:val="nil"/>
              <w:bottom w:val="nil"/>
              <w:right w:val="nil"/>
            </w:tcBorders>
          </w:tcPr>
          <w:p>
            <w:pPr>
              <w:pStyle w:val="TableParagraph"/>
              <w:spacing w:before="5"/>
              <w:ind w:right="3"/>
              <w:jc w:val="center"/>
              <w:rPr>
                <w:sz w:val="24"/>
              </w:rPr>
            </w:pPr>
            <w:r>
              <w:rPr>
                <w:w w:val="99"/>
                <w:sz w:val="24"/>
              </w:rPr>
              <w:t>0</w:t>
            </w:r>
          </w:p>
        </w:tc>
        <w:tc>
          <w:tcPr>
            <w:tcW w:w="1025" w:type="dxa"/>
            <w:tcBorders>
              <w:top w:val="nil"/>
              <w:left w:val="nil"/>
              <w:bottom w:val="nil"/>
              <w:right w:val="nil"/>
            </w:tcBorders>
          </w:tcPr>
          <w:p>
            <w:pPr>
              <w:pStyle w:val="TableParagraph"/>
              <w:spacing w:before="5"/>
              <w:ind w:right="8"/>
              <w:jc w:val="center"/>
              <w:rPr>
                <w:sz w:val="24"/>
              </w:rPr>
            </w:pPr>
            <w:r>
              <w:rPr>
                <w:w w:val="99"/>
                <w:sz w:val="24"/>
              </w:rPr>
              <w:t>0</w:t>
            </w:r>
          </w:p>
        </w:tc>
        <w:tc>
          <w:tcPr>
            <w:tcW w:w="1044" w:type="dxa"/>
            <w:tcBorders>
              <w:top w:val="nil"/>
              <w:left w:val="nil"/>
              <w:bottom w:val="nil"/>
              <w:right w:val="nil"/>
            </w:tcBorders>
          </w:tcPr>
          <w:p>
            <w:pPr>
              <w:pStyle w:val="TableParagraph"/>
              <w:spacing w:before="5"/>
              <w:ind w:right="23"/>
              <w:jc w:val="center"/>
              <w:rPr>
                <w:sz w:val="24"/>
              </w:rPr>
            </w:pPr>
            <w:r>
              <w:rPr>
                <w:w w:val="99"/>
                <w:sz w:val="24"/>
              </w:rPr>
              <w:t>0</w:t>
            </w:r>
          </w:p>
        </w:tc>
        <w:tc>
          <w:tcPr>
            <w:tcW w:w="1007" w:type="dxa"/>
            <w:tcBorders>
              <w:top w:val="nil"/>
              <w:left w:val="nil"/>
              <w:bottom w:val="nil"/>
              <w:right w:val="nil"/>
            </w:tcBorders>
          </w:tcPr>
          <w:p>
            <w:pPr>
              <w:pStyle w:val="TableParagraph"/>
              <w:spacing w:before="5"/>
              <w:ind w:right="19"/>
              <w:jc w:val="center"/>
              <w:rPr>
                <w:sz w:val="24"/>
              </w:rPr>
            </w:pPr>
            <w:r>
              <w:rPr>
                <w:w w:val="99"/>
                <w:sz w:val="24"/>
              </w:rPr>
              <w:t>0</w:t>
            </w:r>
          </w:p>
        </w:tc>
      </w:tr>
      <w:tr>
        <w:trPr>
          <w:trHeight w:val="571" w:hRule="exact"/>
        </w:trPr>
        <w:tc>
          <w:tcPr>
            <w:tcW w:w="2963" w:type="dxa"/>
            <w:tcBorders>
              <w:top w:val="nil"/>
              <w:left w:val="nil"/>
              <w:bottom w:val="nil"/>
              <w:right w:val="nil"/>
            </w:tcBorders>
          </w:tcPr>
          <w:p>
            <w:pPr>
              <w:pStyle w:val="TableParagraph"/>
              <w:spacing w:before="9"/>
              <w:jc w:val="left"/>
              <w:rPr>
                <w:sz w:val="22"/>
              </w:rPr>
            </w:pPr>
          </w:p>
          <w:p>
            <w:pPr>
              <w:pStyle w:val="TableParagraph"/>
              <w:spacing w:before="0"/>
              <w:ind w:left="86"/>
              <w:jc w:val="left"/>
              <w:rPr>
                <w:sz w:val="24"/>
              </w:rPr>
            </w:pPr>
            <w:r>
              <w:rPr>
                <w:sz w:val="24"/>
              </w:rPr>
              <w:t>Egresos (costos)</w:t>
            </w:r>
          </w:p>
        </w:tc>
        <w:tc>
          <w:tcPr>
            <w:tcW w:w="1189" w:type="dxa"/>
            <w:tcBorders>
              <w:top w:val="nil"/>
              <w:left w:val="nil"/>
              <w:bottom w:val="nil"/>
              <w:right w:val="nil"/>
            </w:tcBorders>
          </w:tcPr>
          <w:p>
            <w:pPr>
              <w:pStyle w:val="TableParagraph"/>
              <w:spacing w:before="9"/>
              <w:jc w:val="left"/>
              <w:rPr>
                <w:sz w:val="22"/>
              </w:rPr>
            </w:pPr>
          </w:p>
          <w:p>
            <w:pPr>
              <w:pStyle w:val="TableParagraph"/>
              <w:spacing w:before="0"/>
              <w:ind w:left="95"/>
              <w:jc w:val="center"/>
              <w:rPr>
                <w:sz w:val="24"/>
              </w:rPr>
            </w:pPr>
            <w:r>
              <w:rPr>
                <w:w w:val="99"/>
                <w:sz w:val="24"/>
              </w:rPr>
              <w:t>0</w:t>
            </w:r>
          </w:p>
        </w:tc>
        <w:tc>
          <w:tcPr>
            <w:tcW w:w="1027" w:type="dxa"/>
            <w:tcBorders>
              <w:top w:val="nil"/>
              <w:left w:val="nil"/>
              <w:bottom w:val="nil"/>
              <w:right w:val="nil"/>
            </w:tcBorders>
          </w:tcPr>
          <w:p>
            <w:pPr>
              <w:pStyle w:val="TableParagraph"/>
              <w:spacing w:line="263" w:lineRule="exact" w:before="0"/>
              <w:ind w:left="59" w:right="59"/>
              <w:jc w:val="center"/>
              <w:rPr>
                <w:sz w:val="24"/>
              </w:rPr>
            </w:pPr>
            <w:r>
              <w:rPr>
                <w:sz w:val="24"/>
              </w:rPr>
              <w:t>2,021,2</w:t>
            </w:r>
          </w:p>
          <w:p>
            <w:pPr>
              <w:pStyle w:val="TableParagraph"/>
              <w:spacing w:line="275" w:lineRule="exact" w:before="0"/>
              <w:ind w:left="54" w:right="59"/>
              <w:jc w:val="center"/>
              <w:rPr>
                <w:sz w:val="24"/>
              </w:rPr>
            </w:pPr>
            <w:r>
              <w:rPr>
                <w:sz w:val="24"/>
              </w:rPr>
              <w:t>48</w:t>
            </w:r>
          </w:p>
        </w:tc>
        <w:tc>
          <w:tcPr>
            <w:tcW w:w="1025" w:type="dxa"/>
            <w:tcBorders>
              <w:top w:val="nil"/>
              <w:left w:val="nil"/>
              <w:bottom w:val="nil"/>
              <w:right w:val="nil"/>
            </w:tcBorders>
          </w:tcPr>
          <w:p>
            <w:pPr>
              <w:pStyle w:val="TableParagraph"/>
              <w:spacing w:line="263" w:lineRule="exact" w:before="0"/>
              <w:ind w:left="58" w:right="57"/>
              <w:jc w:val="center"/>
              <w:rPr>
                <w:sz w:val="24"/>
              </w:rPr>
            </w:pPr>
            <w:r>
              <w:rPr>
                <w:sz w:val="24"/>
              </w:rPr>
              <w:t>2,021,2</w:t>
            </w:r>
          </w:p>
          <w:p>
            <w:pPr>
              <w:pStyle w:val="TableParagraph"/>
              <w:spacing w:line="275" w:lineRule="exact" w:before="0"/>
              <w:ind w:left="55" w:right="57"/>
              <w:jc w:val="center"/>
              <w:rPr>
                <w:sz w:val="24"/>
              </w:rPr>
            </w:pPr>
            <w:r>
              <w:rPr>
                <w:sz w:val="24"/>
              </w:rPr>
              <w:t>48</w:t>
            </w:r>
          </w:p>
        </w:tc>
        <w:tc>
          <w:tcPr>
            <w:tcW w:w="1025" w:type="dxa"/>
            <w:tcBorders>
              <w:top w:val="nil"/>
              <w:left w:val="nil"/>
              <w:bottom w:val="nil"/>
              <w:right w:val="nil"/>
            </w:tcBorders>
          </w:tcPr>
          <w:p>
            <w:pPr>
              <w:pStyle w:val="TableParagraph"/>
              <w:spacing w:line="263" w:lineRule="exact" w:before="0"/>
              <w:ind w:left="58" w:right="58"/>
              <w:jc w:val="center"/>
              <w:rPr>
                <w:sz w:val="24"/>
              </w:rPr>
            </w:pPr>
            <w:r>
              <w:rPr>
                <w:sz w:val="24"/>
              </w:rPr>
              <w:t>2,021,2</w:t>
            </w:r>
          </w:p>
          <w:p>
            <w:pPr>
              <w:pStyle w:val="TableParagraph"/>
              <w:spacing w:line="275" w:lineRule="exact" w:before="0"/>
              <w:ind w:left="51" w:right="58"/>
              <w:jc w:val="center"/>
              <w:rPr>
                <w:sz w:val="24"/>
              </w:rPr>
            </w:pPr>
            <w:r>
              <w:rPr>
                <w:sz w:val="24"/>
              </w:rPr>
              <w:t>48</w:t>
            </w:r>
          </w:p>
        </w:tc>
        <w:tc>
          <w:tcPr>
            <w:tcW w:w="1044" w:type="dxa"/>
            <w:tcBorders>
              <w:top w:val="nil"/>
              <w:left w:val="nil"/>
              <w:bottom w:val="nil"/>
              <w:right w:val="nil"/>
            </w:tcBorders>
          </w:tcPr>
          <w:p>
            <w:pPr>
              <w:pStyle w:val="TableParagraph"/>
              <w:spacing w:line="263" w:lineRule="exact" w:before="0"/>
              <w:ind w:left="61" w:right="75"/>
              <w:jc w:val="center"/>
              <w:rPr>
                <w:sz w:val="24"/>
              </w:rPr>
            </w:pPr>
            <w:r>
              <w:rPr>
                <w:sz w:val="24"/>
              </w:rPr>
              <w:t>2,021,2</w:t>
            </w:r>
          </w:p>
          <w:p>
            <w:pPr>
              <w:pStyle w:val="TableParagraph"/>
              <w:spacing w:line="275" w:lineRule="exact" w:before="0"/>
              <w:ind w:left="53" w:right="75"/>
              <w:jc w:val="center"/>
              <w:rPr>
                <w:sz w:val="24"/>
              </w:rPr>
            </w:pPr>
            <w:r>
              <w:rPr>
                <w:sz w:val="24"/>
              </w:rPr>
              <w:t>48</w:t>
            </w:r>
          </w:p>
        </w:tc>
        <w:tc>
          <w:tcPr>
            <w:tcW w:w="1007" w:type="dxa"/>
            <w:tcBorders>
              <w:top w:val="nil"/>
              <w:left w:val="nil"/>
              <w:bottom w:val="nil"/>
              <w:right w:val="nil"/>
            </w:tcBorders>
          </w:tcPr>
          <w:p>
            <w:pPr>
              <w:pStyle w:val="TableParagraph"/>
              <w:spacing w:line="263" w:lineRule="exact" w:before="0"/>
              <w:ind w:left="43" w:right="54"/>
              <w:jc w:val="center"/>
              <w:rPr>
                <w:sz w:val="24"/>
              </w:rPr>
            </w:pPr>
            <w:r>
              <w:rPr>
                <w:sz w:val="24"/>
              </w:rPr>
              <w:t>2,021,2</w:t>
            </w:r>
          </w:p>
          <w:p>
            <w:pPr>
              <w:pStyle w:val="TableParagraph"/>
              <w:spacing w:line="275" w:lineRule="exact" w:before="0"/>
              <w:ind w:left="36" w:right="54"/>
              <w:jc w:val="center"/>
              <w:rPr>
                <w:sz w:val="24"/>
              </w:rPr>
            </w:pPr>
            <w:r>
              <w:rPr>
                <w:sz w:val="24"/>
              </w:rPr>
              <w:t>48</w:t>
            </w:r>
          </w:p>
        </w:tc>
      </w:tr>
      <w:tr>
        <w:trPr>
          <w:trHeight w:val="317" w:hRule="exact"/>
        </w:trPr>
        <w:tc>
          <w:tcPr>
            <w:tcW w:w="2963" w:type="dxa"/>
            <w:tcBorders>
              <w:top w:val="nil"/>
              <w:left w:val="nil"/>
              <w:bottom w:val="nil"/>
              <w:right w:val="nil"/>
            </w:tcBorders>
          </w:tcPr>
          <w:p>
            <w:pPr>
              <w:pStyle w:val="TableParagraph"/>
              <w:spacing w:before="7"/>
              <w:ind w:left="287"/>
              <w:jc w:val="left"/>
              <w:rPr>
                <w:sz w:val="24"/>
              </w:rPr>
            </w:pPr>
            <w:r>
              <w:rPr>
                <w:sz w:val="24"/>
              </w:rPr>
              <w:t>De producción</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7"/>
              <w:ind w:right="6"/>
              <w:jc w:val="center"/>
              <w:rPr>
                <w:sz w:val="24"/>
              </w:rPr>
            </w:pPr>
            <w:r>
              <w:rPr>
                <w:w w:val="99"/>
                <w:sz w:val="24"/>
              </w:rPr>
              <w:t>0</w:t>
            </w:r>
          </w:p>
        </w:tc>
        <w:tc>
          <w:tcPr>
            <w:tcW w:w="1025" w:type="dxa"/>
            <w:tcBorders>
              <w:top w:val="nil"/>
              <w:left w:val="nil"/>
              <w:bottom w:val="nil"/>
              <w:right w:val="nil"/>
            </w:tcBorders>
          </w:tcPr>
          <w:p>
            <w:pPr>
              <w:pStyle w:val="TableParagraph"/>
              <w:spacing w:before="7"/>
              <w:ind w:right="3"/>
              <w:jc w:val="center"/>
              <w:rPr>
                <w:sz w:val="24"/>
              </w:rPr>
            </w:pPr>
            <w:r>
              <w:rPr>
                <w:w w:val="99"/>
                <w:sz w:val="24"/>
              </w:rPr>
              <w:t>0</w:t>
            </w:r>
          </w:p>
        </w:tc>
        <w:tc>
          <w:tcPr>
            <w:tcW w:w="1025" w:type="dxa"/>
            <w:tcBorders>
              <w:top w:val="nil"/>
              <w:left w:val="nil"/>
              <w:bottom w:val="nil"/>
              <w:right w:val="nil"/>
            </w:tcBorders>
          </w:tcPr>
          <w:p>
            <w:pPr>
              <w:pStyle w:val="TableParagraph"/>
              <w:spacing w:before="7"/>
              <w:ind w:right="8"/>
              <w:jc w:val="center"/>
              <w:rPr>
                <w:sz w:val="24"/>
              </w:rPr>
            </w:pPr>
            <w:r>
              <w:rPr>
                <w:w w:val="99"/>
                <w:sz w:val="24"/>
              </w:rPr>
              <w:t>0</w:t>
            </w:r>
          </w:p>
        </w:tc>
        <w:tc>
          <w:tcPr>
            <w:tcW w:w="1044" w:type="dxa"/>
            <w:tcBorders>
              <w:top w:val="nil"/>
              <w:left w:val="nil"/>
              <w:bottom w:val="nil"/>
              <w:right w:val="nil"/>
            </w:tcBorders>
          </w:tcPr>
          <w:p>
            <w:pPr>
              <w:pStyle w:val="TableParagraph"/>
              <w:spacing w:before="7"/>
              <w:ind w:right="23"/>
              <w:jc w:val="center"/>
              <w:rPr>
                <w:sz w:val="24"/>
              </w:rPr>
            </w:pPr>
            <w:r>
              <w:rPr>
                <w:w w:val="99"/>
                <w:sz w:val="24"/>
              </w:rPr>
              <w:t>0</w:t>
            </w:r>
          </w:p>
        </w:tc>
        <w:tc>
          <w:tcPr>
            <w:tcW w:w="1007" w:type="dxa"/>
            <w:tcBorders>
              <w:top w:val="nil"/>
              <w:left w:val="nil"/>
              <w:bottom w:val="nil"/>
              <w:right w:val="nil"/>
            </w:tcBorders>
          </w:tcPr>
          <w:p>
            <w:pPr>
              <w:pStyle w:val="TableParagraph"/>
              <w:spacing w:before="7"/>
              <w:ind w:right="19"/>
              <w:jc w:val="center"/>
              <w:rPr>
                <w:sz w:val="24"/>
              </w:rPr>
            </w:pPr>
            <w:r>
              <w:rPr>
                <w:w w:val="99"/>
                <w:sz w:val="24"/>
              </w:rPr>
              <w:t>0</w:t>
            </w:r>
          </w:p>
        </w:tc>
      </w:tr>
      <w:tr>
        <w:trPr>
          <w:trHeight w:val="314" w:hRule="exact"/>
        </w:trPr>
        <w:tc>
          <w:tcPr>
            <w:tcW w:w="2963" w:type="dxa"/>
            <w:tcBorders>
              <w:top w:val="nil"/>
              <w:left w:val="nil"/>
              <w:bottom w:val="nil"/>
              <w:right w:val="nil"/>
            </w:tcBorders>
          </w:tcPr>
          <w:p>
            <w:pPr>
              <w:pStyle w:val="TableParagraph"/>
              <w:spacing w:before="7"/>
              <w:ind w:left="287"/>
              <w:jc w:val="left"/>
              <w:rPr>
                <w:sz w:val="24"/>
              </w:rPr>
            </w:pPr>
            <w:r>
              <w:rPr>
                <w:sz w:val="24"/>
              </w:rPr>
              <w:t>De ventas</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7"/>
              <w:ind w:left="59" w:right="59"/>
              <w:jc w:val="center"/>
              <w:rPr>
                <w:sz w:val="24"/>
              </w:rPr>
            </w:pPr>
            <w:r>
              <w:rPr>
                <w:sz w:val="24"/>
              </w:rPr>
              <w:t>4,400</w:t>
            </w:r>
          </w:p>
        </w:tc>
        <w:tc>
          <w:tcPr>
            <w:tcW w:w="1025" w:type="dxa"/>
            <w:tcBorders>
              <w:top w:val="nil"/>
              <w:left w:val="nil"/>
              <w:bottom w:val="nil"/>
              <w:right w:val="nil"/>
            </w:tcBorders>
          </w:tcPr>
          <w:p>
            <w:pPr>
              <w:pStyle w:val="TableParagraph"/>
              <w:spacing w:before="7"/>
              <w:ind w:left="59" w:right="57"/>
              <w:jc w:val="center"/>
              <w:rPr>
                <w:sz w:val="24"/>
              </w:rPr>
            </w:pPr>
            <w:r>
              <w:rPr>
                <w:sz w:val="24"/>
              </w:rPr>
              <w:t>4,400</w:t>
            </w:r>
          </w:p>
        </w:tc>
        <w:tc>
          <w:tcPr>
            <w:tcW w:w="1025" w:type="dxa"/>
            <w:tcBorders>
              <w:top w:val="nil"/>
              <w:left w:val="nil"/>
              <w:bottom w:val="nil"/>
              <w:right w:val="nil"/>
            </w:tcBorders>
          </w:tcPr>
          <w:p>
            <w:pPr>
              <w:pStyle w:val="TableParagraph"/>
              <w:spacing w:before="7"/>
              <w:ind w:left="58" w:right="58"/>
              <w:jc w:val="center"/>
              <w:rPr>
                <w:sz w:val="24"/>
              </w:rPr>
            </w:pPr>
            <w:r>
              <w:rPr>
                <w:sz w:val="24"/>
              </w:rPr>
              <w:t>4,400</w:t>
            </w:r>
          </w:p>
        </w:tc>
        <w:tc>
          <w:tcPr>
            <w:tcW w:w="1044" w:type="dxa"/>
            <w:tcBorders>
              <w:top w:val="nil"/>
              <w:left w:val="nil"/>
              <w:bottom w:val="nil"/>
              <w:right w:val="nil"/>
            </w:tcBorders>
          </w:tcPr>
          <w:p>
            <w:pPr>
              <w:pStyle w:val="TableParagraph"/>
              <w:spacing w:before="7"/>
              <w:ind w:left="61" w:right="75"/>
              <w:jc w:val="center"/>
              <w:rPr>
                <w:sz w:val="24"/>
              </w:rPr>
            </w:pPr>
            <w:r>
              <w:rPr>
                <w:sz w:val="24"/>
              </w:rPr>
              <w:t>4,400</w:t>
            </w:r>
          </w:p>
        </w:tc>
        <w:tc>
          <w:tcPr>
            <w:tcW w:w="1007" w:type="dxa"/>
            <w:tcBorders>
              <w:top w:val="nil"/>
              <w:left w:val="nil"/>
              <w:bottom w:val="nil"/>
              <w:right w:val="nil"/>
            </w:tcBorders>
          </w:tcPr>
          <w:p>
            <w:pPr>
              <w:pStyle w:val="TableParagraph"/>
              <w:spacing w:before="7"/>
              <w:ind w:left="44" w:right="54"/>
              <w:jc w:val="center"/>
              <w:rPr>
                <w:sz w:val="24"/>
              </w:rPr>
            </w:pPr>
            <w:r>
              <w:rPr>
                <w:sz w:val="24"/>
              </w:rPr>
              <w:t>4,400</w:t>
            </w:r>
          </w:p>
        </w:tc>
      </w:tr>
      <w:tr>
        <w:trPr>
          <w:trHeight w:val="295" w:hRule="exact"/>
        </w:trPr>
        <w:tc>
          <w:tcPr>
            <w:tcW w:w="2963" w:type="dxa"/>
            <w:tcBorders>
              <w:top w:val="nil"/>
              <w:left w:val="nil"/>
              <w:bottom w:val="nil"/>
              <w:right w:val="nil"/>
            </w:tcBorders>
          </w:tcPr>
          <w:p>
            <w:pPr>
              <w:pStyle w:val="TableParagraph"/>
              <w:spacing w:before="5"/>
              <w:ind w:left="287"/>
              <w:jc w:val="left"/>
              <w:rPr>
                <w:sz w:val="24"/>
              </w:rPr>
            </w:pPr>
            <w:r>
              <w:rPr>
                <w:sz w:val="24"/>
              </w:rPr>
              <w:t>De administración</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5"/>
              <w:ind w:right="6"/>
              <w:jc w:val="center"/>
              <w:rPr>
                <w:sz w:val="24"/>
              </w:rPr>
            </w:pPr>
            <w:r>
              <w:rPr>
                <w:w w:val="99"/>
                <w:sz w:val="24"/>
              </w:rPr>
              <w:t>0</w:t>
            </w:r>
          </w:p>
        </w:tc>
        <w:tc>
          <w:tcPr>
            <w:tcW w:w="1025" w:type="dxa"/>
            <w:tcBorders>
              <w:top w:val="nil"/>
              <w:left w:val="nil"/>
              <w:bottom w:val="nil"/>
              <w:right w:val="nil"/>
            </w:tcBorders>
          </w:tcPr>
          <w:p>
            <w:pPr>
              <w:pStyle w:val="TableParagraph"/>
              <w:spacing w:before="5"/>
              <w:ind w:right="3"/>
              <w:jc w:val="center"/>
              <w:rPr>
                <w:sz w:val="24"/>
              </w:rPr>
            </w:pPr>
            <w:r>
              <w:rPr>
                <w:w w:val="99"/>
                <w:sz w:val="24"/>
              </w:rPr>
              <w:t>0</w:t>
            </w:r>
          </w:p>
        </w:tc>
        <w:tc>
          <w:tcPr>
            <w:tcW w:w="1025" w:type="dxa"/>
            <w:tcBorders>
              <w:top w:val="nil"/>
              <w:left w:val="nil"/>
              <w:bottom w:val="nil"/>
              <w:right w:val="nil"/>
            </w:tcBorders>
          </w:tcPr>
          <w:p>
            <w:pPr>
              <w:pStyle w:val="TableParagraph"/>
              <w:spacing w:before="5"/>
              <w:ind w:right="8"/>
              <w:jc w:val="center"/>
              <w:rPr>
                <w:sz w:val="24"/>
              </w:rPr>
            </w:pPr>
            <w:r>
              <w:rPr>
                <w:w w:val="99"/>
                <w:sz w:val="24"/>
              </w:rPr>
              <w:t>0</w:t>
            </w:r>
          </w:p>
        </w:tc>
        <w:tc>
          <w:tcPr>
            <w:tcW w:w="1044" w:type="dxa"/>
            <w:tcBorders>
              <w:top w:val="nil"/>
              <w:left w:val="nil"/>
              <w:bottom w:val="nil"/>
              <w:right w:val="nil"/>
            </w:tcBorders>
          </w:tcPr>
          <w:p>
            <w:pPr>
              <w:pStyle w:val="TableParagraph"/>
              <w:spacing w:before="5"/>
              <w:ind w:right="23"/>
              <w:jc w:val="center"/>
              <w:rPr>
                <w:sz w:val="24"/>
              </w:rPr>
            </w:pPr>
            <w:r>
              <w:rPr>
                <w:w w:val="99"/>
                <w:sz w:val="24"/>
              </w:rPr>
              <w:t>0</w:t>
            </w:r>
          </w:p>
        </w:tc>
        <w:tc>
          <w:tcPr>
            <w:tcW w:w="1007" w:type="dxa"/>
            <w:tcBorders>
              <w:top w:val="nil"/>
              <w:left w:val="nil"/>
              <w:bottom w:val="nil"/>
              <w:right w:val="nil"/>
            </w:tcBorders>
          </w:tcPr>
          <w:p>
            <w:pPr>
              <w:pStyle w:val="TableParagraph"/>
              <w:spacing w:before="5"/>
              <w:ind w:right="19"/>
              <w:jc w:val="center"/>
              <w:rPr>
                <w:sz w:val="24"/>
              </w:rPr>
            </w:pPr>
            <w:r>
              <w:rPr>
                <w:w w:val="99"/>
                <w:sz w:val="24"/>
              </w:rPr>
              <w:t>0</w:t>
            </w:r>
          </w:p>
        </w:tc>
      </w:tr>
      <w:tr>
        <w:trPr>
          <w:trHeight w:val="552" w:hRule="exact"/>
        </w:trPr>
        <w:tc>
          <w:tcPr>
            <w:tcW w:w="2963" w:type="dxa"/>
            <w:tcBorders>
              <w:top w:val="nil"/>
              <w:left w:val="nil"/>
              <w:bottom w:val="nil"/>
              <w:right w:val="nil"/>
            </w:tcBorders>
          </w:tcPr>
          <w:p>
            <w:pPr>
              <w:pStyle w:val="TableParagraph"/>
              <w:spacing w:before="9"/>
              <w:jc w:val="left"/>
              <w:rPr>
                <w:sz w:val="22"/>
              </w:rPr>
            </w:pPr>
          </w:p>
          <w:p>
            <w:pPr>
              <w:pStyle w:val="TableParagraph"/>
              <w:spacing w:before="0"/>
              <w:ind w:left="287"/>
              <w:jc w:val="left"/>
              <w:rPr>
                <w:sz w:val="24"/>
              </w:rPr>
            </w:pPr>
            <w:r>
              <w:rPr>
                <w:sz w:val="24"/>
              </w:rPr>
              <w:t>Otros (variables)</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line="264" w:lineRule="exact" w:before="0"/>
              <w:ind w:left="59" w:right="59"/>
              <w:jc w:val="center"/>
              <w:rPr>
                <w:sz w:val="24"/>
              </w:rPr>
            </w:pPr>
            <w:r>
              <w:rPr>
                <w:sz w:val="24"/>
              </w:rPr>
              <w:t>2,008,6</w:t>
            </w:r>
          </w:p>
          <w:p>
            <w:pPr>
              <w:pStyle w:val="TableParagraph"/>
              <w:spacing w:line="275" w:lineRule="exact" w:before="0"/>
              <w:ind w:left="54" w:right="59"/>
              <w:jc w:val="center"/>
              <w:rPr>
                <w:sz w:val="24"/>
              </w:rPr>
            </w:pPr>
            <w:r>
              <w:rPr>
                <w:sz w:val="24"/>
              </w:rPr>
              <w:t>00</w:t>
            </w:r>
          </w:p>
        </w:tc>
        <w:tc>
          <w:tcPr>
            <w:tcW w:w="1025" w:type="dxa"/>
            <w:tcBorders>
              <w:top w:val="nil"/>
              <w:left w:val="nil"/>
              <w:bottom w:val="nil"/>
              <w:right w:val="nil"/>
            </w:tcBorders>
          </w:tcPr>
          <w:p>
            <w:pPr>
              <w:pStyle w:val="TableParagraph"/>
              <w:spacing w:line="264" w:lineRule="exact" w:before="0"/>
              <w:ind w:left="58" w:right="57"/>
              <w:jc w:val="center"/>
              <w:rPr>
                <w:sz w:val="24"/>
              </w:rPr>
            </w:pPr>
            <w:r>
              <w:rPr>
                <w:sz w:val="24"/>
              </w:rPr>
              <w:t>2,008,6</w:t>
            </w:r>
          </w:p>
          <w:p>
            <w:pPr>
              <w:pStyle w:val="TableParagraph"/>
              <w:spacing w:line="275" w:lineRule="exact" w:before="0"/>
              <w:ind w:left="55" w:right="57"/>
              <w:jc w:val="center"/>
              <w:rPr>
                <w:sz w:val="24"/>
              </w:rPr>
            </w:pPr>
            <w:r>
              <w:rPr>
                <w:sz w:val="24"/>
              </w:rPr>
              <w:t>00</w:t>
            </w:r>
          </w:p>
        </w:tc>
        <w:tc>
          <w:tcPr>
            <w:tcW w:w="1025" w:type="dxa"/>
            <w:tcBorders>
              <w:top w:val="nil"/>
              <w:left w:val="nil"/>
              <w:bottom w:val="nil"/>
              <w:right w:val="nil"/>
            </w:tcBorders>
          </w:tcPr>
          <w:p>
            <w:pPr>
              <w:pStyle w:val="TableParagraph"/>
              <w:spacing w:line="264" w:lineRule="exact" w:before="0"/>
              <w:ind w:left="58" w:right="58"/>
              <w:jc w:val="center"/>
              <w:rPr>
                <w:sz w:val="24"/>
              </w:rPr>
            </w:pPr>
            <w:r>
              <w:rPr>
                <w:sz w:val="24"/>
              </w:rPr>
              <w:t>2,008,6</w:t>
            </w:r>
          </w:p>
          <w:p>
            <w:pPr>
              <w:pStyle w:val="TableParagraph"/>
              <w:spacing w:line="275" w:lineRule="exact" w:before="0"/>
              <w:ind w:left="51" w:right="58"/>
              <w:jc w:val="center"/>
              <w:rPr>
                <w:sz w:val="24"/>
              </w:rPr>
            </w:pPr>
            <w:r>
              <w:rPr>
                <w:sz w:val="24"/>
              </w:rPr>
              <w:t>00</w:t>
            </w:r>
          </w:p>
        </w:tc>
        <w:tc>
          <w:tcPr>
            <w:tcW w:w="1044" w:type="dxa"/>
            <w:tcBorders>
              <w:top w:val="nil"/>
              <w:left w:val="nil"/>
              <w:bottom w:val="nil"/>
              <w:right w:val="nil"/>
            </w:tcBorders>
          </w:tcPr>
          <w:p>
            <w:pPr>
              <w:pStyle w:val="TableParagraph"/>
              <w:spacing w:line="264" w:lineRule="exact" w:before="0"/>
              <w:ind w:left="61" w:right="75"/>
              <w:jc w:val="center"/>
              <w:rPr>
                <w:sz w:val="24"/>
              </w:rPr>
            </w:pPr>
            <w:r>
              <w:rPr>
                <w:sz w:val="24"/>
              </w:rPr>
              <w:t>2,008,6</w:t>
            </w:r>
          </w:p>
          <w:p>
            <w:pPr>
              <w:pStyle w:val="TableParagraph"/>
              <w:spacing w:line="275" w:lineRule="exact" w:before="0"/>
              <w:ind w:left="53" w:right="75"/>
              <w:jc w:val="center"/>
              <w:rPr>
                <w:sz w:val="24"/>
              </w:rPr>
            </w:pPr>
            <w:r>
              <w:rPr>
                <w:sz w:val="24"/>
              </w:rPr>
              <w:t>00</w:t>
            </w:r>
          </w:p>
        </w:tc>
        <w:tc>
          <w:tcPr>
            <w:tcW w:w="1007" w:type="dxa"/>
            <w:tcBorders>
              <w:top w:val="nil"/>
              <w:left w:val="nil"/>
              <w:bottom w:val="nil"/>
              <w:right w:val="nil"/>
            </w:tcBorders>
          </w:tcPr>
          <w:p>
            <w:pPr>
              <w:pStyle w:val="TableParagraph"/>
              <w:spacing w:line="264" w:lineRule="exact" w:before="0"/>
              <w:ind w:left="43" w:right="54"/>
              <w:jc w:val="center"/>
              <w:rPr>
                <w:sz w:val="24"/>
              </w:rPr>
            </w:pPr>
            <w:r>
              <w:rPr>
                <w:sz w:val="24"/>
              </w:rPr>
              <w:t>2,008,6</w:t>
            </w:r>
          </w:p>
          <w:p>
            <w:pPr>
              <w:pStyle w:val="TableParagraph"/>
              <w:spacing w:line="275" w:lineRule="exact" w:before="0"/>
              <w:ind w:left="36" w:right="54"/>
              <w:jc w:val="center"/>
              <w:rPr>
                <w:sz w:val="24"/>
              </w:rPr>
            </w:pPr>
            <w:r>
              <w:rPr>
                <w:sz w:val="24"/>
              </w:rPr>
              <w:t>00</w:t>
            </w:r>
          </w:p>
        </w:tc>
      </w:tr>
      <w:tr>
        <w:trPr>
          <w:trHeight w:val="552" w:hRule="exact"/>
        </w:trPr>
        <w:tc>
          <w:tcPr>
            <w:tcW w:w="2963" w:type="dxa"/>
            <w:tcBorders>
              <w:top w:val="nil"/>
              <w:left w:val="nil"/>
              <w:bottom w:val="nil"/>
              <w:right w:val="nil"/>
            </w:tcBorders>
          </w:tcPr>
          <w:p>
            <w:pPr>
              <w:pStyle w:val="TableParagraph"/>
              <w:spacing w:line="237" w:lineRule="auto" w:before="0"/>
              <w:ind w:left="86" w:right="1069" w:firstLine="201"/>
              <w:jc w:val="left"/>
              <w:rPr>
                <w:sz w:val="24"/>
              </w:rPr>
            </w:pPr>
            <w:r>
              <w:rPr>
                <w:sz w:val="24"/>
              </w:rPr>
              <w:t>Depreciación y amortización</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9"/>
              <w:jc w:val="left"/>
              <w:rPr>
                <w:sz w:val="22"/>
              </w:rPr>
            </w:pPr>
          </w:p>
          <w:p>
            <w:pPr>
              <w:pStyle w:val="TableParagraph"/>
              <w:spacing w:before="0"/>
              <w:ind w:left="59" w:right="59"/>
              <w:jc w:val="center"/>
              <w:rPr>
                <w:sz w:val="24"/>
              </w:rPr>
            </w:pPr>
            <w:r>
              <w:rPr>
                <w:sz w:val="24"/>
              </w:rPr>
              <w:t>8,248</w:t>
            </w:r>
          </w:p>
        </w:tc>
        <w:tc>
          <w:tcPr>
            <w:tcW w:w="1025" w:type="dxa"/>
            <w:tcBorders>
              <w:top w:val="nil"/>
              <w:left w:val="nil"/>
              <w:bottom w:val="nil"/>
              <w:right w:val="nil"/>
            </w:tcBorders>
          </w:tcPr>
          <w:p>
            <w:pPr>
              <w:pStyle w:val="TableParagraph"/>
              <w:spacing w:before="9"/>
              <w:jc w:val="left"/>
              <w:rPr>
                <w:sz w:val="22"/>
              </w:rPr>
            </w:pPr>
          </w:p>
          <w:p>
            <w:pPr>
              <w:pStyle w:val="TableParagraph"/>
              <w:spacing w:before="0"/>
              <w:ind w:left="59" w:right="57"/>
              <w:jc w:val="center"/>
              <w:rPr>
                <w:sz w:val="24"/>
              </w:rPr>
            </w:pPr>
            <w:r>
              <w:rPr>
                <w:sz w:val="24"/>
              </w:rPr>
              <w:t>8,248</w:t>
            </w:r>
          </w:p>
        </w:tc>
        <w:tc>
          <w:tcPr>
            <w:tcW w:w="1025" w:type="dxa"/>
            <w:tcBorders>
              <w:top w:val="nil"/>
              <w:left w:val="nil"/>
              <w:bottom w:val="nil"/>
              <w:right w:val="nil"/>
            </w:tcBorders>
          </w:tcPr>
          <w:p>
            <w:pPr>
              <w:pStyle w:val="TableParagraph"/>
              <w:spacing w:before="9"/>
              <w:jc w:val="left"/>
              <w:rPr>
                <w:sz w:val="22"/>
              </w:rPr>
            </w:pPr>
          </w:p>
          <w:p>
            <w:pPr>
              <w:pStyle w:val="TableParagraph"/>
              <w:spacing w:before="0"/>
              <w:ind w:left="58" w:right="58"/>
              <w:jc w:val="center"/>
              <w:rPr>
                <w:sz w:val="24"/>
              </w:rPr>
            </w:pPr>
            <w:r>
              <w:rPr>
                <w:sz w:val="24"/>
              </w:rPr>
              <w:t>8,248</w:t>
            </w:r>
          </w:p>
        </w:tc>
        <w:tc>
          <w:tcPr>
            <w:tcW w:w="1044" w:type="dxa"/>
            <w:tcBorders>
              <w:top w:val="nil"/>
              <w:left w:val="nil"/>
              <w:bottom w:val="nil"/>
              <w:right w:val="nil"/>
            </w:tcBorders>
          </w:tcPr>
          <w:p>
            <w:pPr>
              <w:pStyle w:val="TableParagraph"/>
              <w:spacing w:before="9"/>
              <w:jc w:val="left"/>
              <w:rPr>
                <w:sz w:val="22"/>
              </w:rPr>
            </w:pPr>
          </w:p>
          <w:p>
            <w:pPr>
              <w:pStyle w:val="TableParagraph"/>
              <w:spacing w:before="0"/>
              <w:ind w:left="61" w:right="75"/>
              <w:jc w:val="center"/>
              <w:rPr>
                <w:sz w:val="24"/>
              </w:rPr>
            </w:pPr>
            <w:r>
              <w:rPr>
                <w:sz w:val="24"/>
              </w:rPr>
              <w:t>8,248</w:t>
            </w:r>
          </w:p>
        </w:tc>
        <w:tc>
          <w:tcPr>
            <w:tcW w:w="1007" w:type="dxa"/>
            <w:tcBorders>
              <w:top w:val="nil"/>
              <w:left w:val="nil"/>
              <w:bottom w:val="nil"/>
              <w:right w:val="nil"/>
            </w:tcBorders>
          </w:tcPr>
          <w:p>
            <w:pPr>
              <w:pStyle w:val="TableParagraph"/>
              <w:spacing w:before="9"/>
              <w:jc w:val="left"/>
              <w:rPr>
                <w:sz w:val="22"/>
              </w:rPr>
            </w:pPr>
          </w:p>
          <w:p>
            <w:pPr>
              <w:pStyle w:val="TableParagraph"/>
              <w:spacing w:before="0"/>
              <w:ind w:left="44" w:right="54"/>
              <w:jc w:val="center"/>
              <w:rPr>
                <w:sz w:val="24"/>
              </w:rPr>
            </w:pPr>
            <w:r>
              <w:rPr>
                <w:sz w:val="24"/>
              </w:rPr>
              <w:t>8,248</w:t>
            </w:r>
          </w:p>
        </w:tc>
      </w:tr>
      <w:tr>
        <w:trPr>
          <w:trHeight w:val="848" w:hRule="exact"/>
        </w:trPr>
        <w:tc>
          <w:tcPr>
            <w:tcW w:w="2963" w:type="dxa"/>
            <w:tcBorders>
              <w:top w:val="nil"/>
              <w:left w:val="nil"/>
              <w:bottom w:val="nil"/>
              <w:right w:val="nil"/>
            </w:tcBorders>
          </w:tcPr>
          <w:p>
            <w:pPr>
              <w:pStyle w:val="TableParagraph"/>
              <w:spacing w:before="0"/>
              <w:jc w:val="left"/>
              <w:rPr>
                <w:sz w:val="24"/>
              </w:rPr>
            </w:pPr>
          </w:p>
          <w:p>
            <w:pPr>
              <w:pStyle w:val="TableParagraph"/>
              <w:spacing w:before="0"/>
              <w:jc w:val="left"/>
              <w:rPr>
                <w:sz w:val="23"/>
              </w:rPr>
            </w:pPr>
          </w:p>
          <w:p>
            <w:pPr>
              <w:pStyle w:val="TableParagraph"/>
              <w:spacing w:before="0"/>
              <w:ind w:left="86"/>
              <w:jc w:val="left"/>
              <w:rPr>
                <w:sz w:val="24"/>
              </w:rPr>
            </w:pPr>
            <w:r>
              <w:rPr>
                <w:sz w:val="24"/>
              </w:rPr>
              <w:t>Flujo Antes de Impuestos</w:t>
            </w:r>
          </w:p>
        </w:tc>
        <w:tc>
          <w:tcPr>
            <w:tcW w:w="1189" w:type="dxa"/>
            <w:tcBorders>
              <w:top w:val="nil"/>
              <w:left w:val="nil"/>
              <w:bottom w:val="nil"/>
              <w:right w:val="nil"/>
            </w:tcBorders>
          </w:tcPr>
          <w:p>
            <w:pPr>
              <w:pStyle w:val="TableParagraph"/>
              <w:spacing w:line="237" w:lineRule="auto" w:before="0"/>
              <w:ind w:left="172" w:right="76" w:hanging="5"/>
              <w:jc w:val="center"/>
              <w:rPr>
                <w:sz w:val="24"/>
              </w:rPr>
            </w:pPr>
            <w:r>
              <w:rPr>
                <w:sz w:val="24"/>
              </w:rPr>
              <w:t>-      1,245,66</w:t>
            </w:r>
          </w:p>
          <w:p>
            <w:pPr>
              <w:pStyle w:val="TableParagraph"/>
              <w:spacing w:before="3"/>
              <w:ind w:left="95"/>
              <w:jc w:val="center"/>
              <w:rPr>
                <w:sz w:val="24"/>
              </w:rPr>
            </w:pPr>
            <w:r>
              <w:rPr>
                <w:w w:val="99"/>
                <w:sz w:val="24"/>
              </w:rPr>
              <w:t>2</w:t>
            </w:r>
          </w:p>
        </w:tc>
        <w:tc>
          <w:tcPr>
            <w:tcW w:w="1027" w:type="dxa"/>
            <w:tcBorders>
              <w:top w:val="nil"/>
              <w:left w:val="nil"/>
              <w:bottom w:val="nil"/>
              <w:right w:val="nil"/>
            </w:tcBorders>
          </w:tcPr>
          <w:p>
            <w:pPr>
              <w:pStyle w:val="TableParagraph"/>
              <w:spacing w:before="0"/>
              <w:jc w:val="left"/>
              <w:rPr>
                <w:sz w:val="24"/>
              </w:rPr>
            </w:pPr>
          </w:p>
          <w:p>
            <w:pPr>
              <w:pStyle w:val="TableParagraph"/>
              <w:spacing w:before="0"/>
              <w:jc w:val="left"/>
              <w:rPr>
                <w:sz w:val="23"/>
              </w:rPr>
            </w:pPr>
          </w:p>
          <w:p>
            <w:pPr>
              <w:pStyle w:val="TableParagraph"/>
              <w:spacing w:before="0"/>
              <w:ind w:left="59" w:right="59"/>
              <w:jc w:val="center"/>
              <w:rPr>
                <w:sz w:val="24"/>
              </w:rPr>
            </w:pPr>
            <w:r>
              <w:rPr>
                <w:sz w:val="24"/>
              </w:rPr>
              <w:t>228,753</w:t>
            </w:r>
          </w:p>
        </w:tc>
        <w:tc>
          <w:tcPr>
            <w:tcW w:w="1025" w:type="dxa"/>
            <w:tcBorders>
              <w:top w:val="nil"/>
              <w:left w:val="nil"/>
              <w:bottom w:val="nil"/>
              <w:right w:val="nil"/>
            </w:tcBorders>
          </w:tcPr>
          <w:p>
            <w:pPr>
              <w:pStyle w:val="TableParagraph"/>
              <w:spacing w:before="0"/>
              <w:jc w:val="left"/>
              <w:rPr>
                <w:sz w:val="24"/>
              </w:rPr>
            </w:pPr>
          </w:p>
          <w:p>
            <w:pPr>
              <w:pStyle w:val="TableParagraph"/>
              <w:spacing w:before="0"/>
              <w:jc w:val="left"/>
              <w:rPr>
                <w:sz w:val="23"/>
              </w:rPr>
            </w:pPr>
          </w:p>
          <w:p>
            <w:pPr>
              <w:pStyle w:val="TableParagraph"/>
              <w:spacing w:before="0"/>
              <w:ind w:left="59" w:right="57"/>
              <w:jc w:val="center"/>
              <w:rPr>
                <w:sz w:val="24"/>
              </w:rPr>
            </w:pPr>
            <w:r>
              <w:rPr>
                <w:sz w:val="24"/>
              </w:rPr>
              <w:t>228,753</w:t>
            </w:r>
          </w:p>
        </w:tc>
        <w:tc>
          <w:tcPr>
            <w:tcW w:w="1025" w:type="dxa"/>
            <w:tcBorders>
              <w:top w:val="nil"/>
              <w:left w:val="nil"/>
              <w:bottom w:val="nil"/>
              <w:right w:val="nil"/>
            </w:tcBorders>
          </w:tcPr>
          <w:p>
            <w:pPr>
              <w:pStyle w:val="TableParagraph"/>
              <w:spacing w:before="0"/>
              <w:jc w:val="left"/>
              <w:rPr>
                <w:sz w:val="24"/>
              </w:rPr>
            </w:pPr>
          </w:p>
          <w:p>
            <w:pPr>
              <w:pStyle w:val="TableParagraph"/>
              <w:spacing w:before="0"/>
              <w:jc w:val="left"/>
              <w:rPr>
                <w:sz w:val="23"/>
              </w:rPr>
            </w:pPr>
          </w:p>
          <w:p>
            <w:pPr>
              <w:pStyle w:val="TableParagraph"/>
              <w:spacing w:before="0"/>
              <w:ind w:left="58" w:right="58"/>
              <w:jc w:val="center"/>
              <w:rPr>
                <w:sz w:val="24"/>
              </w:rPr>
            </w:pPr>
            <w:r>
              <w:rPr>
                <w:sz w:val="24"/>
              </w:rPr>
              <w:t>228,753</w:t>
            </w:r>
          </w:p>
        </w:tc>
        <w:tc>
          <w:tcPr>
            <w:tcW w:w="1044" w:type="dxa"/>
            <w:tcBorders>
              <w:top w:val="nil"/>
              <w:left w:val="nil"/>
              <w:bottom w:val="nil"/>
              <w:right w:val="nil"/>
            </w:tcBorders>
          </w:tcPr>
          <w:p>
            <w:pPr>
              <w:pStyle w:val="TableParagraph"/>
              <w:spacing w:before="0"/>
              <w:jc w:val="left"/>
              <w:rPr>
                <w:sz w:val="24"/>
              </w:rPr>
            </w:pPr>
          </w:p>
          <w:p>
            <w:pPr>
              <w:pStyle w:val="TableParagraph"/>
              <w:spacing w:before="0"/>
              <w:jc w:val="left"/>
              <w:rPr>
                <w:sz w:val="23"/>
              </w:rPr>
            </w:pPr>
          </w:p>
          <w:p>
            <w:pPr>
              <w:pStyle w:val="TableParagraph"/>
              <w:spacing w:before="0"/>
              <w:ind w:left="61" w:right="75"/>
              <w:jc w:val="center"/>
              <w:rPr>
                <w:sz w:val="24"/>
              </w:rPr>
            </w:pPr>
            <w:r>
              <w:rPr>
                <w:sz w:val="24"/>
              </w:rPr>
              <w:t>228,753</w:t>
            </w:r>
          </w:p>
        </w:tc>
        <w:tc>
          <w:tcPr>
            <w:tcW w:w="1007" w:type="dxa"/>
            <w:tcBorders>
              <w:top w:val="nil"/>
              <w:left w:val="nil"/>
              <w:bottom w:val="nil"/>
              <w:right w:val="nil"/>
            </w:tcBorders>
          </w:tcPr>
          <w:p>
            <w:pPr>
              <w:pStyle w:val="TableParagraph"/>
              <w:spacing w:before="9"/>
              <w:jc w:val="left"/>
              <w:rPr>
                <w:sz w:val="22"/>
              </w:rPr>
            </w:pPr>
          </w:p>
          <w:p>
            <w:pPr>
              <w:pStyle w:val="TableParagraph"/>
              <w:spacing w:before="0"/>
              <w:ind w:left="43" w:right="54"/>
              <w:jc w:val="center"/>
              <w:rPr>
                <w:sz w:val="24"/>
              </w:rPr>
            </w:pPr>
            <w:r>
              <w:rPr>
                <w:sz w:val="24"/>
              </w:rPr>
              <w:t>1,428,1</w:t>
            </w:r>
          </w:p>
          <w:p>
            <w:pPr>
              <w:pStyle w:val="TableParagraph"/>
              <w:spacing w:before="3"/>
              <w:ind w:left="36" w:right="54"/>
              <w:jc w:val="center"/>
              <w:rPr>
                <w:sz w:val="24"/>
              </w:rPr>
            </w:pPr>
            <w:r>
              <w:rPr>
                <w:sz w:val="24"/>
              </w:rPr>
              <w:t>77</w:t>
            </w:r>
          </w:p>
        </w:tc>
      </w:tr>
      <w:tr>
        <w:trPr>
          <w:trHeight w:val="314" w:hRule="exact"/>
        </w:trPr>
        <w:tc>
          <w:tcPr>
            <w:tcW w:w="2963" w:type="dxa"/>
            <w:tcBorders>
              <w:top w:val="nil"/>
              <w:left w:val="nil"/>
              <w:bottom w:val="nil"/>
              <w:right w:val="nil"/>
            </w:tcBorders>
          </w:tcPr>
          <w:p>
            <w:pPr>
              <w:pStyle w:val="TableParagraph"/>
              <w:spacing w:before="5"/>
              <w:ind w:left="86"/>
              <w:jc w:val="left"/>
              <w:rPr>
                <w:sz w:val="24"/>
              </w:rPr>
            </w:pPr>
            <w:r>
              <w:rPr>
                <w:sz w:val="24"/>
              </w:rPr>
              <w:t>Impuestos</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5"/>
              <w:ind w:right="6"/>
              <w:jc w:val="center"/>
              <w:rPr>
                <w:sz w:val="24"/>
              </w:rPr>
            </w:pPr>
            <w:r>
              <w:rPr>
                <w:w w:val="99"/>
                <w:sz w:val="24"/>
              </w:rPr>
              <w:t>0</w:t>
            </w:r>
          </w:p>
        </w:tc>
        <w:tc>
          <w:tcPr>
            <w:tcW w:w="1025" w:type="dxa"/>
            <w:tcBorders>
              <w:top w:val="nil"/>
              <w:left w:val="nil"/>
              <w:bottom w:val="nil"/>
              <w:right w:val="nil"/>
            </w:tcBorders>
          </w:tcPr>
          <w:p>
            <w:pPr>
              <w:pStyle w:val="TableParagraph"/>
              <w:spacing w:before="5"/>
              <w:ind w:right="3"/>
              <w:jc w:val="center"/>
              <w:rPr>
                <w:sz w:val="24"/>
              </w:rPr>
            </w:pPr>
            <w:r>
              <w:rPr>
                <w:w w:val="99"/>
                <w:sz w:val="24"/>
              </w:rPr>
              <w:t>0</w:t>
            </w:r>
          </w:p>
        </w:tc>
        <w:tc>
          <w:tcPr>
            <w:tcW w:w="1025" w:type="dxa"/>
            <w:tcBorders>
              <w:top w:val="nil"/>
              <w:left w:val="nil"/>
              <w:bottom w:val="nil"/>
              <w:right w:val="nil"/>
            </w:tcBorders>
          </w:tcPr>
          <w:p>
            <w:pPr>
              <w:pStyle w:val="TableParagraph"/>
              <w:spacing w:before="5"/>
              <w:ind w:right="8"/>
              <w:jc w:val="center"/>
              <w:rPr>
                <w:sz w:val="24"/>
              </w:rPr>
            </w:pPr>
            <w:r>
              <w:rPr>
                <w:w w:val="99"/>
                <w:sz w:val="24"/>
              </w:rPr>
              <w:t>0</w:t>
            </w:r>
          </w:p>
        </w:tc>
        <w:tc>
          <w:tcPr>
            <w:tcW w:w="1044" w:type="dxa"/>
            <w:tcBorders>
              <w:top w:val="nil"/>
              <w:left w:val="nil"/>
              <w:bottom w:val="nil"/>
              <w:right w:val="nil"/>
            </w:tcBorders>
          </w:tcPr>
          <w:p>
            <w:pPr>
              <w:pStyle w:val="TableParagraph"/>
              <w:spacing w:before="5"/>
              <w:ind w:right="23"/>
              <w:jc w:val="center"/>
              <w:rPr>
                <w:sz w:val="24"/>
              </w:rPr>
            </w:pPr>
            <w:r>
              <w:rPr>
                <w:w w:val="99"/>
                <w:sz w:val="24"/>
              </w:rPr>
              <w:t>0</w:t>
            </w:r>
          </w:p>
        </w:tc>
        <w:tc>
          <w:tcPr>
            <w:tcW w:w="1007" w:type="dxa"/>
            <w:tcBorders>
              <w:top w:val="nil"/>
              <w:left w:val="nil"/>
              <w:bottom w:val="nil"/>
              <w:right w:val="nil"/>
            </w:tcBorders>
          </w:tcPr>
          <w:p>
            <w:pPr>
              <w:pStyle w:val="TableParagraph"/>
              <w:spacing w:before="5"/>
              <w:ind w:right="19"/>
              <w:jc w:val="center"/>
              <w:rPr>
                <w:sz w:val="24"/>
              </w:rPr>
            </w:pPr>
            <w:r>
              <w:rPr>
                <w:w w:val="99"/>
                <w:sz w:val="24"/>
              </w:rPr>
              <w:t>0</w:t>
            </w:r>
          </w:p>
        </w:tc>
      </w:tr>
      <w:tr>
        <w:trPr>
          <w:trHeight w:val="317" w:hRule="exact"/>
        </w:trPr>
        <w:tc>
          <w:tcPr>
            <w:tcW w:w="2963" w:type="dxa"/>
            <w:tcBorders>
              <w:top w:val="nil"/>
              <w:left w:val="nil"/>
              <w:bottom w:val="nil"/>
              <w:right w:val="nil"/>
            </w:tcBorders>
          </w:tcPr>
          <w:p>
            <w:pPr>
              <w:pStyle w:val="TableParagraph"/>
              <w:spacing w:before="7"/>
              <w:ind w:left="86"/>
              <w:jc w:val="left"/>
              <w:rPr>
                <w:sz w:val="24"/>
              </w:rPr>
            </w:pPr>
            <w:r>
              <w:rPr>
                <w:sz w:val="24"/>
              </w:rPr>
              <w:t>ISR</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7"/>
              <w:ind w:right="6"/>
              <w:jc w:val="center"/>
              <w:rPr>
                <w:sz w:val="24"/>
              </w:rPr>
            </w:pPr>
            <w:r>
              <w:rPr>
                <w:w w:val="99"/>
                <w:sz w:val="24"/>
              </w:rPr>
              <w:t>0</w:t>
            </w:r>
          </w:p>
        </w:tc>
        <w:tc>
          <w:tcPr>
            <w:tcW w:w="1025" w:type="dxa"/>
            <w:tcBorders>
              <w:top w:val="nil"/>
              <w:left w:val="nil"/>
              <w:bottom w:val="nil"/>
              <w:right w:val="nil"/>
            </w:tcBorders>
          </w:tcPr>
          <w:p>
            <w:pPr>
              <w:pStyle w:val="TableParagraph"/>
              <w:spacing w:before="7"/>
              <w:ind w:right="3"/>
              <w:jc w:val="center"/>
              <w:rPr>
                <w:sz w:val="24"/>
              </w:rPr>
            </w:pPr>
            <w:r>
              <w:rPr>
                <w:w w:val="99"/>
                <w:sz w:val="24"/>
              </w:rPr>
              <w:t>0</w:t>
            </w:r>
          </w:p>
        </w:tc>
        <w:tc>
          <w:tcPr>
            <w:tcW w:w="1025" w:type="dxa"/>
            <w:tcBorders>
              <w:top w:val="nil"/>
              <w:left w:val="nil"/>
              <w:bottom w:val="nil"/>
              <w:right w:val="nil"/>
            </w:tcBorders>
          </w:tcPr>
          <w:p>
            <w:pPr>
              <w:pStyle w:val="TableParagraph"/>
              <w:spacing w:before="7"/>
              <w:ind w:right="8"/>
              <w:jc w:val="center"/>
              <w:rPr>
                <w:sz w:val="24"/>
              </w:rPr>
            </w:pPr>
            <w:r>
              <w:rPr>
                <w:w w:val="99"/>
                <w:sz w:val="24"/>
              </w:rPr>
              <w:t>0</w:t>
            </w:r>
          </w:p>
        </w:tc>
        <w:tc>
          <w:tcPr>
            <w:tcW w:w="1044" w:type="dxa"/>
            <w:tcBorders>
              <w:top w:val="nil"/>
              <w:left w:val="nil"/>
              <w:bottom w:val="nil"/>
              <w:right w:val="nil"/>
            </w:tcBorders>
          </w:tcPr>
          <w:p>
            <w:pPr>
              <w:pStyle w:val="TableParagraph"/>
              <w:spacing w:before="7"/>
              <w:ind w:right="23"/>
              <w:jc w:val="center"/>
              <w:rPr>
                <w:sz w:val="24"/>
              </w:rPr>
            </w:pPr>
            <w:r>
              <w:rPr>
                <w:w w:val="99"/>
                <w:sz w:val="24"/>
              </w:rPr>
              <w:t>0</w:t>
            </w:r>
          </w:p>
        </w:tc>
        <w:tc>
          <w:tcPr>
            <w:tcW w:w="1007" w:type="dxa"/>
            <w:tcBorders>
              <w:top w:val="nil"/>
              <w:left w:val="nil"/>
              <w:bottom w:val="nil"/>
              <w:right w:val="nil"/>
            </w:tcBorders>
          </w:tcPr>
          <w:p>
            <w:pPr>
              <w:pStyle w:val="TableParagraph"/>
              <w:spacing w:before="7"/>
              <w:ind w:right="19"/>
              <w:jc w:val="center"/>
              <w:rPr>
                <w:sz w:val="24"/>
              </w:rPr>
            </w:pPr>
            <w:r>
              <w:rPr>
                <w:w w:val="99"/>
                <w:sz w:val="24"/>
              </w:rPr>
              <w:t>0</w:t>
            </w:r>
          </w:p>
        </w:tc>
      </w:tr>
      <w:tr>
        <w:trPr>
          <w:trHeight w:val="295" w:hRule="exact"/>
        </w:trPr>
        <w:tc>
          <w:tcPr>
            <w:tcW w:w="2963" w:type="dxa"/>
            <w:tcBorders>
              <w:top w:val="nil"/>
              <w:left w:val="nil"/>
              <w:bottom w:val="nil"/>
              <w:right w:val="nil"/>
            </w:tcBorders>
          </w:tcPr>
          <w:p>
            <w:pPr>
              <w:pStyle w:val="TableParagraph"/>
              <w:spacing w:before="7"/>
              <w:ind w:left="86"/>
              <w:jc w:val="left"/>
              <w:rPr>
                <w:sz w:val="24"/>
              </w:rPr>
            </w:pPr>
            <w:r>
              <w:rPr>
                <w:sz w:val="24"/>
              </w:rPr>
              <w:t>PTU</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7"/>
              <w:ind w:right="6"/>
              <w:jc w:val="center"/>
              <w:rPr>
                <w:sz w:val="24"/>
              </w:rPr>
            </w:pPr>
            <w:r>
              <w:rPr>
                <w:w w:val="99"/>
                <w:sz w:val="24"/>
              </w:rPr>
              <w:t>0</w:t>
            </w:r>
          </w:p>
        </w:tc>
        <w:tc>
          <w:tcPr>
            <w:tcW w:w="1025" w:type="dxa"/>
            <w:tcBorders>
              <w:top w:val="nil"/>
              <w:left w:val="nil"/>
              <w:bottom w:val="nil"/>
              <w:right w:val="nil"/>
            </w:tcBorders>
          </w:tcPr>
          <w:p>
            <w:pPr>
              <w:pStyle w:val="TableParagraph"/>
              <w:spacing w:before="7"/>
              <w:ind w:right="3"/>
              <w:jc w:val="center"/>
              <w:rPr>
                <w:sz w:val="24"/>
              </w:rPr>
            </w:pPr>
            <w:r>
              <w:rPr>
                <w:w w:val="99"/>
                <w:sz w:val="24"/>
              </w:rPr>
              <w:t>0</w:t>
            </w:r>
          </w:p>
        </w:tc>
        <w:tc>
          <w:tcPr>
            <w:tcW w:w="1025" w:type="dxa"/>
            <w:tcBorders>
              <w:top w:val="nil"/>
              <w:left w:val="nil"/>
              <w:bottom w:val="nil"/>
              <w:right w:val="nil"/>
            </w:tcBorders>
          </w:tcPr>
          <w:p>
            <w:pPr>
              <w:pStyle w:val="TableParagraph"/>
              <w:spacing w:before="7"/>
              <w:ind w:right="8"/>
              <w:jc w:val="center"/>
              <w:rPr>
                <w:sz w:val="24"/>
              </w:rPr>
            </w:pPr>
            <w:r>
              <w:rPr>
                <w:w w:val="99"/>
                <w:sz w:val="24"/>
              </w:rPr>
              <w:t>0</w:t>
            </w:r>
          </w:p>
        </w:tc>
        <w:tc>
          <w:tcPr>
            <w:tcW w:w="1044" w:type="dxa"/>
            <w:tcBorders>
              <w:top w:val="nil"/>
              <w:left w:val="nil"/>
              <w:bottom w:val="nil"/>
              <w:right w:val="nil"/>
            </w:tcBorders>
          </w:tcPr>
          <w:p>
            <w:pPr>
              <w:pStyle w:val="TableParagraph"/>
              <w:spacing w:before="7"/>
              <w:ind w:right="23"/>
              <w:jc w:val="center"/>
              <w:rPr>
                <w:sz w:val="24"/>
              </w:rPr>
            </w:pPr>
            <w:r>
              <w:rPr>
                <w:w w:val="99"/>
                <w:sz w:val="24"/>
              </w:rPr>
              <w:t>0</w:t>
            </w:r>
          </w:p>
        </w:tc>
        <w:tc>
          <w:tcPr>
            <w:tcW w:w="1007" w:type="dxa"/>
            <w:tcBorders>
              <w:top w:val="nil"/>
              <w:left w:val="nil"/>
              <w:bottom w:val="nil"/>
              <w:right w:val="nil"/>
            </w:tcBorders>
          </w:tcPr>
          <w:p>
            <w:pPr>
              <w:pStyle w:val="TableParagraph"/>
              <w:spacing w:before="7"/>
              <w:ind w:right="19"/>
              <w:jc w:val="center"/>
              <w:rPr>
                <w:sz w:val="24"/>
              </w:rPr>
            </w:pPr>
            <w:r>
              <w:rPr>
                <w:w w:val="99"/>
                <w:sz w:val="24"/>
              </w:rPr>
              <w:t>0</w:t>
            </w:r>
          </w:p>
        </w:tc>
      </w:tr>
      <w:tr>
        <w:trPr>
          <w:trHeight w:val="826" w:hRule="exact"/>
        </w:trPr>
        <w:tc>
          <w:tcPr>
            <w:tcW w:w="2963" w:type="dxa"/>
            <w:tcBorders>
              <w:top w:val="nil"/>
              <w:left w:val="nil"/>
              <w:bottom w:val="nil"/>
              <w:right w:val="nil"/>
            </w:tcBorders>
          </w:tcPr>
          <w:p>
            <w:pPr>
              <w:pStyle w:val="TableParagraph"/>
              <w:spacing w:before="7"/>
              <w:jc w:val="left"/>
              <w:rPr>
                <w:sz w:val="22"/>
              </w:rPr>
            </w:pPr>
          </w:p>
          <w:p>
            <w:pPr>
              <w:pStyle w:val="TableParagraph"/>
              <w:spacing w:line="242" w:lineRule="auto" w:before="0"/>
              <w:ind w:left="86" w:right="989"/>
              <w:jc w:val="left"/>
              <w:rPr>
                <w:sz w:val="24"/>
              </w:rPr>
            </w:pPr>
            <w:r>
              <w:rPr>
                <w:sz w:val="24"/>
              </w:rPr>
              <w:t>Flujo Después de Impuestos</w:t>
            </w:r>
          </w:p>
        </w:tc>
        <w:tc>
          <w:tcPr>
            <w:tcW w:w="1189" w:type="dxa"/>
            <w:tcBorders>
              <w:top w:val="nil"/>
              <w:left w:val="nil"/>
              <w:bottom w:val="nil"/>
              <w:right w:val="nil"/>
            </w:tcBorders>
          </w:tcPr>
          <w:p>
            <w:pPr>
              <w:pStyle w:val="TableParagraph"/>
              <w:spacing w:line="237" w:lineRule="auto" w:before="0"/>
              <w:ind w:left="172" w:right="76" w:hanging="5"/>
              <w:jc w:val="center"/>
              <w:rPr>
                <w:sz w:val="24"/>
              </w:rPr>
            </w:pPr>
            <w:r>
              <w:rPr>
                <w:sz w:val="24"/>
              </w:rPr>
              <w:t>-      1,245,66</w:t>
            </w:r>
          </w:p>
          <w:p>
            <w:pPr>
              <w:pStyle w:val="TableParagraph"/>
              <w:spacing w:before="3"/>
              <w:ind w:left="95"/>
              <w:jc w:val="center"/>
              <w:rPr>
                <w:sz w:val="24"/>
              </w:rPr>
            </w:pPr>
            <w:r>
              <w:rPr>
                <w:w w:val="99"/>
                <w:sz w:val="24"/>
              </w:rPr>
              <w:t>2</w:t>
            </w:r>
          </w:p>
        </w:tc>
        <w:tc>
          <w:tcPr>
            <w:tcW w:w="1027" w:type="dxa"/>
            <w:tcBorders>
              <w:top w:val="nil"/>
              <w:left w:val="nil"/>
              <w:bottom w:val="nil"/>
              <w:right w:val="nil"/>
            </w:tcBorders>
          </w:tcPr>
          <w:p>
            <w:pPr>
              <w:pStyle w:val="TableParagraph"/>
              <w:spacing w:before="0"/>
              <w:jc w:val="left"/>
              <w:rPr>
                <w:sz w:val="24"/>
              </w:rPr>
            </w:pPr>
          </w:p>
          <w:p>
            <w:pPr>
              <w:pStyle w:val="TableParagraph"/>
              <w:spacing w:before="9"/>
              <w:jc w:val="left"/>
              <w:rPr>
                <w:sz w:val="22"/>
              </w:rPr>
            </w:pPr>
          </w:p>
          <w:p>
            <w:pPr>
              <w:pStyle w:val="TableParagraph"/>
              <w:spacing w:before="1"/>
              <w:ind w:left="59" w:right="59"/>
              <w:jc w:val="center"/>
              <w:rPr>
                <w:sz w:val="24"/>
              </w:rPr>
            </w:pPr>
            <w:r>
              <w:rPr>
                <w:sz w:val="24"/>
              </w:rPr>
              <w:t>228,753</w:t>
            </w:r>
          </w:p>
        </w:tc>
        <w:tc>
          <w:tcPr>
            <w:tcW w:w="1025" w:type="dxa"/>
            <w:tcBorders>
              <w:top w:val="nil"/>
              <w:left w:val="nil"/>
              <w:bottom w:val="nil"/>
              <w:right w:val="nil"/>
            </w:tcBorders>
          </w:tcPr>
          <w:p>
            <w:pPr>
              <w:pStyle w:val="TableParagraph"/>
              <w:spacing w:before="0"/>
              <w:jc w:val="left"/>
              <w:rPr>
                <w:sz w:val="24"/>
              </w:rPr>
            </w:pPr>
          </w:p>
          <w:p>
            <w:pPr>
              <w:pStyle w:val="TableParagraph"/>
              <w:spacing w:before="9"/>
              <w:jc w:val="left"/>
              <w:rPr>
                <w:sz w:val="22"/>
              </w:rPr>
            </w:pPr>
          </w:p>
          <w:p>
            <w:pPr>
              <w:pStyle w:val="TableParagraph"/>
              <w:spacing w:before="1"/>
              <w:ind w:left="59" w:right="57"/>
              <w:jc w:val="center"/>
              <w:rPr>
                <w:sz w:val="24"/>
              </w:rPr>
            </w:pPr>
            <w:r>
              <w:rPr>
                <w:sz w:val="24"/>
              </w:rPr>
              <w:t>228,753</w:t>
            </w:r>
          </w:p>
        </w:tc>
        <w:tc>
          <w:tcPr>
            <w:tcW w:w="1025" w:type="dxa"/>
            <w:tcBorders>
              <w:top w:val="nil"/>
              <w:left w:val="nil"/>
              <w:bottom w:val="nil"/>
              <w:right w:val="nil"/>
            </w:tcBorders>
          </w:tcPr>
          <w:p>
            <w:pPr>
              <w:pStyle w:val="TableParagraph"/>
              <w:spacing w:before="0"/>
              <w:jc w:val="left"/>
              <w:rPr>
                <w:sz w:val="24"/>
              </w:rPr>
            </w:pPr>
          </w:p>
          <w:p>
            <w:pPr>
              <w:pStyle w:val="TableParagraph"/>
              <w:spacing w:before="9"/>
              <w:jc w:val="left"/>
              <w:rPr>
                <w:sz w:val="22"/>
              </w:rPr>
            </w:pPr>
          </w:p>
          <w:p>
            <w:pPr>
              <w:pStyle w:val="TableParagraph"/>
              <w:spacing w:before="1"/>
              <w:ind w:left="58" w:right="58"/>
              <w:jc w:val="center"/>
              <w:rPr>
                <w:sz w:val="24"/>
              </w:rPr>
            </w:pPr>
            <w:r>
              <w:rPr>
                <w:sz w:val="24"/>
              </w:rPr>
              <w:t>228,753</w:t>
            </w:r>
          </w:p>
        </w:tc>
        <w:tc>
          <w:tcPr>
            <w:tcW w:w="1044" w:type="dxa"/>
            <w:tcBorders>
              <w:top w:val="nil"/>
              <w:left w:val="nil"/>
              <w:bottom w:val="nil"/>
              <w:right w:val="nil"/>
            </w:tcBorders>
          </w:tcPr>
          <w:p>
            <w:pPr>
              <w:pStyle w:val="TableParagraph"/>
              <w:spacing w:before="0"/>
              <w:jc w:val="left"/>
              <w:rPr>
                <w:sz w:val="24"/>
              </w:rPr>
            </w:pPr>
          </w:p>
          <w:p>
            <w:pPr>
              <w:pStyle w:val="TableParagraph"/>
              <w:spacing w:before="9"/>
              <w:jc w:val="left"/>
              <w:rPr>
                <w:sz w:val="22"/>
              </w:rPr>
            </w:pPr>
          </w:p>
          <w:p>
            <w:pPr>
              <w:pStyle w:val="TableParagraph"/>
              <w:spacing w:before="1"/>
              <w:ind w:left="61" w:right="75"/>
              <w:jc w:val="center"/>
              <w:rPr>
                <w:sz w:val="24"/>
              </w:rPr>
            </w:pPr>
            <w:r>
              <w:rPr>
                <w:sz w:val="24"/>
              </w:rPr>
              <w:t>228,753</w:t>
            </w:r>
          </w:p>
        </w:tc>
        <w:tc>
          <w:tcPr>
            <w:tcW w:w="1007" w:type="dxa"/>
            <w:tcBorders>
              <w:top w:val="nil"/>
              <w:left w:val="nil"/>
              <w:bottom w:val="nil"/>
              <w:right w:val="nil"/>
            </w:tcBorders>
          </w:tcPr>
          <w:p>
            <w:pPr>
              <w:pStyle w:val="TableParagraph"/>
              <w:spacing w:before="7"/>
              <w:jc w:val="left"/>
              <w:rPr>
                <w:sz w:val="22"/>
              </w:rPr>
            </w:pPr>
          </w:p>
          <w:p>
            <w:pPr>
              <w:pStyle w:val="TableParagraph"/>
              <w:spacing w:before="0"/>
              <w:ind w:left="43" w:right="54"/>
              <w:jc w:val="center"/>
              <w:rPr>
                <w:sz w:val="24"/>
              </w:rPr>
            </w:pPr>
            <w:r>
              <w:rPr>
                <w:sz w:val="24"/>
              </w:rPr>
              <w:t>1,428,1</w:t>
            </w:r>
          </w:p>
          <w:p>
            <w:pPr>
              <w:pStyle w:val="TableParagraph"/>
              <w:spacing w:before="2"/>
              <w:ind w:left="36" w:right="54"/>
              <w:jc w:val="center"/>
              <w:rPr>
                <w:sz w:val="24"/>
              </w:rPr>
            </w:pPr>
            <w:r>
              <w:rPr>
                <w:sz w:val="24"/>
              </w:rPr>
              <w:t>77</w:t>
            </w:r>
          </w:p>
        </w:tc>
      </w:tr>
      <w:tr>
        <w:trPr>
          <w:trHeight w:val="550" w:hRule="exact"/>
        </w:trPr>
        <w:tc>
          <w:tcPr>
            <w:tcW w:w="2963" w:type="dxa"/>
            <w:tcBorders>
              <w:top w:val="nil"/>
              <w:left w:val="nil"/>
              <w:bottom w:val="nil"/>
              <w:right w:val="nil"/>
            </w:tcBorders>
          </w:tcPr>
          <w:p>
            <w:pPr>
              <w:pStyle w:val="TableParagraph"/>
              <w:spacing w:line="242" w:lineRule="auto" w:before="0"/>
              <w:ind w:left="86" w:right="789"/>
              <w:jc w:val="left"/>
              <w:rPr>
                <w:sz w:val="24"/>
              </w:rPr>
            </w:pPr>
            <w:r>
              <w:rPr>
                <w:sz w:val="24"/>
              </w:rPr>
              <w:t>Más depreciación y amortización</w:t>
            </w:r>
          </w:p>
        </w:tc>
        <w:tc>
          <w:tcPr>
            <w:tcW w:w="1189" w:type="dxa"/>
            <w:tcBorders>
              <w:top w:val="nil"/>
              <w:left w:val="nil"/>
              <w:bottom w:val="nil"/>
              <w:right w:val="nil"/>
            </w:tcBorders>
          </w:tcPr>
          <w:p>
            <w:pPr/>
          </w:p>
        </w:tc>
        <w:tc>
          <w:tcPr>
            <w:tcW w:w="1027" w:type="dxa"/>
            <w:tcBorders>
              <w:top w:val="nil"/>
              <w:left w:val="nil"/>
              <w:bottom w:val="nil"/>
              <w:right w:val="nil"/>
            </w:tcBorders>
          </w:tcPr>
          <w:p>
            <w:pPr>
              <w:pStyle w:val="TableParagraph"/>
              <w:spacing w:before="0"/>
              <w:jc w:val="left"/>
              <w:rPr>
                <w:sz w:val="23"/>
              </w:rPr>
            </w:pPr>
          </w:p>
          <w:p>
            <w:pPr>
              <w:pStyle w:val="TableParagraph"/>
              <w:spacing w:before="0"/>
              <w:ind w:left="59" w:right="59"/>
              <w:jc w:val="center"/>
              <w:rPr>
                <w:sz w:val="24"/>
              </w:rPr>
            </w:pPr>
            <w:r>
              <w:rPr>
                <w:sz w:val="24"/>
              </w:rPr>
              <w:t>8,248</w:t>
            </w:r>
          </w:p>
        </w:tc>
        <w:tc>
          <w:tcPr>
            <w:tcW w:w="1025" w:type="dxa"/>
            <w:tcBorders>
              <w:top w:val="nil"/>
              <w:left w:val="nil"/>
              <w:bottom w:val="nil"/>
              <w:right w:val="nil"/>
            </w:tcBorders>
          </w:tcPr>
          <w:p>
            <w:pPr>
              <w:pStyle w:val="TableParagraph"/>
              <w:spacing w:before="0"/>
              <w:jc w:val="left"/>
              <w:rPr>
                <w:sz w:val="23"/>
              </w:rPr>
            </w:pPr>
          </w:p>
          <w:p>
            <w:pPr>
              <w:pStyle w:val="TableParagraph"/>
              <w:spacing w:before="0"/>
              <w:ind w:left="59" w:right="57"/>
              <w:jc w:val="center"/>
              <w:rPr>
                <w:sz w:val="24"/>
              </w:rPr>
            </w:pPr>
            <w:r>
              <w:rPr>
                <w:sz w:val="24"/>
              </w:rPr>
              <w:t>8,248</w:t>
            </w:r>
          </w:p>
        </w:tc>
        <w:tc>
          <w:tcPr>
            <w:tcW w:w="1025" w:type="dxa"/>
            <w:tcBorders>
              <w:top w:val="nil"/>
              <w:left w:val="nil"/>
              <w:bottom w:val="nil"/>
              <w:right w:val="nil"/>
            </w:tcBorders>
          </w:tcPr>
          <w:p>
            <w:pPr>
              <w:pStyle w:val="TableParagraph"/>
              <w:spacing w:before="0"/>
              <w:jc w:val="left"/>
              <w:rPr>
                <w:sz w:val="23"/>
              </w:rPr>
            </w:pPr>
          </w:p>
          <w:p>
            <w:pPr>
              <w:pStyle w:val="TableParagraph"/>
              <w:spacing w:before="0"/>
              <w:ind w:left="58" w:right="58"/>
              <w:jc w:val="center"/>
              <w:rPr>
                <w:sz w:val="24"/>
              </w:rPr>
            </w:pPr>
            <w:r>
              <w:rPr>
                <w:sz w:val="24"/>
              </w:rPr>
              <w:t>8,248</w:t>
            </w:r>
          </w:p>
        </w:tc>
        <w:tc>
          <w:tcPr>
            <w:tcW w:w="1044" w:type="dxa"/>
            <w:tcBorders>
              <w:top w:val="nil"/>
              <w:left w:val="nil"/>
              <w:bottom w:val="nil"/>
              <w:right w:val="nil"/>
            </w:tcBorders>
          </w:tcPr>
          <w:p>
            <w:pPr>
              <w:pStyle w:val="TableParagraph"/>
              <w:spacing w:before="0"/>
              <w:jc w:val="left"/>
              <w:rPr>
                <w:sz w:val="23"/>
              </w:rPr>
            </w:pPr>
          </w:p>
          <w:p>
            <w:pPr>
              <w:pStyle w:val="TableParagraph"/>
              <w:spacing w:before="0"/>
              <w:ind w:left="61" w:right="75"/>
              <w:jc w:val="center"/>
              <w:rPr>
                <w:sz w:val="24"/>
              </w:rPr>
            </w:pPr>
            <w:r>
              <w:rPr>
                <w:sz w:val="24"/>
              </w:rPr>
              <w:t>8,248</w:t>
            </w:r>
          </w:p>
        </w:tc>
        <w:tc>
          <w:tcPr>
            <w:tcW w:w="1007" w:type="dxa"/>
            <w:tcBorders>
              <w:top w:val="nil"/>
              <w:left w:val="nil"/>
              <w:bottom w:val="nil"/>
              <w:right w:val="nil"/>
            </w:tcBorders>
          </w:tcPr>
          <w:p>
            <w:pPr>
              <w:pStyle w:val="TableParagraph"/>
              <w:spacing w:before="0"/>
              <w:jc w:val="left"/>
              <w:rPr>
                <w:sz w:val="23"/>
              </w:rPr>
            </w:pPr>
          </w:p>
          <w:p>
            <w:pPr>
              <w:pStyle w:val="TableParagraph"/>
              <w:spacing w:before="0"/>
              <w:ind w:left="44" w:right="54"/>
              <w:jc w:val="center"/>
              <w:rPr>
                <w:sz w:val="24"/>
              </w:rPr>
            </w:pPr>
            <w:r>
              <w:rPr>
                <w:sz w:val="24"/>
              </w:rPr>
              <w:t>8,248</w:t>
            </w:r>
          </w:p>
        </w:tc>
      </w:tr>
      <w:tr>
        <w:trPr>
          <w:trHeight w:val="828" w:hRule="exact"/>
        </w:trPr>
        <w:tc>
          <w:tcPr>
            <w:tcW w:w="2963" w:type="dxa"/>
            <w:tcBorders>
              <w:top w:val="nil"/>
              <w:left w:val="nil"/>
              <w:right w:val="nil"/>
            </w:tcBorders>
          </w:tcPr>
          <w:p>
            <w:pPr>
              <w:pStyle w:val="TableParagraph"/>
              <w:spacing w:before="0"/>
              <w:jc w:val="left"/>
              <w:rPr>
                <w:sz w:val="24"/>
              </w:rPr>
            </w:pPr>
          </w:p>
          <w:p>
            <w:pPr>
              <w:pStyle w:val="TableParagraph"/>
              <w:spacing w:before="6"/>
              <w:jc w:val="left"/>
              <w:rPr>
                <w:sz w:val="22"/>
              </w:rPr>
            </w:pPr>
          </w:p>
          <w:p>
            <w:pPr>
              <w:pStyle w:val="TableParagraph"/>
              <w:spacing w:before="1"/>
              <w:ind w:left="86"/>
              <w:jc w:val="left"/>
              <w:rPr>
                <w:b/>
                <w:sz w:val="24"/>
              </w:rPr>
            </w:pPr>
            <w:r>
              <w:rPr>
                <w:b/>
                <w:sz w:val="24"/>
              </w:rPr>
              <w:t>Flujo Neto del Proyecto</w:t>
            </w:r>
          </w:p>
        </w:tc>
        <w:tc>
          <w:tcPr>
            <w:tcW w:w="1189" w:type="dxa"/>
            <w:tcBorders>
              <w:top w:val="nil"/>
              <w:left w:val="nil"/>
              <w:right w:val="nil"/>
            </w:tcBorders>
          </w:tcPr>
          <w:p>
            <w:pPr>
              <w:pStyle w:val="TableParagraph"/>
              <w:spacing w:line="260" w:lineRule="exact" w:before="0"/>
              <w:ind w:left="90"/>
              <w:jc w:val="center"/>
              <w:rPr>
                <w:b/>
                <w:sz w:val="24"/>
              </w:rPr>
            </w:pPr>
            <w:r>
              <w:rPr>
                <w:b/>
                <w:w w:val="99"/>
                <w:sz w:val="24"/>
              </w:rPr>
              <w:t>-</w:t>
            </w:r>
          </w:p>
          <w:p>
            <w:pPr>
              <w:pStyle w:val="TableParagraph"/>
              <w:spacing w:line="275" w:lineRule="exact" w:before="2"/>
              <w:ind w:left="154" w:right="60"/>
              <w:jc w:val="center"/>
              <w:rPr>
                <w:b/>
                <w:sz w:val="24"/>
              </w:rPr>
            </w:pPr>
            <w:r>
              <w:rPr>
                <w:b/>
                <w:sz w:val="24"/>
              </w:rPr>
              <w:t>1,245,66</w:t>
            </w:r>
          </w:p>
          <w:p>
            <w:pPr>
              <w:pStyle w:val="TableParagraph"/>
              <w:spacing w:line="275" w:lineRule="exact" w:before="0"/>
              <w:ind w:left="95"/>
              <w:jc w:val="center"/>
              <w:rPr>
                <w:b/>
                <w:sz w:val="24"/>
              </w:rPr>
            </w:pPr>
            <w:r>
              <w:rPr>
                <w:b/>
                <w:w w:val="99"/>
                <w:sz w:val="24"/>
              </w:rPr>
              <w:t>2</w:t>
            </w:r>
          </w:p>
        </w:tc>
        <w:tc>
          <w:tcPr>
            <w:tcW w:w="1027" w:type="dxa"/>
            <w:tcBorders>
              <w:top w:val="nil"/>
              <w:left w:val="nil"/>
              <w:right w:val="nil"/>
            </w:tcBorders>
          </w:tcPr>
          <w:p>
            <w:pPr>
              <w:pStyle w:val="TableParagraph"/>
              <w:spacing w:before="0"/>
              <w:jc w:val="left"/>
              <w:rPr>
                <w:sz w:val="24"/>
              </w:rPr>
            </w:pPr>
          </w:p>
          <w:p>
            <w:pPr>
              <w:pStyle w:val="TableParagraph"/>
              <w:spacing w:before="6"/>
              <w:jc w:val="left"/>
              <w:rPr>
                <w:sz w:val="22"/>
              </w:rPr>
            </w:pPr>
          </w:p>
          <w:p>
            <w:pPr>
              <w:pStyle w:val="TableParagraph"/>
              <w:spacing w:before="1"/>
              <w:ind w:left="59" w:right="59"/>
              <w:jc w:val="center"/>
              <w:rPr>
                <w:b/>
                <w:sz w:val="24"/>
              </w:rPr>
            </w:pPr>
            <w:r>
              <w:rPr>
                <w:b/>
                <w:sz w:val="24"/>
              </w:rPr>
              <w:t>237,000</w:t>
            </w:r>
          </w:p>
        </w:tc>
        <w:tc>
          <w:tcPr>
            <w:tcW w:w="1025" w:type="dxa"/>
            <w:tcBorders>
              <w:top w:val="nil"/>
              <w:left w:val="nil"/>
              <w:right w:val="nil"/>
            </w:tcBorders>
          </w:tcPr>
          <w:p>
            <w:pPr>
              <w:pStyle w:val="TableParagraph"/>
              <w:spacing w:before="0"/>
              <w:jc w:val="left"/>
              <w:rPr>
                <w:sz w:val="24"/>
              </w:rPr>
            </w:pPr>
          </w:p>
          <w:p>
            <w:pPr>
              <w:pStyle w:val="TableParagraph"/>
              <w:spacing w:before="6"/>
              <w:jc w:val="left"/>
              <w:rPr>
                <w:sz w:val="22"/>
              </w:rPr>
            </w:pPr>
          </w:p>
          <w:p>
            <w:pPr>
              <w:pStyle w:val="TableParagraph"/>
              <w:spacing w:before="1"/>
              <w:ind w:left="59" w:right="57"/>
              <w:jc w:val="center"/>
              <w:rPr>
                <w:b/>
                <w:sz w:val="24"/>
              </w:rPr>
            </w:pPr>
            <w:r>
              <w:rPr>
                <w:b/>
                <w:sz w:val="24"/>
              </w:rPr>
              <w:t>237,000</w:t>
            </w:r>
          </w:p>
        </w:tc>
        <w:tc>
          <w:tcPr>
            <w:tcW w:w="1025" w:type="dxa"/>
            <w:tcBorders>
              <w:top w:val="nil"/>
              <w:left w:val="nil"/>
              <w:right w:val="nil"/>
            </w:tcBorders>
          </w:tcPr>
          <w:p>
            <w:pPr>
              <w:pStyle w:val="TableParagraph"/>
              <w:spacing w:before="0"/>
              <w:jc w:val="left"/>
              <w:rPr>
                <w:sz w:val="24"/>
              </w:rPr>
            </w:pPr>
          </w:p>
          <w:p>
            <w:pPr>
              <w:pStyle w:val="TableParagraph"/>
              <w:spacing w:before="6"/>
              <w:jc w:val="left"/>
              <w:rPr>
                <w:sz w:val="22"/>
              </w:rPr>
            </w:pPr>
          </w:p>
          <w:p>
            <w:pPr>
              <w:pStyle w:val="TableParagraph"/>
              <w:spacing w:before="1"/>
              <w:ind w:left="58" w:right="58"/>
              <w:jc w:val="center"/>
              <w:rPr>
                <w:b/>
                <w:sz w:val="24"/>
              </w:rPr>
            </w:pPr>
            <w:r>
              <w:rPr>
                <w:b/>
                <w:sz w:val="24"/>
              </w:rPr>
              <w:t>237,000</w:t>
            </w:r>
          </w:p>
        </w:tc>
        <w:tc>
          <w:tcPr>
            <w:tcW w:w="1044" w:type="dxa"/>
            <w:tcBorders>
              <w:top w:val="nil"/>
              <w:left w:val="nil"/>
              <w:right w:val="nil"/>
            </w:tcBorders>
          </w:tcPr>
          <w:p>
            <w:pPr>
              <w:pStyle w:val="TableParagraph"/>
              <w:spacing w:before="0"/>
              <w:jc w:val="left"/>
              <w:rPr>
                <w:sz w:val="24"/>
              </w:rPr>
            </w:pPr>
          </w:p>
          <w:p>
            <w:pPr>
              <w:pStyle w:val="TableParagraph"/>
              <w:spacing w:before="6"/>
              <w:jc w:val="left"/>
              <w:rPr>
                <w:sz w:val="22"/>
              </w:rPr>
            </w:pPr>
          </w:p>
          <w:p>
            <w:pPr>
              <w:pStyle w:val="TableParagraph"/>
              <w:spacing w:before="1"/>
              <w:ind w:left="61" w:right="75"/>
              <w:jc w:val="center"/>
              <w:rPr>
                <w:b/>
                <w:sz w:val="24"/>
              </w:rPr>
            </w:pPr>
            <w:r>
              <w:rPr>
                <w:b/>
                <w:sz w:val="24"/>
              </w:rPr>
              <w:t>237,000</w:t>
            </w:r>
          </w:p>
        </w:tc>
        <w:tc>
          <w:tcPr>
            <w:tcW w:w="1007" w:type="dxa"/>
            <w:tcBorders>
              <w:top w:val="nil"/>
              <w:left w:val="nil"/>
              <w:right w:val="nil"/>
            </w:tcBorders>
          </w:tcPr>
          <w:p>
            <w:pPr>
              <w:pStyle w:val="TableParagraph"/>
              <w:spacing w:before="9"/>
              <w:jc w:val="left"/>
              <w:rPr>
                <w:sz w:val="22"/>
              </w:rPr>
            </w:pPr>
          </w:p>
          <w:p>
            <w:pPr>
              <w:pStyle w:val="TableParagraph"/>
              <w:spacing w:line="275" w:lineRule="exact" w:before="0"/>
              <w:ind w:left="43" w:right="54"/>
              <w:jc w:val="center"/>
              <w:rPr>
                <w:b/>
                <w:sz w:val="24"/>
              </w:rPr>
            </w:pPr>
            <w:r>
              <w:rPr>
                <w:b/>
                <w:sz w:val="24"/>
              </w:rPr>
              <w:t>1,436,4</w:t>
            </w:r>
          </w:p>
          <w:p>
            <w:pPr>
              <w:pStyle w:val="TableParagraph"/>
              <w:spacing w:line="275" w:lineRule="exact" w:before="0"/>
              <w:ind w:left="36" w:right="54"/>
              <w:jc w:val="center"/>
              <w:rPr>
                <w:b/>
                <w:sz w:val="24"/>
              </w:rPr>
            </w:pPr>
            <w:r>
              <w:rPr>
                <w:b/>
                <w:sz w:val="24"/>
              </w:rPr>
              <w:t>24</w:t>
            </w:r>
          </w:p>
        </w:tc>
      </w:tr>
    </w:tbl>
    <w:p>
      <w:pPr>
        <w:spacing w:line="225" w:lineRule="exact" w:before="0"/>
        <w:ind w:left="199" w:right="15" w:firstLine="0"/>
        <w:jc w:val="left"/>
        <w:rPr>
          <w:sz w:val="20"/>
        </w:rPr>
      </w:pPr>
      <w:r>
        <w:rPr>
          <w:sz w:val="20"/>
        </w:rPr>
        <w:t>Elaboración propia, con información de presupuestos del proyecto de engorda en corral.</w:t>
      </w:r>
    </w:p>
    <w:p>
      <w:pPr>
        <w:spacing w:after="0" w:line="225" w:lineRule="exact"/>
        <w:jc w:val="left"/>
        <w:rPr>
          <w:sz w:val="20"/>
        </w:rPr>
        <w:sectPr>
          <w:pgSz w:w="12240" w:h="15840"/>
          <w:pgMar w:header="0" w:footer="1180" w:top="1360" w:bottom="1380" w:left="1500" w:right="1240"/>
        </w:sectPr>
      </w:pPr>
    </w:p>
    <w:p>
      <w:pPr>
        <w:pStyle w:val="Heading1"/>
        <w:numPr>
          <w:ilvl w:val="1"/>
          <w:numId w:val="9"/>
        </w:numPr>
        <w:tabs>
          <w:tab w:pos="582" w:val="left" w:leader="none"/>
        </w:tabs>
        <w:spacing w:line="240" w:lineRule="auto" w:before="48" w:after="0"/>
        <w:ind w:left="581" w:right="0" w:hanging="462"/>
        <w:jc w:val="both"/>
      </w:pPr>
      <w:bookmarkStart w:name="_bookmark43" w:id="56"/>
      <w:bookmarkEnd w:id="56"/>
      <w:r>
        <w:rPr>
          <w:b w:val="0"/>
        </w:rPr>
      </w:r>
      <w:bookmarkStart w:name="_bookmark43" w:id="57"/>
      <w:bookmarkEnd w:id="57"/>
      <w:r>
        <w:rPr/>
        <w:t>E</w:t>
      </w:r>
      <w:r>
        <w:rPr/>
        <w:t>VALUACIÓN DEL PROYECTO </w:t>
      </w:r>
      <w:r>
        <w:rPr>
          <w:spacing w:val="2"/>
        </w:rPr>
        <w:t>DE </w:t>
      </w:r>
      <w:r>
        <w:rPr/>
        <w:t>ENGORDA EN</w:t>
      </w:r>
      <w:r>
        <w:rPr>
          <w:spacing w:val="-17"/>
        </w:rPr>
        <w:t> </w:t>
      </w:r>
      <w:r>
        <w:rPr/>
        <w:t>CORRAL</w:t>
      </w:r>
    </w:p>
    <w:p>
      <w:pPr>
        <w:pStyle w:val="BodyText"/>
        <w:spacing w:before="9"/>
        <w:rPr>
          <w:b/>
          <w:sz w:val="40"/>
        </w:rPr>
      </w:pPr>
    </w:p>
    <w:p>
      <w:pPr>
        <w:pStyle w:val="BodyText"/>
        <w:spacing w:line="360" w:lineRule="auto"/>
        <w:ind w:left="119" w:right="114"/>
        <w:jc w:val="both"/>
      </w:pPr>
      <w:r>
        <w:rPr/>
        <w:t>Se trata de una evaluación privada (Rodríguez </w:t>
      </w:r>
      <w:r>
        <w:rPr>
          <w:i/>
        </w:rPr>
        <w:t>et al</w:t>
      </w:r>
      <w:r>
        <w:rPr/>
        <w:t>., 2008; Baca, 2010; Baca, 2013;) y bajo el análisis “</w:t>
      </w:r>
      <w:r>
        <w:rPr>
          <w:i/>
        </w:rPr>
        <w:t>Con</w:t>
      </w:r>
      <w:r>
        <w:rPr/>
        <w:t>”, esto es, con el proyecto, en su vertiente Evaluación Económica, debido a que el análisis financiero fue sin endeudamiento con terceros; por el contrario, haber utilizado una fuente de endeudamiento, se llamaría entonces, evaluación financiera del proyecto (Rodríguez </w:t>
      </w:r>
      <w:r>
        <w:rPr>
          <w:i/>
        </w:rPr>
        <w:t>et al</w:t>
      </w:r>
      <w:r>
        <w:rPr/>
        <w:t>., 2008).</w:t>
      </w:r>
    </w:p>
    <w:p>
      <w:pPr>
        <w:pStyle w:val="BodyText"/>
      </w:pPr>
    </w:p>
    <w:p>
      <w:pPr>
        <w:pStyle w:val="BodyText"/>
        <w:spacing w:line="360" w:lineRule="auto" w:before="140"/>
        <w:ind w:left="119" w:right="118"/>
        <w:jc w:val="both"/>
      </w:pPr>
      <w:r>
        <w:rPr/>
        <w:t>Se utilizó una tasa de actualización (TA), o TREMA o tasa de costo del capital, o de costo de oportunidad del capital, de 12% (FIRA, 2012). Según el FIRA cuando ninguno de los procedimientos matemáticos para estimar la TA funciona o se carece de información suficiente para su determinación, es aconsejable utilizar como tasa de actualización de referencia para realizar la evaluación de cualquier proyecto, un 12%.</w:t>
      </w:r>
    </w:p>
    <w:p>
      <w:pPr>
        <w:pStyle w:val="BodyText"/>
      </w:pPr>
    </w:p>
    <w:p>
      <w:pPr>
        <w:pStyle w:val="BodyText"/>
        <w:spacing w:line="360" w:lineRule="auto" w:before="144"/>
        <w:ind w:left="119" w:right="126"/>
        <w:jc w:val="both"/>
      </w:pPr>
      <w:r>
        <w:rPr/>
        <w:t>La Tasa de Actualización (TA), sirve para actualizar el FP, a través del cálculo de un Factor de Actualización (FA), conocido como factor para conocer el valor actual de una inversión (Baca, 2013), además, para conocer el valor futuro de una inversión pero a su equivalente en el momento actual.</w:t>
      </w:r>
    </w:p>
    <w:p>
      <w:pPr>
        <w:pStyle w:val="BodyText"/>
      </w:pPr>
    </w:p>
    <w:p>
      <w:pPr>
        <w:pStyle w:val="BodyText"/>
        <w:spacing w:line="360" w:lineRule="auto" w:before="144"/>
        <w:ind w:left="119" w:right="110"/>
        <w:jc w:val="both"/>
      </w:pPr>
      <w:r>
        <w:rPr/>
        <w:t>Con la información del Cuadro 14 y la utilización de la TA (TREMA de 12.0 %), puede generarse el </w:t>
      </w:r>
      <w:r>
        <w:rPr>
          <w:i/>
        </w:rPr>
        <w:t>flujo de proyecto </w:t>
      </w:r>
      <w:r>
        <w:rPr/>
        <w:t>actualizado (FPA), </w:t>
      </w:r>
      <w:r>
        <w:rPr>
          <w:spacing w:val="-3"/>
        </w:rPr>
        <w:t>más </w:t>
      </w:r>
      <w:r>
        <w:rPr/>
        <w:t>el horizonte de cinco años como vida útil u horizonte del proyecto, permite estimar el valor de los </w:t>
      </w:r>
      <w:r>
        <w:rPr>
          <w:i/>
        </w:rPr>
        <w:t>indicadores de </w:t>
      </w:r>
      <w:r>
        <w:rPr>
          <w:i/>
        </w:rPr>
        <w:t>rentabilidad </w:t>
      </w:r>
      <w:r>
        <w:rPr/>
        <w:t>del proyecto del rastro TIF </w:t>
      </w:r>
      <w:r>
        <w:rPr>
          <w:spacing w:val="-3"/>
        </w:rPr>
        <w:t>bajo </w:t>
      </w:r>
      <w:r>
        <w:rPr/>
        <w:t>el análisis “</w:t>
      </w:r>
      <w:r>
        <w:rPr>
          <w:b/>
        </w:rPr>
        <w:t>C</w:t>
      </w:r>
      <w:r>
        <w:rPr>
          <w:b/>
          <w:i/>
        </w:rPr>
        <w:t>on</w:t>
      </w:r>
      <w:r>
        <w:rPr>
          <w:b/>
        </w:rPr>
        <w:t>” </w:t>
      </w:r>
      <w:r>
        <w:rPr/>
        <w:t>el proyecto. Se consideraron siete indicadores de rentabilidad, los cuales fueron: el Valor Actual Neto (VAN) o valor presente neto, la Tasa de Rentabilidad Financiera (TRF o TIR) o Tasa Interna de Retorno, Tasa Verdadera de Rentabilidad (TVR) o Tasa Interna de Retorno Modificada (TIRM), Retorno Sobre la Inversión (RSI), Índice de Deseabilidad (ID), Relación Beneficio/Costo (RB/C), Periodo de Recuperación (PR) de la inversión total</w:t>
      </w:r>
      <w:r>
        <w:rPr>
          <w:spacing w:val="-2"/>
        </w:rPr>
        <w:t> </w:t>
      </w:r>
      <w:r>
        <w:rPr/>
        <w:t>inicial.</w:t>
      </w:r>
    </w:p>
    <w:p>
      <w:pPr>
        <w:spacing w:after="0" w:line="360" w:lineRule="auto"/>
        <w:jc w:val="both"/>
        <w:sectPr>
          <w:footerReference w:type="default" r:id="rId32"/>
          <w:pgSz w:w="12240" w:h="15840"/>
          <w:pgMar w:footer="1180" w:header="0" w:top="1360" w:bottom="1380" w:left="1580" w:right="1300"/>
        </w:sectPr>
      </w:pPr>
    </w:p>
    <w:p>
      <w:pPr>
        <w:pStyle w:val="Heading2"/>
        <w:ind w:left="179"/>
      </w:pPr>
      <w:bookmarkStart w:name="_bookmark44" w:id="58"/>
      <w:bookmarkEnd w:id="58"/>
      <w:r>
        <w:rPr>
          <w:b w:val="0"/>
        </w:rPr>
      </w:r>
      <w:r>
        <w:rPr/>
        <w:t>Interpretación de indicadores de rentabilidad</w:t>
      </w:r>
    </w:p>
    <w:p>
      <w:pPr>
        <w:pStyle w:val="BodyText"/>
        <w:spacing w:before="7"/>
        <w:rPr>
          <w:b/>
          <w:sz w:val="38"/>
        </w:rPr>
      </w:pPr>
    </w:p>
    <w:p>
      <w:pPr>
        <w:pStyle w:val="BodyText"/>
        <w:spacing w:line="360" w:lineRule="auto"/>
        <w:ind w:left="179" w:right="171"/>
        <w:jc w:val="both"/>
      </w:pPr>
      <w:r>
        <w:rPr/>
        <w:t>Por tanto, bajo las condiciones planteadas en el proyecto de engorda de toretes en corral y, con condiciones de certidumbre, los indicadores de rentabilidad (Cuadro 15) del mismo, superaron sus valores críticos de rechazo, lo que dio evidencia de que el proyecto, con la información que se presenta, es rentable, hay viabilidad económica y es susceptible de tomar la decisión de ejecutarse o ponerse en marcha.</w:t>
      </w:r>
    </w:p>
    <w:p>
      <w:pPr>
        <w:pStyle w:val="BodyText"/>
      </w:pPr>
    </w:p>
    <w:p>
      <w:pPr>
        <w:pStyle w:val="BodyText"/>
        <w:spacing w:line="362" w:lineRule="auto" w:before="140" w:after="4"/>
        <w:ind w:left="890" w:right="185" w:hanging="711"/>
      </w:pPr>
      <w:r>
        <w:rPr/>
        <w:t>Cuadro 15. Indicadores de rentabilidad privada del Rastro TIF, con proyecto y con subsidio.</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4"/>
        <w:gridCol w:w="4623"/>
      </w:tblGrid>
      <w:tr>
        <w:trPr>
          <w:trHeight w:val="423" w:hRule="exact"/>
        </w:trPr>
        <w:tc>
          <w:tcPr>
            <w:tcW w:w="4644" w:type="dxa"/>
            <w:tcBorders>
              <w:left w:val="nil"/>
              <w:right w:val="nil"/>
            </w:tcBorders>
          </w:tcPr>
          <w:p>
            <w:pPr>
              <w:pStyle w:val="TableParagraph"/>
              <w:spacing w:line="272" w:lineRule="exact" w:before="0"/>
              <w:ind w:left="71"/>
              <w:jc w:val="left"/>
              <w:rPr>
                <w:sz w:val="24"/>
              </w:rPr>
            </w:pPr>
            <w:r>
              <w:rPr>
                <w:sz w:val="24"/>
              </w:rPr>
              <w:t>Indicador</w:t>
            </w:r>
          </w:p>
        </w:tc>
        <w:tc>
          <w:tcPr>
            <w:tcW w:w="4623" w:type="dxa"/>
            <w:tcBorders>
              <w:left w:val="nil"/>
              <w:right w:val="nil"/>
            </w:tcBorders>
          </w:tcPr>
          <w:p>
            <w:pPr>
              <w:pStyle w:val="TableParagraph"/>
              <w:spacing w:line="272" w:lineRule="exact" w:before="0"/>
              <w:ind w:right="5"/>
              <w:rPr>
                <w:sz w:val="24"/>
              </w:rPr>
            </w:pPr>
            <w:r>
              <w:rPr>
                <w:sz w:val="24"/>
              </w:rPr>
              <w:t>Valor</w:t>
            </w:r>
          </w:p>
        </w:tc>
      </w:tr>
      <w:tr>
        <w:trPr>
          <w:trHeight w:val="358" w:hRule="exact"/>
        </w:trPr>
        <w:tc>
          <w:tcPr>
            <w:tcW w:w="4644" w:type="dxa"/>
            <w:tcBorders>
              <w:left w:val="nil"/>
              <w:bottom w:val="nil"/>
              <w:right w:val="nil"/>
            </w:tcBorders>
          </w:tcPr>
          <w:p>
            <w:pPr>
              <w:pStyle w:val="TableParagraph"/>
              <w:spacing w:line="272" w:lineRule="exact" w:before="0"/>
              <w:ind w:left="71"/>
              <w:jc w:val="left"/>
              <w:rPr>
                <w:sz w:val="24"/>
              </w:rPr>
            </w:pPr>
            <w:r>
              <w:rPr>
                <w:sz w:val="24"/>
              </w:rPr>
              <w:t>VAN ($)</w:t>
            </w:r>
          </w:p>
        </w:tc>
        <w:tc>
          <w:tcPr>
            <w:tcW w:w="4623" w:type="dxa"/>
            <w:tcBorders>
              <w:left w:val="nil"/>
              <w:bottom w:val="nil"/>
              <w:right w:val="nil"/>
            </w:tcBorders>
          </w:tcPr>
          <w:p>
            <w:pPr>
              <w:pStyle w:val="TableParagraph"/>
              <w:spacing w:line="272" w:lineRule="exact" w:before="0"/>
              <w:ind w:right="62"/>
              <w:rPr>
                <w:sz w:val="24"/>
              </w:rPr>
            </w:pPr>
            <w:r>
              <w:rPr>
                <w:sz w:val="24"/>
              </w:rPr>
              <w:t>289,256.0</w:t>
            </w:r>
          </w:p>
        </w:tc>
      </w:tr>
      <w:tr>
        <w:trPr>
          <w:trHeight w:val="415" w:hRule="exact"/>
        </w:trPr>
        <w:tc>
          <w:tcPr>
            <w:tcW w:w="4644" w:type="dxa"/>
            <w:tcBorders>
              <w:top w:val="nil"/>
              <w:left w:val="nil"/>
              <w:bottom w:val="nil"/>
              <w:right w:val="nil"/>
            </w:tcBorders>
          </w:tcPr>
          <w:p>
            <w:pPr>
              <w:pStyle w:val="TableParagraph"/>
              <w:ind w:left="71"/>
              <w:jc w:val="left"/>
              <w:rPr>
                <w:sz w:val="24"/>
              </w:rPr>
            </w:pPr>
            <w:r>
              <w:rPr>
                <w:sz w:val="24"/>
              </w:rPr>
              <w:t>TIR (%)</w:t>
            </w:r>
          </w:p>
        </w:tc>
        <w:tc>
          <w:tcPr>
            <w:tcW w:w="4623" w:type="dxa"/>
            <w:tcBorders>
              <w:top w:val="nil"/>
              <w:left w:val="nil"/>
              <w:bottom w:val="nil"/>
              <w:right w:val="nil"/>
            </w:tcBorders>
          </w:tcPr>
          <w:p>
            <w:pPr>
              <w:pStyle w:val="TableParagraph"/>
              <w:ind w:right="62"/>
              <w:rPr>
                <w:sz w:val="24"/>
              </w:rPr>
            </w:pPr>
            <w:r>
              <w:rPr>
                <w:w w:val="95"/>
                <w:sz w:val="24"/>
              </w:rPr>
              <w:t>18.5</w:t>
            </w:r>
          </w:p>
        </w:tc>
      </w:tr>
      <w:tr>
        <w:trPr>
          <w:trHeight w:val="415" w:hRule="exact"/>
        </w:trPr>
        <w:tc>
          <w:tcPr>
            <w:tcW w:w="4644" w:type="dxa"/>
            <w:tcBorders>
              <w:top w:val="nil"/>
              <w:left w:val="nil"/>
              <w:bottom w:val="nil"/>
              <w:right w:val="nil"/>
            </w:tcBorders>
          </w:tcPr>
          <w:p>
            <w:pPr>
              <w:pStyle w:val="TableParagraph"/>
              <w:spacing w:before="58"/>
              <w:ind w:left="71"/>
              <w:jc w:val="left"/>
              <w:rPr>
                <w:sz w:val="24"/>
              </w:rPr>
            </w:pPr>
            <w:r>
              <w:rPr>
                <w:sz w:val="24"/>
              </w:rPr>
              <w:t>TIRM (%)</w:t>
            </w:r>
          </w:p>
        </w:tc>
        <w:tc>
          <w:tcPr>
            <w:tcW w:w="4623" w:type="dxa"/>
            <w:tcBorders>
              <w:top w:val="nil"/>
              <w:left w:val="nil"/>
              <w:bottom w:val="nil"/>
              <w:right w:val="nil"/>
            </w:tcBorders>
          </w:tcPr>
          <w:p>
            <w:pPr>
              <w:pStyle w:val="TableParagraph"/>
              <w:spacing w:before="58"/>
              <w:ind w:right="62"/>
              <w:rPr>
                <w:sz w:val="24"/>
              </w:rPr>
            </w:pPr>
            <w:r>
              <w:rPr>
                <w:w w:val="95"/>
                <w:sz w:val="24"/>
              </w:rPr>
              <w:t>16.8</w:t>
            </w:r>
          </w:p>
        </w:tc>
      </w:tr>
      <w:tr>
        <w:trPr>
          <w:trHeight w:val="413" w:hRule="exact"/>
        </w:trPr>
        <w:tc>
          <w:tcPr>
            <w:tcW w:w="4644" w:type="dxa"/>
            <w:tcBorders>
              <w:top w:val="nil"/>
              <w:left w:val="nil"/>
              <w:bottom w:val="nil"/>
              <w:right w:val="nil"/>
            </w:tcBorders>
          </w:tcPr>
          <w:p>
            <w:pPr>
              <w:pStyle w:val="TableParagraph"/>
              <w:ind w:left="71"/>
              <w:jc w:val="left"/>
              <w:rPr>
                <w:sz w:val="24"/>
              </w:rPr>
            </w:pPr>
            <w:r>
              <w:rPr>
                <w:sz w:val="24"/>
              </w:rPr>
              <w:t>RSI ($)</w:t>
            </w:r>
          </w:p>
        </w:tc>
        <w:tc>
          <w:tcPr>
            <w:tcW w:w="4623" w:type="dxa"/>
            <w:tcBorders>
              <w:top w:val="nil"/>
              <w:left w:val="nil"/>
              <w:bottom w:val="nil"/>
              <w:right w:val="nil"/>
            </w:tcBorders>
          </w:tcPr>
          <w:p>
            <w:pPr>
              <w:pStyle w:val="TableParagraph"/>
              <w:ind w:right="62"/>
              <w:rPr>
                <w:sz w:val="24"/>
              </w:rPr>
            </w:pPr>
            <w:r>
              <w:rPr>
                <w:sz w:val="24"/>
              </w:rPr>
              <w:t>1.232</w:t>
            </w:r>
          </w:p>
        </w:tc>
      </w:tr>
      <w:tr>
        <w:trPr>
          <w:trHeight w:val="413" w:hRule="exact"/>
        </w:trPr>
        <w:tc>
          <w:tcPr>
            <w:tcW w:w="4644" w:type="dxa"/>
            <w:tcBorders>
              <w:top w:val="nil"/>
              <w:left w:val="nil"/>
              <w:bottom w:val="nil"/>
              <w:right w:val="nil"/>
            </w:tcBorders>
          </w:tcPr>
          <w:p>
            <w:pPr>
              <w:pStyle w:val="TableParagraph"/>
              <w:spacing w:before="56"/>
              <w:ind w:left="71"/>
              <w:jc w:val="left"/>
              <w:rPr>
                <w:sz w:val="24"/>
              </w:rPr>
            </w:pPr>
            <w:r>
              <w:rPr>
                <w:sz w:val="24"/>
              </w:rPr>
              <w:t>ID ($)</w:t>
            </w:r>
          </w:p>
        </w:tc>
        <w:tc>
          <w:tcPr>
            <w:tcW w:w="4623" w:type="dxa"/>
            <w:tcBorders>
              <w:top w:val="nil"/>
              <w:left w:val="nil"/>
              <w:bottom w:val="nil"/>
              <w:right w:val="nil"/>
            </w:tcBorders>
          </w:tcPr>
          <w:p>
            <w:pPr>
              <w:pStyle w:val="TableParagraph"/>
              <w:spacing w:before="56"/>
              <w:ind w:right="62"/>
              <w:rPr>
                <w:sz w:val="24"/>
              </w:rPr>
            </w:pPr>
            <w:r>
              <w:rPr>
                <w:sz w:val="24"/>
              </w:rPr>
              <w:t>0.232</w:t>
            </w:r>
          </w:p>
        </w:tc>
      </w:tr>
      <w:tr>
        <w:trPr>
          <w:trHeight w:val="415" w:hRule="exact"/>
        </w:trPr>
        <w:tc>
          <w:tcPr>
            <w:tcW w:w="4644" w:type="dxa"/>
            <w:tcBorders>
              <w:top w:val="nil"/>
              <w:left w:val="nil"/>
              <w:bottom w:val="nil"/>
              <w:right w:val="nil"/>
            </w:tcBorders>
          </w:tcPr>
          <w:p>
            <w:pPr>
              <w:pStyle w:val="TableParagraph"/>
              <w:ind w:left="71"/>
              <w:jc w:val="left"/>
              <w:rPr>
                <w:sz w:val="24"/>
              </w:rPr>
            </w:pPr>
            <w:r>
              <w:rPr>
                <w:sz w:val="24"/>
              </w:rPr>
              <w:t>RB/C ($)</w:t>
            </w:r>
          </w:p>
        </w:tc>
        <w:tc>
          <w:tcPr>
            <w:tcW w:w="4623" w:type="dxa"/>
            <w:tcBorders>
              <w:top w:val="nil"/>
              <w:left w:val="nil"/>
              <w:bottom w:val="nil"/>
              <w:right w:val="nil"/>
            </w:tcBorders>
          </w:tcPr>
          <w:p>
            <w:pPr>
              <w:pStyle w:val="TableParagraph"/>
              <w:ind w:right="62"/>
              <w:rPr>
                <w:sz w:val="24"/>
              </w:rPr>
            </w:pPr>
            <w:r>
              <w:rPr>
                <w:sz w:val="24"/>
              </w:rPr>
              <w:t>1.034</w:t>
            </w:r>
          </w:p>
        </w:tc>
      </w:tr>
      <w:tr>
        <w:trPr>
          <w:trHeight w:val="480" w:hRule="exact"/>
        </w:trPr>
        <w:tc>
          <w:tcPr>
            <w:tcW w:w="4644" w:type="dxa"/>
            <w:tcBorders>
              <w:top w:val="nil"/>
              <w:left w:val="nil"/>
              <w:right w:val="nil"/>
            </w:tcBorders>
          </w:tcPr>
          <w:p>
            <w:pPr>
              <w:pStyle w:val="TableParagraph"/>
              <w:spacing w:before="58"/>
              <w:ind w:left="71"/>
              <w:jc w:val="left"/>
              <w:rPr>
                <w:sz w:val="24"/>
              </w:rPr>
            </w:pPr>
            <w:r>
              <w:rPr>
                <w:sz w:val="24"/>
              </w:rPr>
              <w:t>PR (años)</w:t>
            </w:r>
          </w:p>
        </w:tc>
        <w:tc>
          <w:tcPr>
            <w:tcW w:w="4623" w:type="dxa"/>
            <w:tcBorders>
              <w:top w:val="nil"/>
              <w:left w:val="nil"/>
              <w:right w:val="nil"/>
            </w:tcBorders>
          </w:tcPr>
          <w:p>
            <w:pPr>
              <w:pStyle w:val="TableParagraph"/>
              <w:spacing w:before="58"/>
              <w:ind w:right="62"/>
              <w:rPr>
                <w:sz w:val="24"/>
              </w:rPr>
            </w:pPr>
            <w:r>
              <w:rPr>
                <w:sz w:val="24"/>
              </w:rPr>
              <w:t>4.645</w:t>
            </w:r>
          </w:p>
        </w:tc>
      </w:tr>
    </w:tbl>
    <w:p>
      <w:pPr>
        <w:spacing w:line="225" w:lineRule="exact" w:before="0"/>
        <w:ind w:left="179" w:right="0" w:firstLine="0"/>
        <w:jc w:val="both"/>
        <w:rPr>
          <w:sz w:val="20"/>
        </w:rPr>
      </w:pPr>
      <w:r>
        <w:rPr>
          <w:sz w:val="20"/>
        </w:rPr>
        <w:t>Estimaciones propias.</w:t>
      </w:r>
    </w:p>
    <w:p>
      <w:pPr>
        <w:pStyle w:val="BodyText"/>
        <w:rPr>
          <w:sz w:val="20"/>
        </w:rPr>
      </w:pPr>
    </w:p>
    <w:p>
      <w:pPr>
        <w:pStyle w:val="BodyText"/>
        <w:rPr>
          <w:sz w:val="26"/>
        </w:rPr>
      </w:pPr>
    </w:p>
    <w:p>
      <w:pPr>
        <w:pStyle w:val="BodyText"/>
        <w:spacing w:line="360" w:lineRule="auto"/>
        <w:ind w:left="179" w:right="182"/>
        <w:jc w:val="both"/>
      </w:pPr>
      <w:r>
        <w:rPr/>
        <w:t>Cuando en un proyecto de inversión, se presenta la información estimada en el formato del Flujo del Proyecto, tipo FIRA; es necesario, desglosar la misma entre ingresos y costos totales, con el fin de estimar la relación Beneficio/Costo (Cuadro 16).</w:t>
      </w:r>
    </w:p>
    <w:p>
      <w:pPr>
        <w:spacing w:after="0" w:line="360" w:lineRule="auto"/>
        <w:jc w:val="both"/>
        <w:sectPr>
          <w:footerReference w:type="default" r:id="rId33"/>
          <w:pgSz w:w="12240" w:h="15840"/>
          <w:pgMar w:footer="1180" w:header="0" w:top="1360" w:bottom="1380" w:left="1520" w:right="1240"/>
          <w:pgNumType w:start="91"/>
        </w:sectPr>
      </w:pPr>
    </w:p>
    <w:p>
      <w:pPr>
        <w:pStyle w:val="BodyText"/>
        <w:spacing w:before="52"/>
        <w:ind w:left="199" w:right="15"/>
      </w:pPr>
      <w:r>
        <w:rPr/>
        <w:t>Cuadro 16. Desglose de información para estimar la RBC.</w:t>
      </w:r>
    </w:p>
    <w:p>
      <w:pPr>
        <w:pStyle w:val="BodyText"/>
        <w:spacing w:before="7" w:after="1"/>
        <w:rPr>
          <w:sz w:val="12"/>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9"/>
        <w:gridCol w:w="1309"/>
        <w:gridCol w:w="1184"/>
        <w:gridCol w:w="1181"/>
        <w:gridCol w:w="1181"/>
        <w:gridCol w:w="1184"/>
        <w:gridCol w:w="1103"/>
      </w:tblGrid>
      <w:tr>
        <w:trPr>
          <w:trHeight w:val="355" w:hRule="exact"/>
        </w:trPr>
        <w:tc>
          <w:tcPr>
            <w:tcW w:w="2139" w:type="dxa"/>
            <w:tcBorders>
              <w:left w:val="nil"/>
              <w:right w:val="nil"/>
            </w:tcBorders>
          </w:tcPr>
          <w:p>
            <w:pPr>
              <w:pStyle w:val="TableParagraph"/>
              <w:spacing w:line="225" w:lineRule="exact" w:before="0"/>
              <w:ind w:left="86"/>
              <w:jc w:val="left"/>
              <w:rPr>
                <w:sz w:val="20"/>
              </w:rPr>
            </w:pPr>
            <w:r>
              <w:rPr>
                <w:sz w:val="20"/>
              </w:rPr>
              <w:t>Concepto/año</w:t>
            </w:r>
          </w:p>
        </w:tc>
        <w:tc>
          <w:tcPr>
            <w:tcW w:w="1309" w:type="dxa"/>
            <w:tcBorders>
              <w:left w:val="nil"/>
              <w:right w:val="nil"/>
            </w:tcBorders>
          </w:tcPr>
          <w:p>
            <w:pPr>
              <w:pStyle w:val="TableParagraph"/>
              <w:spacing w:line="225" w:lineRule="exact" w:before="0"/>
              <w:ind w:right="145"/>
              <w:rPr>
                <w:sz w:val="20"/>
              </w:rPr>
            </w:pPr>
            <w:r>
              <w:rPr>
                <w:w w:val="100"/>
                <w:sz w:val="20"/>
              </w:rPr>
              <w:t>0</w:t>
            </w:r>
          </w:p>
        </w:tc>
        <w:tc>
          <w:tcPr>
            <w:tcW w:w="1184" w:type="dxa"/>
            <w:tcBorders>
              <w:left w:val="nil"/>
              <w:right w:val="nil"/>
            </w:tcBorders>
          </w:tcPr>
          <w:p>
            <w:pPr>
              <w:pStyle w:val="TableParagraph"/>
              <w:spacing w:line="225" w:lineRule="exact" w:before="0"/>
              <w:ind w:right="143"/>
              <w:rPr>
                <w:sz w:val="20"/>
              </w:rPr>
            </w:pPr>
            <w:r>
              <w:rPr>
                <w:w w:val="100"/>
                <w:sz w:val="20"/>
              </w:rPr>
              <w:t>1</w:t>
            </w:r>
          </w:p>
        </w:tc>
        <w:tc>
          <w:tcPr>
            <w:tcW w:w="1181" w:type="dxa"/>
            <w:tcBorders>
              <w:left w:val="nil"/>
              <w:right w:val="nil"/>
            </w:tcBorders>
          </w:tcPr>
          <w:p>
            <w:pPr>
              <w:pStyle w:val="TableParagraph"/>
              <w:spacing w:line="225" w:lineRule="exact" w:before="0"/>
              <w:ind w:right="143"/>
              <w:rPr>
                <w:sz w:val="20"/>
              </w:rPr>
            </w:pPr>
            <w:r>
              <w:rPr>
                <w:w w:val="100"/>
                <w:sz w:val="20"/>
              </w:rPr>
              <w:t>2</w:t>
            </w:r>
          </w:p>
        </w:tc>
        <w:tc>
          <w:tcPr>
            <w:tcW w:w="1181" w:type="dxa"/>
            <w:tcBorders>
              <w:left w:val="nil"/>
              <w:right w:val="nil"/>
            </w:tcBorders>
          </w:tcPr>
          <w:p>
            <w:pPr>
              <w:pStyle w:val="TableParagraph"/>
              <w:spacing w:line="225" w:lineRule="exact" w:before="0"/>
              <w:ind w:right="143"/>
              <w:rPr>
                <w:sz w:val="20"/>
              </w:rPr>
            </w:pPr>
            <w:r>
              <w:rPr>
                <w:w w:val="100"/>
                <w:sz w:val="20"/>
              </w:rPr>
              <w:t>3</w:t>
            </w:r>
          </w:p>
        </w:tc>
        <w:tc>
          <w:tcPr>
            <w:tcW w:w="1184" w:type="dxa"/>
            <w:tcBorders>
              <w:left w:val="nil"/>
              <w:right w:val="nil"/>
            </w:tcBorders>
          </w:tcPr>
          <w:p>
            <w:pPr>
              <w:pStyle w:val="TableParagraph"/>
              <w:spacing w:line="225" w:lineRule="exact" w:before="0"/>
              <w:ind w:right="146"/>
              <w:rPr>
                <w:sz w:val="20"/>
              </w:rPr>
            </w:pPr>
            <w:r>
              <w:rPr>
                <w:w w:val="100"/>
                <w:sz w:val="20"/>
              </w:rPr>
              <w:t>4</w:t>
            </w:r>
          </w:p>
        </w:tc>
        <w:tc>
          <w:tcPr>
            <w:tcW w:w="1103" w:type="dxa"/>
            <w:tcBorders>
              <w:left w:val="nil"/>
              <w:right w:val="nil"/>
            </w:tcBorders>
          </w:tcPr>
          <w:p>
            <w:pPr>
              <w:pStyle w:val="TableParagraph"/>
              <w:spacing w:line="225" w:lineRule="exact" w:before="0"/>
              <w:ind w:right="63"/>
              <w:rPr>
                <w:sz w:val="20"/>
              </w:rPr>
            </w:pPr>
            <w:r>
              <w:rPr>
                <w:w w:val="100"/>
                <w:sz w:val="20"/>
              </w:rPr>
              <w:t>5</w:t>
            </w:r>
          </w:p>
        </w:tc>
      </w:tr>
      <w:tr>
        <w:trPr>
          <w:trHeight w:val="298" w:hRule="exact"/>
        </w:trPr>
        <w:tc>
          <w:tcPr>
            <w:tcW w:w="2139" w:type="dxa"/>
            <w:tcBorders>
              <w:left w:val="nil"/>
              <w:bottom w:val="nil"/>
              <w:right w:val="nil"/>
            </w:tcBorders>
          </w:tcPr>
          <w:p>
            <w:pPr>
              <w:pStyle w:val="TableParagraph"/>
              <w:spacing w:line="225" w:lineRule="exact" w:before="0"/>
              <w:ind w:left="86"/>
              <w:jc w:val="left"/>
              <w:rPr>
                <w:sz w:val="20"/>
              </w:rPr>
            </w:pPr>
            <w:r>
              <w:rPr>
                <w:sz w:val="20"/>
              </w:rPr>
              <w:t>Ingresos Totales</w:t>
            </w:r>
          </w:p>
        </w:tc>
        <w:tc>
          <w:tcPr>
            <w:tcW w:w="1309" w:type="dxa"/>
            <w:tcBorders>
              <w:left w:val="nil"/>
              <w:bottom w:val="nil"/>
              <w:right w:val="nil"/>
            </w:tcBorders>
          </w:tcPr>
          <w:p>
            <w:pPr/>
          </w:p>
        </w:tc>
        <w:tc>
          <w:tcPr>
            <w:tcW w:w="1184" w:type="dxa"/>
            <w:tcBorders>
              <w:left w:val="nil"/>
              <w:bottom w:val="nil"/>
              <w:right w:val="nil"/>
            </w:tcBorders>
          </w:tcPr>
          <w:p>
            <w:pPr>
              <w:pStyle w:val="TableParagraph"/>
              <w:spacing w:line="225" w:lineRule="exact" w:before="0"/>
              <w:ind w:right="143"/>
              <w:rPr>
                <w:sz w:val="20"/>
              </w:rPr>
            </w:pPr>
            <w:r>
              <w:rPr>
                <w:sz w:val="20"/>
              </w:rPr>
              <w:t>2,258,248</w:t>
            </w:r>
          </w:p>
        </w:tc>
        <w:tc>
          <w:tcPr>
            <w:tcW w:w="1181" w:type="dxa"/>
            <w:tcBorders>
              <w:left w:val="nil"/>
              <w:bottom w:val="nil"/>
              <w:right w:val="nil"/>
            </w:tcBorders>
          </w:tcPr>
          <w:p>
            <w:pPr>
              <w:pStyle w:val="TableParagraph"/>
              <w:spacing w:line="225" w:lineRule="exact" w:before="0"/>
              <w:ind w:right="143"/>
              <w:rPr>
                <w:sz w:val="20"/>
              </w:rPr>
            </w:pPr>
            <w:r>
              <w:rPr>
                <w:sz w:val="20"/>
              </w:rPr>
              <w:t>2,258,248</w:t>
            </w:r>
          </w:p>
        </w:tc>
        <w:tc>
          <w:tcPr>
            <w:tcW w:w="1181" w:type="dxa"/>
            <w:tcBorders>
              <w:left w:val="nil"/>
              <w:bottom w:val="nil"/>
              <w:right w:val="nil"/>
            </w:tcBorders>
          </w:tcPr>
          <w:p>
            <w:pPr>
              <w:pStyle w:val="TableParagraph"/>
              <w:spacing w:line="225" w:lineRule="exact" w:before="0"/>
              <w:ind w:right="143"/>
              <w:rPr>
                <w:sz w:val="20"/>
              </w:rPr>
            </w:pPr>
            <w:r>
              <w:rPr>
                <w:sz w:val="20"/>
              </w:rPr>
              <w:t>2,258,248</w:t>
            </w:r>
          </w:p>
        </w:tc>
        <w:tc>
          <w:tcPr>
            <w:tcW w:w="1184" w:type="dxa"/>
            <w:tcBorders>
              <w:left w:val="nil"/>
              <w:bottom w:val="nil"/>
              <w:right w:val="nil"/>
            </w:tcBorders>
          </w:tcPr>
          <w:p>
            <w:pPr>
              <w:pStyle w:val="TableParagraph"/>
              <w:spacing w:line="225" w:lineRule="exact" w:before="0"/>
              <w:ind w:right="146"/>
              <w:rPr>
                <w:sz w:val="20"/>
              </w:rPr>
            </w:pPr>
            <w:r>
              <w:rPr>
                <w:sz w:val="20"/>
              </w:rPr>
              <w:t>2,258,248</w:t>
            </w:r>
          </w:p>
        </w:tc>
        <w:tc>
          <w:tcPr>
            <w:tcW w:w="1103" w:type="dxa"/>
            <w:tcBorders>
              <w:left w:val="nil"/>
              <w:bottom w:val="nil"/>
              <w:right w:val="nil"/>
            </w:tcBorders>
          </w:tcPr>
          <w:p>
            <w:pPr>
              <w:pStyle w:val="TableParagraph"/>
              <w:spacing w:line="225" w:lineRule="exact" w:before="0"/>
              <w:ind w:right="63"/>
              <w:rPr>
                <w:sz w:val="20"/>
              </w:rPr>
            </w:pPr>
            <w:r>
              <w:rPr>
                <w:sz w:val="20"/>
              </w:rPr>
              <w:t>3,457,672</w:t>
            </w:r>
          </w:p>
        </w:tc>
      </w:tr>
      <w:tr>
        <w:trPr>
          <w:trHeight w:val="343" w:hRule="exact"/>
        </w:trPr>
        <w:tc>
          <w:tcPr>
            <w:tcW w:w="2139" w:type="dxa"/>
            <w:tcBorders>
              <w:top w:val="nil"/>
              <w:left w:val="nil"/>
              <w:bottom w:val="nil"/>
              <w:right w:val="nil"/>
            </w:tcBorders>
          </w:tcPr>
          <w:p>
            <w:pPr>
              <w:pStyle w:val="TableParagraph"/>
              <w:spacing w:before="48"/>
              <w:ind w:left="254"/>
              <w:jc w:val="left"/>
              <w:rPr>
                <w:sz w:val="20"/>
              </w:rPr>
            </w:pPr>
            <w:r>
              <w:rPr>
                <w:sz w:val="20"/>
              </w:rPr>
              <w:t>Ingresos/ventas</w:t>
            </w:r>
          </w:p>
        </w:tc>
        <w:tc>
          <w:tcPr>
            <w:tcW w:w="1309" w:type="dxa"/>
            <w:tcBorders>
              <w:top w:val="nil"/>
              <w:left w:val="nil"/>
              <w:bottom w:val="nil"/>
              <w:right w:val="nil"/>
            </w:tcBorders>
          </w:tcPr>
          <w:p>
            <w:pPr/>
          </w:p>
        </w:tc>
        <w:tc>
          <w:tcPr>
            <w:tcW w:w="1184" w:type="dxa"/>
            <w:tcBorders>
              <w:top w:val="nil"/>
              <w:left w:val="nil"/>
              <w:bottom w:val="nil"/>
              <w:right w:val="nil"/>
            </w:tcBorders>
          </w:tcPr>
          <w:p>
            <w:pPr>
              <w:pStyle w:val="TableParagraph"/>
              <w:spacing w:before="48"/>
              <w:ind w:right="143"/>
              <w:rPr>
                <w:sz w:val="20"/>
              </w:rPr>
            </w:pPr>
            <w:r>
              <w:rPr>
                <w:sz w:val="20"/>
              </w:rPr>
              <w:t>2,250,000</w:t>
            </w:r>
          </w:p>
        </w:tc>
        <w:tc>
          <w:tcPr>
            <w:tcW w:w="1181" w:type="dxa"/>
            <w:tcBorders>
              <w:top w:val="nil"/>
              <w:left w:val="nil"/>
              <w:bottom w:val="nil"/>
              <w:right w:val="nil"/>
            </w:tcBorders>
          </w:tcPr>
          <w:p>
            <w:pPr>
              <w:pStyle w:val="TableParagraph"/>
              <w:spacing w:before="48"/>
              <w:ind w:right="143"/>
              <w:rPr>
                <w:sz w:val="20"/>
              </w:rPr>
            </w:pPr>
            <w:r>
              <w:rPr>
                <w:sz w:val="20"/>
              </w:rPr>
              <w:t>2,250,000</w:t>
            </w:r>
          </w:p>
        </w:tc>
        <w:tc>
          <w:tcPr>
            <w:tcW w:w="1181" w:type="dxa"/>
            <w:tcBorders>
              <w:top w:val="nil"/>
              <w:left w:val="nil"/>
              <w:bottom w:val="nil"/>
              <w:right w:val="nil"/>
            </w:tcBorders>
          </w:tcPr>
          <w:p>
            <w:pPr>
              <w:pStyle w:val="TableParagraph"/>
              <w:spacing w:before="48"/>
              <w:ind w:right="143"/>
              <w:rPr>
                <w:sz w:val="20"/>
              </w:rPr>
            </w:pPr>
            <w:r>
              <w:rPr>
                <w:sz w:val="20"/>
              </w:rPr>
              <w:t>2,250,000</w:t>
            </w:r>
          </w:p>
        </w:tc>
        <w:tc>
          <w:tcPr>
            <w:tcW w:w="1184" w:type="dxa"/>
            <w:tcBorders>
              <w:top w:val="nil"/>
              <w:left w:val="nil"/>
              <w:bottom w:val="nil"/>
              <w:right w:val="nil"/>
            </w:tcBorders>
          </w:tcPr>
          <w:p>
            <w:pPr>
              <w:pStyle w:val="TableParagraph"/>
              <w:spacing w:before="48"/>
              <w:ind w:right="146"/>
              <w:rPr>
                <w:sz w:val="20"/>
              </w:rPr>
            </w:pPr>
            <w:r>
              <w:rPr>
                <w:sz w:val="20"/>
              </w:rPr>
              <w:t>2,250,000</w:t>
            </w:r>
          </w:p>
        </w:tc>
        <w:tc>
          <w:tcPr>
            <w:tcW w:w="1103" w:type="dxa"/>
            <w:tcBorders>
              <w:top w:val="nil"/>
              <w:left w:val="nil"/>
              <w:bottom w:val="nil"/>
              <w:right w:val="nil"/>
            </w:tcBorders>
          </w:tcPr>
          <w:p>
            <w:pPr>
              <w:pStyle w:val="TableParagraph"/>
              <w:spacing w:before="48"/>
              <w:ind w:right="63"/>
              <w:rPr>
                <w:sz w:val="20"/>
              </w:rPr>
            </w:pPr>
            <w:r>
              <w:rPr>
                <w:sz w:val="20"/>
              </w:rPr>
              <w:t>2,250,000</w:t>
            </w:r>
          </w:p>
        </w:tc>
      </w:tr>
      <w:tr>
        <w:trPr>
          <w:trHeight w:val="343" w:hRule="exact"/>
        </w:trPr>
        <w:tc>
          <w:tcPr>
            <w:tcW w:w="2139" w:type="dxa"/>
            <w:tcBorders>
              <w:top w:val="nil"/>
              <w:left w:val="nil"/>
              <w:bottom w:val="nil"/>
              <w:right w:val="nil"/>
            </w:tcBorders>
          </w:tcPr>
          <w:p>
            <w:pPr>
              <w:pStyle w:val="TableParagraph"/>
              <w:spacing w:before="45"/>
              <w:ind w:left="86"/>
              <w:jc w:val="left"/>
              <w:rPr>
                <w:sz w:val="20"/>
              </w:rPr>
            </w:pPr>
            <w:r>
              <w:rPr>
                <w:sz w:val="20"/>
              </w:rPr>
              <w:t>Deprec/amort</w:t>
            </w:r>
          </w:p>
        </w:tc>
        <w:tc>
          <w:tcPr>
            <w:tcW w:w="1309" w:type="dxa"/>
            <w:tcBorders>
              <w:top w:val="nil"/>
              <w:left w:val="nil"/>
              <w:bottom w:val="nil"/>
              <w:right w:val="nil"/>
            </w:tcBorders>
          </w:tcPr>
          <w:p>
            <w:pPr/>
          </w:p>
        </w:tc>
        <w:tc>
          <w:tcPr>
            <w:tcW w:w="1184" w:type="dxa"/>
            <w:tcBorders>
              <w:top w:val="nil"/>
              <w:left w:val="nil"/>
              <w:bottom w:val="nil"/>
              <w:right w:val="nil"/>
            </w:tcBorders>
          </w:tcPr>
          <w:p>
            <w:pPr>
              <w:pStyle w:val="TableParagraph"/>
              <w:spacing w:before="45"/>
              <w:ind w:right="143"/>
              <w:rPr>
                <w:sz w:val="20"/>
              </w:rPr>
            </w:pPr>
            <w:r>
              <w:rPr>
                <w:sz w:val="20"/>
              </w:rPr>
              <w:t>8,248</w:t>
            </w:r>
          </w:p>
        </w:tc>
        <w:tc>
          <w:tcPr>
            <w:tcW w:w="1181" w:type="dxa"/>
            <w:tcBorders>
              <w:top w:val="nil"/>
              <w:left w:val="nil"/>
              <w:bottom w:val="nil"/>
              <w:right w:val="nil"/>
            </w:tcBorders>
          </w:tcPr>
          <w:p>
            <w:pPr>
              <w:pStyle w:val="TableParagraph"/>
              <w:spacing w:before="45"/>
              <w:ind w:right="143"/>
              <w:rPr>
                <w:sz w:val="20"/>
              </w:rPr>
            </w:pPr>
            <w:r>
              <w:rPr>
                <w:sz w:val="20"/>
              </w:rPr>
              <w:t>8,248</w:t>
            </w:r>
          </w:p>
        </w:tc>
        <w:tc>
          <w:tcPr>
            <w:tcW w:w="1181" w:type="dxa"/>
            <w:tcBorders>
              <w:top w:val="nil"/>
              <w:left w:val="nil"/>
              <w:bottom w:val="nil"/>
              <w:right w:val="nil"/>
            </w:tcBorders>
          </w:tcPr>
          <w:p>
            <w:pPr>
              <w:pStyle w:val="TableParagraph"/>
              <w:spacing w:before="45"/>
              <w:ind w:right="143"/>
              <w:rPr>
                <w:sz w:val="20"/>
              </w:rPr>
            </w:pPr>
            <w:r>
              <w:rPr>
                <w:sz w:val="20"/>
              </w:rPr>
              <w:t>8,248</w:t>
            </w:r>
          </w:p>
        </w:tc>
        <w:tc>
          <w:tcPr>
            <w:tcW w:w="1184" w:type="dxa"/>
            <w:tcBorders>
              <w:top w:val="nil"/>
              <w:left w:val="nil"/>
              <w:bottom w:val="nil"/>
              <w:right w:val="nil"/>
            </w:tcBorders>
          </w:tcPr>
          <w:p>
            <w:pPr>
              <w:pStyle w:val="TableParagraph"/>
              <w:spacing w:before="45"/>
              <w:ind w:right="146"/>
              <w:rPr>
                <w:sz w:val="20"/>
              </w:rPr>
            </w:pPr>
            <w:r>
              <w:rPr>
                <w:sz w:val="20"/>
              </w:rPr>
              <w:t>8,248</w:t>
            </w:r>
          </w:p>
        </w:tc>
        <w:tc>
          <w:tcPr>
            <w:tcW w:w="1103" w:type="dxa"/>
            <w:tcBorders>
              <w:top w:val="nil"/>
              <w:left w:val="nil"/>
              <w:bottom w:val="nil"/>
              <w:right w:val="nil"/>
            </w:tcBorders>
          </w:tcPr>
          <w:p>
            <w:pPr>
              <w:pStyle w:val="TableParagraph"/>
              <w:spacing w:before="45"/>
              <w:ind w:right="63"/>
              <w:rPr>
                <w:sz w:val="20"/>
              </w:rPr>
            </w:pPr>
            <w:r>
              <w:rPr>
                <w:sz w:val="20"/>
              </w:rPr>
              <w:t>8,248</w:t>
            </w:r>
          </w:p>
        </w:tc>
      </w:tr>
      <w:tr>
        <w:trPr>
          <w:trHeight w:val="346" w:hRule="exact"/>
        </w:trPr>
        <w:tc>
          <w:tcPr>
            <w:tcW w:w="2139" w:type="dxa"/>
            <w:tcBorders>
              <w:top w:val="nil"/>
              <w:left w:val="nil"/>
              <w:bottom w:val="nil"/>
              <w:right w:val="nil"/>
            </w:tcBorders>
          </w:tcPr>
          <w:p>
            <w:pPr>
              <w:pStyle w:val="TableParagraph"/>
              <w:spacing w:before="47"/>
              <w:ind w:left="259"/>
              <w:jc w:val="left"/>
              <w:rPr>
                <w:sz w:val="20"/>
              </w:rPr>
            </w:pPr>
            <w:r>
              <w:rPr>
                <w:sz w:val="20"/>
              </w:rPr>
              <w:t>Valor residual</w:t>
            </w:r>
          </w:p>
        </w:tc>
        <w:tc>
          <w:tcPr>
            <w:tcW w:w="1309" w:type="dxa"/>
            <w:tcBorders>
              <w:top w:val="nil"/>
              <w:left w:val="nil"/>
              <w:bottom w:val="nil"/>
              <w:right w:val="nil"/>
            </w:tcBorders>
          </w:tcPr>
          <w:p>
            <w:pPr/>
          </w:p>
        </w:tc>
        <w:tc>
          <w:tcPr>
            <w:tcW w:w="1184" w:type="dxa"/>
            <w:tcBorders>
              <w:top w:val="nil"/>
              <w:left w:val="nil"/>
              <w:bottom w:val="nil"/>
              <w:right w:val="nil"/>
            </w:tcBorders>
          </w:tcPr>
          <w:p>
            <w:pPr/>
          </w:p>
        </w:tc>
        <w:tc>
          <w:tcPr>
            <w:tcW w:w="1181" w:type="dxa"/>
            <w:tcBorders>
              <w:top w:val="nil"/>
              <w:left w:val="nil"/>
              <w:bottom w:val="nil"/>
              <w:right w:val="nil"/>
            </w:tcBorders>
          </w:tcPr>
          <w:p>
            <w:pPr/>
          </w:p>
        </w:tc>
        <w:tc>
          <w:tcPr>
            <w:tcW w:w="1181" w:type="dxa"/>
            <w:tcBorders>
              <w:top w:val="nil"/>
              <w:left w:val="nil"/>
              <w:bottom w:val="nil"/>
              <w:right w:val="nil"/>
            </w:tcBorders>
          </w:tcPr>
          <w:p>
            <w:pPr/>
          </w:p>
        </w:tc>
        <w:tc>
          <w:tcPr>
            <w:tcW w:w="1184" w:type="dxa"/>
            <w:tcBorders>
              <w:top w:val="nil"/>
              <w:left w:val="nil"/>
              <w:bottom w:val="nil"/>
              <w:right w:val="nil"/>
            </w:tcBorders>
          </w:tcPr>
          <w:p>
            <w:pPr/>
          </w:p>
        </w:tc>
        <w:tc>
          <w:tcPr>
            <w:tcW w:w="1103" w:type="dxa"/>
            <w:tcBorders>
              <w:top w:val="nil"/>
              <w:left w:val="nil"/>
              <w:bottom w:val="nil"/>
              <w:right w:val="nil"/>
            </w:tcBorders>
          </w:tcPr>
          <w:p>
            <w:pPr>
              <w:pStyle w:val="TableParagraph"/>
              <w:spacing w:before="47"/>
              <w:ind w:right="68"/>
              <w:rPr>
                <w:sz w:val="20"/>
              </w:rPr>
            </w:pPr>
            <w:r>
              <w:rPr>
                <w:sz w:val="20"/>
              </w:rPr>
              <w:t>694,113</w:t>
            </w:r>
          </w:p>
        </w:tc>
      </w:tr>
      <w:tr>
        <w:trPr>
          <w:trHeight w:val="346" w:hRule="exact"/>
        </w:trPr>
        <w:tc>
          <w:tcPr>
            <w:tcW w:w="2139" w:type="dxa"/>
            <w:tcBorders>
              <w:top w:val="nil"/>
              <w:left w:val="nil"/>
              <w:bottom w:val="nil"/>
              <w:right w:val="nil"/>
            </w:tcBorders>
          </w:tcPr>
          <w:p>
            <w:pPr>
              <w:pStyle w:val="TableParagraph"/>
              <w:spacing w:before="47"/>
              <w:ind w:left="259"/>
              <w:jc w:val="left"/>
              <w:rPr>
                <w:sz w:val="20"/>
              </w:rPr>
            </w:pPr>
            <w:r>
              <w:rPr>
                <w:sz w:val="20"/>
              </w:rPr>
              <w:t>Capital de trab</w:t>
            </w:r>
          </w:p>
        </w:tc>
        <w:tc>
          <w:tcPr>
            <w:tcW w:w="1309" w:type="dxa"/>
            <w:tcBorders>
              <w:top w:val="nil"/>
              <w:left w:val="nil"/>
              <w:bottom w:val="nil"/>
              <w:right w:val="nil"/>
            </w:tcBorders>
          </w:tcPr>
          <w:p>
            <w:pPr/>
          </w:p>
        </w:tc>
        <w:tc>
          <w:tcPr>
            <w:tcW w:w="1184" w:type="dxa"/>
            <w:tcBorders>
              <w:top w:val="nil"/>
              <w:left w:val="nil"/>
              <w:bottom w:val="nil"/>
              <w:right w:val="nil"/>
            </w:tcBorders>
          </w:tcPr>
          <w:p>
            <w:pPr/>
          </w:p>
        </w:tc>
        <w:tc>
          <w:tcPr>
            <w:tcW w:w="1181" w:type="dxa"/>
            <w:tcBorders>
              <w:top w:val="nil"/>
              <w:left w:val="nil"/>
              <w:bottom w:val="nil"/>
              <w:right w:val="nil"/>
            </w:tcBorders>
          </w:tcPr>
          <w:p>
            <w:pPr/>
          </w:p>
        </w:tc>
        <w:tc>
          <w:tcPr>
            <w:tcW w:w="1181" w:type="dxa"/>
            <w:tcBorders>
              <w:top w:val="nil"/>
              <w:left w:val="nil"/>
              <w:bottom w:val="nil"/>
              <w:right w:val="nil"/>
            </w:tcBorders>
          </w:tcPr>
          <w:p>
            <w:pPr/>
          </w:p>
        </w:tc>
        <w:tc>
          <w:tcPr>
            <w:tcW w:w="1184" w:type="dxa"/>
            <w:tcBorders>
              <w:top w:val="nil"/>
              <w:left w:val="nil"/>
              <w:bottom w:val="nil"/>
              <w:right w:val="nil"/>
            </w:tcBorders>
          </w:tcPr>
          <w:p>
            <w:pPr/>
          </w:p>
        </w:tc>
        <w:tc>
          <w:tcPr>
            <w:tcW w:w="1103" w:type="dxa"/>
            <w:tcBorders>
              <w:top w:val="nil"/>
              <w:left w:val="nil"/>
              <w:bottom w:val="nil"/>
              <w:right w:val="nil"/>
            </w:tcBorders>
          </w:tcPr>
          <w:p>
            <w:pPr>
              <w:pStyle w:val="TableParagraph"/>
              <w:spacing w:before="47"/>
              <w:ind w:right="68"/>
              <w:rPr>
                <w:sz w:val="20"/>
              </w:rPr>
            </w:pPr>
            <w:r>
              <w:rPr>
                <w:sz w:val="20"/>
              </w:rPr>
              <w:t>505,312</w:t>
            </w:r>
          </w:p>
        </w:tc>
      </w:tr>
      <w:tr>
        <w:trPr>
          <w:trHeight w:val="346" w:hRule="exact"/>
        </w:trPr>
        <w:tc>
          <w:tcPr>
            <w:tcW w:w="2139" w:type="dxa"/>
            <w:tcBorders>
              <w:top w:val="nil"/>
              <w:left w:val="nil"/>
              <w:bottom w:val="nil"/>
              <w:right w:val="nil"/>
            </w:tcBorders>
          </w:tcPr>
          <w:p>
            <w:pPr>
              <w:pStyle w:val="TableParagraph"/>
              <w:spacing w:before="47"/>
              <w:ind w:left="86"/>
              <w:jc w:val="left"/>
              <w:rPr>
                <w:sz w:val="20"/>
              </w:rPr>
            </w:pPr>
            <w:r>
              <w:rPr>
                <w:sz w:val="20"/>
              </w:rPr>
              <w:t>Costos totales</w:t>
            </w:r>
          </w:p>
        </w:tc>
        <w:tc>
          <w:tcPr>
            <w:tcW w:w="1309" w:type="dxa"/>
            <w:tcBorders>
              <w:top w:val="nil"/>
              <w:left w:val="nil"/>
              <w:bottom w:val="nil"/>
              <w:right w:val="nil"/>
            </w:tcBorders>
          </w:tcPr>
          <w:p>
            <w:pPr>
              <w:pStyle w:val="TableParagraph"/>
              <w:spacing w:before="47"/>
              <w:ind w:right="146"/>
              <w:rPr>
                <w:sz w:val="20"/>
              </w:rPr>
            </w:pPr>
            <w:r>
              <w:rPr>
                <w:sz w:val="20"/>
              </w:rPr>
              <w:t>1,245,662</w:t>
            </w:r>
          </w:p>
        </w:tc>
        <w:tc>
          <w:tcPr>
            <w:tcW w:w="1184" w:type="dxa"/>
            <w:tcBorders>
              <w:top w:val="nil"/>
              <w:left w:val="nil"/>
              <w:bottom w:val="nil"/>
              <w:right w:val="nil"/>
            </w:tcBorders>
          </w:tcPr>
          <w:p>
            <w:pPr>
              <w:pStyle w:val="TableParagraph"/>
              <w:spacing w:before="47"/>
              <w:ind w:right="143"/>
              <w:rPr>
                <w:sz w:val="20"/>
              </w:rPr>
            </w:pPr>
            <w:r>
              <w:rPr>
                <w:sz w:val="20"/>
              </w:rPr>
              <w:t>2,021,248</w:t>
            </w:r>
          </w:p>
        </w:tc>
        <w:tc>
          <w:tcPr>
            <w:tcW w:w="1181" w:type="dxa"/>
            <w:tcBorders>
              <w:top w:val="nil"/>
              <w:left w:val="nil"/>
              <w:bottom w:val="nil"/>
              <w:right w:val="nil"/>
            </w:tcBorders>
          </w:tcPr>
          <w:p>
            <w:pPr>
              <w:pStyle w:val="TableParagraph"/>
              <w:spacing w:before="47"/>
              <w:ind w:right="143"/>
              <w:rPr>
                <w:sz w:val="20"/>
              </w:rPr>
            </w:pPr>
            <w:r>
              <w:rPr>
                <w:sz w:val="20"/>
              </w:rPr>
              <w:t>2,021,248</w:t>
            </w:r>
          </w:p>
        </w:tc>
        <w:tc>
          <w:tcPr>
            <w:tcW w:w="1181" w:type="dxa"/>
            <w:tcBorders>
              <w:top w:val="nil"/>
              <w:left w:val="nil"/>
              <w:bottom w:val="nil"/>
              <w:right w:val="nil"/>
            </w:tcBorders>
          </w:tcPr>
          <w:p>
            <w:pPr>
              <w:pStyle w:val="TableParagraph"/>
              <w:spacing w:before="47"/>
              <w:ind w:right="143"/>
              <w:rPr>
                <w:sz w:val="20"/>
              </w:rPr>
            </w:pPr>
            <w:r>
              <w:rPr>
                <w:sz w:val="20"/>
              </w:rPr>
              <w:t>2,021,248</w:t>
            </w:r>
          </w:p>
        </w:tc>
        <w:tc>
          <w:tcPr>
            <w:tcW w:w="1184" w:type="dxa"/>
            <w:tcBorders>
              <w:top w:val="nil"/>
              <w:left w:val="nil"/>
              <w:bottom w:val="nil"/>
              <w:right w:val="nil"/>
            </w:tcBorders>
          </w:tcPr>
          <w:p>
            <w:pPr>
              <w:pStyle w:val="TableParagraph"/>
              <w:spacing w:before="47"/>
              <w:ind w:right="146"/>
              <w:rPr>
                <w:sz w:val="20"/>
              </w:rPr>
            </w:pPr>
            <w:r>
              <w:rPr>
                <w:sz w:val="20"/>
              </w:rPr>
              <w:t>2,021,248</w:t>
            </w:r>
          </w:p>
        </w:tc>
        <w:tc>
          <w:tcPr>
            <w:tcW w:w="1103" w:type="dxa"/>
            <w:tcBorders>
              <w:top w:val="nil"/>
              <w:left w:val="nil"/>
              <w:bottom w:val="nil"/>
              <w:right w:val="nil"/>
            </w:tcBorders>
          </w:tcPr>
          <w:p>
            <w:pPr>
              <w:pStyle w:val="TableParagraph"/>
              <w:spacing w:before="47"/>
              <w:ind w:right="63"/>
              <w:rPr>
                <w:sz w:val="20"/>
              </w:rPr>
            </w:pPr>
            <w:r>
              <w:rPr>
                <w:sz w:val="20"/>
              </w:rPr>
              <w:t>2,021,248</w:t>
            </w:r>
          </w:p>
        </w:tc>
      </w:tr>
      <w:tr>
        <w:trPr>
          <w:trHeight w:val="346" w:hRule="exact"/>
        </w:trPr>
        <w:tc>
          <w:tcPr>
            <w:tcW w:w="2139" w:type="dxa"/>
            <w:tcBorders>
              <w:top w:val="nil"/>
              <w:left w:val="nil"/>
              <w:bottom w:val="nil"/>
              <w:right w:val="nil"/>
            </w:tcBorders>
          </w:tcPr>
          <w:p>
            <w:pPr>
              <w:pStyle w:val="TableParagraph"/>
              <w:spacing w:before="48"/>
              <w:ind w:left="254"/>
              <w:jc w:val="left"/>
              <w:rPr>
                <w:sz w:val="20"/>
              </w:rPr>
            </w:pPr>
            <w:r>
              <w:rPr>
                <w:sz w:val="20"/>
              </w:rPr>
              <w:t>Inversión inicial</w:t>
            </w:r>
          </w:p>
        </w:tc>
        <w:tc>
          <w:tcPr>
            <w:tcW w:w="1309" w:type="dxa"/>
            <w:tcBorders>
              <w:top w:val="nil"/>
              <w:left w:val="nil"/>
              <w:bottom w:val="nil"/>
              <w:right w:val="nil"/>
            </w:tcBorders>
          </w:tcPr>
          <w:p>
            <w:pPr>
              <w:pStyle w:val="TableParagraph"/>
              <w:spacing w:before="48"/>
              <w:ind w:right="146"/>
              <w:rPr>
                <w:sz w:val="20"/>
              </w:rPr>
            </w:pPr>
            <w:r>
              <w:rPr>
                <w:sz w:val="20"/>
              </w:rPr>
              <w:t>1,245,662</w:t>
            </w:r>
          </w:p>
        </w:tc>
        <w:tc>
          <w:tcPr>
            <w:tcW w:w="1184" w:type="dxa"/>
            <w:tcBorders>
              <w:top w:val="nil"/>
              <w:left w:val="nil"/>
              <w:bottom w:val="nil"/>
              <w:right w:val="nil"/>
            </w:tcBorders>
          </w:tcPr>
          <w:p>
            <w:pPr>
              <w:pStyle w:val="TableParagraph"/>
              <w:spacing w:before="48"/>
              <w:ind w:right="143"/>
              <w:rPr>
                <w:sz w:val="20"/>
              </w:rPr>
            </w:pPr>
            <w:r>
              <w:rPr>
                <w:w w:val="100"/>
                <w:sz w:val="20"/>
              </w:rPr>
              <w:t>0</w:t>
            </w:r>
          </w:p>
        </w:tc>
        <w:tc>
          <w:tcPr>
            <w:tcW w:w="1181" w:type="dxa"/>
            <w:tcBorders>
              <w:top w:val="nil"/>
              <w:left w:val="nil"/>
              <w:bottom w:val="nil"/>
              <w:right w:val="nil"/>
            </w:tcBorders>
          </w:tcPr>
          <w:p>
            <w:pPr>
              <w:pStyle w:val="TableParagraph"/>
              <w:spacing w:before="48"/>
              <w:ind w:right="143"/>
              <w:rPr>
                <w:sz w:val="20"/>
              </w:rPr>
            </w:pPr>
            <w:r>
              <w:rPr>
                <w:w w:val="100"/>
                <w:sz w:val="20"/>
              </w:rPr>
              <w:t>0</w:t>
            </w:r>
          </w:p>
        </w:tc>
        <w:tc>
          <w:tcPr>
            <w:tcW w:w="1181" w:type="dxa"/>
            <w:tcBorders>
              <w:top w:val="nil"/>
              <w:left w:val="nil"/>
              <w:bottom w:val="nil"/>
              <w:right w:val="nil"/>
            </w:tcBorders>
          </w:tcPr>
          <w:p>
            <w:pPr>
              <w:pStyle w:val="TableParagraph"/>
              <w:spacing w:before="48"/>
              <w:ind w:right="143"/>
              <w:rPr>
                <w:sz w:val="20"/>
              </w:rPr>
            </w:pPr>
            <w:r>
              <w:rPr>
                <w:w w:val="100"/>
                <w:sz w:val="20"/>
              </w:rPr>
              <w:t>0</w:t>
            </w:r>
          </w:p>
        </w:tc>
        <w:tc>
          <w:tcPr>
            <w:tcW w:w="1184" w:type="dxa"/>
            <w:tcBorders>
              <w:top w:val="nil"/>
              <w:left w:val="nil"/>
              <w:bottom w:val="nil"/>
              <w:right w:val="nil"/>
            </w:tcBorders>
          </w:tcPr>
          <w:p>
            <w:pPr>
              <w:pStyle w:val="TableParagraph"/>
              <w:spacing w:before="48"/>
              <w:ind w:right="146"/>
              <w:rPr>
                <w:sz w:val="20"/>
              </w:rPr>
            </w:pPr>
            <w:r>
              <w:rPr>
                <w:w w:val="100"/>
                <w:sz w:val="20"/>
              </w:rPr>
              <w:t>0</w:t>
            </w:r>
          </w:p>
        </w:tc>
        <w:tc>
          <w:tcPr>
            <w:tcW w:w="1103" w:type="dxa"/>
            <w:tcBorders>
              <w:top w:val="nil"/>
              <w:left w:val="nil"/>
              <w:bottom w:val="nil"/>
              <w:right w:val="nil"/>
            </w:tcBorders>
          </w:tcPr>
          <w:p>
            <w:pPr>
              <w:pStyle w:val="TableParagraph"/>
              <w:spacing w:before="48"/>
              <w:ind w:right="63"/>
              <w:rPr>
                <w:sz w:val="20"/>
              </w:rPr>
            </w:pPr>
            <w:r>
              <w:rPr>
                <w:w w:val="100"/>
                <w:sz w:val="20"/>
              </w:rPr>
              <w:t>0</w:t>
            </w:r>
          </w:p>
        </w:tc>
      </w:tr>
      <w:tr>
        <w:trPr>
          <w:trHeight w:val="346" w:hRule="exact"/>
        </w:trPr>
        <w:tc>
          <w:tcPr>
            <w:tcW w:w="2139" w:type="dxa"/>
            <w:tcBorders>
              <w:top w:val="nil"/>
              <w:left w:val="nil"/>
              <w:bottom w:val="nil"/>
              <w:right w:val="nil"/>
            </w:tcBorders>
          </w:tcPr>
          <w:p>
            <w:pPr>
              <w:pStyle w:val="TableParagraph"/>
              <w:spacing w:before="47"/>
              <w:ind w:left="259"/>
              <w:jc w:val="left"/>
              <w:rPr>
                <w:sz w:val="20"/>
              </w:rPr>
            </w:pPr>
            <w:r>
              <w:rPr>
                <w:sz w:val="20"/>
              </w:rPr>
              <w:t>Egresos (costos)</w:t>
            </w:r>
          </w:p>
        </w:tc>
        <w:tc>
          <w:tcPr>
            <w:tcW w:w="1309" w:type="dxa"/>
            <w:tcBorders>
              <w:top w:val="nil"/>
              <w:left w:val="nil"/>
              <w:bottom w:val="nil"/>
              <w:right w:val="nil"/>
            </w:tcBorders>
          </w:tcPr>
          <w:p>
            <w:pPr/>
          </w:p>
        </w:tc>
        <w:tc>
          <w:tcPr>
            <w:tcW w:w="1184" w:type="dxa"/>
            <w:tcBorders>
              <w:top w:val="nil"/>
              <w:left w:val="nil"/>
              <w:bottom w:val="nil"/>
              <w:right w:val="nil"/>
            </w:tcBorders>
          </w:tcPr>
          <w:p>
            <w:pPr>
              <w:pStyle w:val="TableParagraph"/>
              <w:spacing w:before="47"/>
              <w:ind w:right="143"/>
              <w:rPr>
                <w:sz w:val="20"/>
              </w:rPr>
            </w:pPr>
            <w:r>
              <w:rPr>
                <w:sz w:val="20"/>
              </w:rPr>
              <w:t>2,021,248</w:t>
            </w:r>
          </w:p>
        </w:tc>
        <w:tc>
          <w:tcPr>
            <w:tcW w:w="1181" w:type="dxa"/>
            <w:tcBorders>
              <w:top w:val="nil"/>
              <w:left w:val="nil"/>
              <w:bottom w:val="nil"/>
              <w:right w:val="nil"/>
            </w:tcBorders>
          </w:tcPr>
          <w:p>
            <w:pPr>
              <w:pStyle w:val="TableParagraph"/>
              <w:spacing w:before="47"/>
              <w:ind w:right="143"/>
              <w:rPr>
                <w:sz w:val="20"/>
              </w:rPr>
            </w:pPr>
            <w:r>
              <w:rPr>
                <w:sz w:val="20"/>
              </w:rPr>
              <w:t>2,021,248</w:t>
            </w:r>
          </w:p>
        </w:tc>
        <w:tc>
          <w:tcPr>
            <w:tcW w:w="1181" w:type="dxa"/>
            <w:tcBorders>
              <w:top w:val="nil"/>
              <w:left w:val="nil"/>
              <w:bottom w:val="nil"/>
              <w:right w:val="nil"/>
            </w:tcBorders>
          </w:tcPr>
          <w:p>
            <w:pPr>
              <w:pStyle w:val="TableParagraph"/>
              <w:spacing w:before="47"/>
              <w:ind w:right="143"/>
              <w:rPr>
                <w:sz w:val="20"/>
              </w:rPr>
            </w:pPr>
            <w:r>
              <w:rPr>
                <w:sz w:val="20"/>
              </w:rPr>
              <w:t>2,021,248</w:t>
            </w:r>
          </w:p>
        </w:tc>
        <w:tc>
          <w:tcPr>
            <w:tcW w:w="1184" w:type="dxa"/>
            <w:tcBorders>
              <w:top w:val="nil"/>
              <w:left w:val="nil"/>
              <w:bottom w:val="nil"/>
              <w:right w:val="nil"/>
            </w:tcBorders>
          </w:tcPr>
          <w:p>
            <w:pPr>
              <w:pStyle w:val="TableParagraph"/>
              <w:spacing w:before="47"/>
              <w:ind w:right="146"/>
              <w:rPr>
                <w:sz w:val="20"/>
              </w:rPr>
            </w:pPr>
            <w:r>
              <w:rPr>
                <w:sz w:val="20"/>
              </w:rPr>
              <w:t>2,021,248</w:t>
            </w:r>
          </w:p>
        </w:tc>
        <w:tc>
          <w:tcPr>
            <w:tcW w:w="1103" w:type="dxa"/>
            <w:tcBorders>
              <w:top w:val="nil"/>
              <w:left w:val="nil"/>
              <w:bottom w:val="nil"/>
              <w:right w:val="nil"/>
            </w:tcBorders>
          </w:tcPr>
          <w:p>
            <w:pPr>
              <w:pStyle w:val="TableParagraph"/>
              <w:spacing w:before="47"/>
              <w:ind w:right="63"/>
              <w:rPr>
                <w:sz w:val="20"/>
              </w:rPr>
            </w:pPr>
            <w:r>
              <w:rPr>
                <w:sz w:val="20"/>
              </w:rPr>
              <w:t>2,021,248</w:t>
            </w:r>
          </w:p>
        </w:tc>
      </w:tr>
      <w:tr>
        <w:trPr>
          <w:trHeight w:val="346" w:hRule="exact"/>
        </w:trPr>
        <w:tc>
          <w:tcPr>
            <w:tcW w:w="2139" w:type="dxa"/>
            <w:tcBorders>
              <w:top w:val="nil"/>
              <w:left w:val="nil"/>
              <w:bottom w:val="nil"/>
              <w:right w:val="nil"/>
            </w:tcBorders>
          </w:tcPr>
          <w:p>
            <w:pPr>
              <w:pStyle w:val="TableParagraph"/>
              <w:spacing w:before="47"/>
              <w:ind w:left="311"/>
              <w:jc w:val="left"/>
              <w:rPr>
                <w:sz w:val="20"/>
              </w:rPr>
            </w:pPr>
            <w:r>
              <w:rPr>
                <w:sz w:val="20"/>
              </w:rPr>
              <w:t>ISR</w:t>
            </w:r>
          </w:p>
        </w:tc>
        <w:tc>
          <w:tcPr>
            <w:tcW w:w="1309" w:type="dxa"/>
            <w:tcBorders>
              <w:top w:val="nil"/>
              <w:left w:val="nil"/>
              <w:bottom w:val="nil"/>
              <w:right w:val="nil"/>
            </w:tcBorders>
          </w:tcPr>
          <w:p>
            <w:pPr/>
          </w:p>
        </w:tc>
        <w:tc>
          <w:tcPr>
            <w:tcW w:w="1184" w:type="dxa"/>
            <w:tcBorders>
              <w:top w:val="nil"/>
              <w:left w:val="nil"/>
              <w:bottom w:val="nil"/>
              <w:right w:val="nil"/>
            </w:tcBorders>
          </w:tcPr>
          <w:p>
            <w:pPr>
              <w:pStyle w:val="TableParagraph"/>
              <w:spacing w:before="47"/>
              <w:ind w:right="143"/>
              <w:rPr>
                <w:sz w:val="20"/>
              </w:rPr>
            </w:pPr>
            <w:r>
              <w:rPr>
                <w:w w:val="100"/>
                <w:sz w:val="20"/>
              </w:rPr>
              <w:t>0</w:t>
            </w:r>
          </w:p>
        </w:tc>
        <w:tc>
          <w:tcPr>
            <w:tcW w:w="1181" w:type="dxa"/>
            <w:tcBorders>
              <w:top w:val="nil"/>
              <w:left w:val="nil"/>
              <w:bottom w:val="nil"/>
              <w:right w:val="nil"/>
            </w:tcBorders>
          </w:tcPr>
          <w:p>
            <w:pPr>
              <w:pStyle w:val="TableParagraph"/>
              <w:spacing w:before="47"/>
              <w:ind w:right="143"/>
              <w:rPr>
                <w:sz w:val="20"/>
              </w:rPr>
            </w:pPr>
            <w:r>
              <w:rPr>
                <w:w w:val="100"/>
                <w:sz w:val="20"/>
              </w:rPr>
              <w:t>0</w:t>
            </w:r>
          </w:p>
        </w:tc>
        <w:tc>
          <w:tcPr>
            <w:tcW w:w="1181" w:type="dxa"/>
            <w:tcBorders>
              <w:top w:val="nil"/>
              <w:left w:val="nil"/>
              <w:bottom w:val="nil"/>
              <w:right w:val="nil"/>
            </w:tcBorders>
          </w:tcPr>
          <w:p>
            <w:pPr>
              <w:pStyle w:val="TableParagraph"/>
              <w:spacing w:before="47"/>
              <w:ind w:right="143"/>
              <w:rPr>
                <w:sz w:val="20"/>
              </w:rPr>
            </w:pPr>
            <w:r>
              <w:rPr>
                <w:w w:val="100"/>
                <w:sz w:val="20"/>
              </w:rPr>
              <w:t>0</w:t>
            </w:r>
          </w:p>
        </w:tc>
        <w:tc>
          <w:tcPr>
            <w:tcW w:w="1184" w:type="dxa"/>
            <w:tcBorders>
              <w:top w:val="nil"/>
              <w:left w:val="nil"/>
              <w:bottom w:val="nil"/>
              <w:right w:val="nil"/>
            </w:tcBorders>
          </w:tcPr>
          <w:p>
            <w:pPr>
              <w:pStyle w:val="TableParagraph"/>
              <w:spacing w:before="47"/>
              <w:ind w:right="146"/>
              <w:rPr>
                <w:sz w:val="20"/>
              </w:rPr>
            </w:pPr>
            <w:r>
              <w:rPr>
                <w:w w:val="100"/>
                <w:sz w:val="20"/>
              </w:rPr>
              <w:t>0</w:t>
            </w:r>
          </w:p>
        </w:tc>
        <w:tc>
          <w:tcPr>
            <w:tcW w:w="1103" w:type="dxa"/>
            <w:tcBorders>
              <w:top w:val="nil"/>
              <w:left w:val="nil"/>
              <w:bottom w:val="nil"/>
              <w:right w:val="nil"/>
            </w:tcBorders>
          </w:tcPr>
          <w:p>
            <w:pPr>
              <w:pStyle w:val="TableParagraph"/>
              <w:spacing w:before="47"/>
              <w:ind w:right="63"/>
              <w:rPr>
                <w:sz w:val="20"/>
              </w:rPr>
            </w:pPr>
            <w:r>
              <w:rPr>
                <w:w w:val="100"/>
                <w:sz w:val="20"/>
              </w:rPr>
              <w:t>0</w:t>
            </w:r>
          </w:p>
        </w:tc>
      </w:tr>
      <w:tr>
        <w:trPr>
          <w:trHeight w:val="343" w:hRule="exact"/>
        </w:trPr>
        <w:tc>
          <w:tcPr>
            <w:tcW w:w="2139" w:type="dxa"/>
            <w:tcBorders>
              <w:top w:val="nil"/>
              <w:left w:val="nil"/>
              <w:bottom w:val="nil"/>
              <w:right w:val="nil"/>
            </w:tcBorders>
          </w:tcPr>
          <w:p>
            <w:pPr>
              <w:pStyle w:val="TableParagraph"/>
              <w:spacing w:before="47"/>
              <w:ind w:left="311"/>
              <w:jc w:val="left"/>
              <w:rPr>
                <w:sz w:val="20"/>
              </w:rPr>
            </w:pPr>
            <w:r>
              <w:rPr>
                <w:sz w:val="20"/>
              </w:rPr>
              <w:t>PTU</w:t>
            </w:r>
          </w:p>
        </w:tc>
        <w:tc>
          <w:tcPr>
            <w:tcW w:w="1309" w:type="dxa"/>
            <w:tcBorders>
              <w:top w:val="nil"/>
              <w:left w:val="nil"/>
              <w:bottom w:val="nil"/>
              <w:right w:val="nil"/>
            </w:tcBorders>
          </w:tcPr>
          <w:p>
            <w:pPr/>
          </w:p>
        </w:tc>
        <w:tc>
          <w:tcPr>
            <w:tcW w:w="1184" w:type="dxa"/>
            <w:tcBorders>
              <w:top w:val="nil"/>
              <w:left w:val="nil"/>
              <w:bottom w:val="nil"/>
              <w:right w:val="nil"/>
            </w:tcBorders>
          </w:tcPr>
          <w:p>
            <w:pPr>
              <w:pStyle w:val="TableParagraph"/>
              <w:spacing w:before="47"/>
              <w:ind w:right="143"/>
              <w:rPr>
                <w:sz w:val="20"/>
              </w:rPr>
            </w:pPr>
            <w:r>
              <w:rPr>
                <w:w w:val="100"/>
                <w:sz w:val="20"/>
              </w:rPr>
              <w:t>0</w:t>
            </w:r>
          </w:p>
        </w:tc>
        <w:tc>
          <w:tcPr>
            <w:tcW w:w="1181" w:type="dxa"/>
            <w:tcBorders>
              <w:top w:val="nil"/>
              <w:left w:val="nil"/>
              <w:bottom w:val="nil"/>
              <w:right w:val="nil"/>
            </w:tcBorders>
          </w:tcPr>
          <w:p>
            <w:pPr>
              <w:pStyle w:val="TableParagraph"/>
              <w:spacing w:before="47"/>
              <w:ind w:right="143"/>
              <w:rPr>
                <w:sz w:val="20"/>
              </w:rPr>
            </w:pPr>
            <w:r>
              <w:rPr>
                <w:w w:val="100"/>
                <w:sz w:val="20"/>
              </w:rPr>
              <w:t>0</w:t>
            </w:r>
          </w:p>
        </w:tc>
        <w:tc>
          <w:tcPr>
            <w:tcW w:w="1181" w:type="dxa"/>
            <w:tcBorders>
              <w:top w:val="nil"/>
              <w:left w:val="nil"/>
              <w:bottom w:val="nil"/>
              <w:right w:val="nil"/>
            </w:tcBorders>
          </w:tcPr>
          <w:p>
            <w:pPr>
              <w:pStyle w:val="TableParagraph"/>
              <w:spacing w:before="47"/>
              <w:ind w:right="143"/>
              <w:rPr>
                <w:sz w:val="20"/>
              </w:rPr>
            </w:pPr>
            <w:r>
              <w:rPr>
                <w:w w:val="100"/>
                <w:sz w:val="20"/>
              </w:rPr>
              <w:t>0</w:t>
            </w:r>
          </w:p>
        </w:tc>
        <w:tc>
          <w:tcPr>
            <w:tcW w:w="1184" w:type="dxa"/>
            <w:tcBorders>
              <w:top w:val="nil"/>
              <w:left w:val="nil"/>
              <w:bottom w:val="nil"/>
              <w:right w:val="nil"/>
            </w:tcBorders>
          </w:tcPr>
          <w:p>
            <w:pPr>
              <w:pStyle w:val="TableParagraph"/>
              <w:spacing w:before="47"/>
              <w:ind w:right="146"/>
              <w:rPr>
                <w:sz w:val="20"/>
              </w:rPr>
            </w:pPr>
            <w:r>
              <w:rPr>
                <w:w w:val="100"/>
                <w:sz w:val="20"/>
              </w:rPr>
              <w:t>0</w:t>
            </w:r>
          </w:p>
        </w:tc>
        <w:tc>
          <w:tcPr>
            <w:tcW w:w="1103" w:type="dxa"/>
            <w:tcBorders>
              <w:top w:val="nil"/>
              <w:left w:val="nil"/>
              <w:bottom w:val="nil"/>
              <w:right w:val="nil"/>
            </w:tcBorders>
          </w:tcPr>
          <w:p>
            <w:pPr>
              <w:pStyle w:val="TableParagraph"/>
              <w:spacing w:before="47"/>
              <w:ind w:right="63"/>
              <w:rPr>
                <w:sz w:val="20"/>
              </w:rPr>
            </w:pPr>
            <w:r>
              <w:rPr>
                <w:w w:val="100"/>
                <w:sz w:val="20"/>
              </w:rPr>
              <w:t>0</w:t>
            </w:r>
          </w:p>
        </w:tc>
      </w:tr>
      <w:tr>
        <w:trPr>
          <w:trHeight w:val="343" w:hRule="exact"/>
        </w:trPr>
        <w:tc>
          <w:tcPr>
            <w:tcW w:w="2139" w:type="dxa"/>
            <w:tcBorders>
              <w:top w:val="nil"/>
              <w:left w:val="nil"/>
              <w:bottom w:val="nil"/>
              <w:right w:val="nil"/>
            </w:tcBorders>
          </w:tcPr>
          <w:p>
            <w:pPr>
              <w:pStyle w:val="TableParagraph"/>
              <w:spacing w:before="45"/>
              <w:ind w:left="86"/>
              <w:jc w:val="left"/>
              <w:rPr>
                <w:sz w:val="20"/>
              </w:rPr>
            </w:pPr>
            <w:r>
              <w:rPr>
                <w:sz w:val="20"/>
              </w:rPr>
              <w:t>Factor/actualización</w:t>
            </w:r>
          </w:p>
        </w:tc>
        <w:tc>
          <w:tcPr>
            <w:tcW w:w="1309" w:type="dxa"/>
            <w:tcBorders>
              <w:top w:val="nil"/>
              <w:left w:val="nil"/>
              <w:bottom w:val="nil"/>
              <w:right w:val="nil"/>
            </w:tcBorders>
          </w:tcPr>
          <w:p>
            <w:pPr>
              <w:pStyle w:val="TableParagraph"/>
              <w:spacing w:before="45"/>
              <w:ind w:right="146"/>
              <w:rPr>
                <w:sz w:val="20"/>
              </w:rPr>
            </w:pPr>
            <w:r>
              <w:rPr>
                <w:sz w:val="20"/>
              </w:rPr>
              <w:t>1.000</w:t>
            </w:r>
          </w:p>
        </w:tc>
        <w:tc>
          <w:tcPr>
            <w:tcW w:w="1184" w:type="dxa"/>
            <w:tcBorders>
              <w:top w:val="nil"/>
              <w:left w:val="nil"/>
              <w:bottom w:val="nil"/>
              <w:right w:val="nil"/>
            </w:tcBorders>
          </w:tcPr>
          <w:p>
            <w:pPr>
              <w:pStyle w:val="TableParagraph"/>
              <w:spacing w:before="45"/>
              <w:ind w:right="143"/>
              <w:rPr>
                <w:sz w:val="20"/>
              </w:rPr>
            </w:pPr>
            <w:r>
              <w:rPr>
                <w:sz w:val="20"/>
              </w:rPr>
              <w:t>0.893</w:t>
            </w:r>
          </w:p>
        </w:tc>
        <w:tc>
          <w:tcPr>
            <w:tcW w:w="1181" w:type="dxa"/>
            <w:tcBorders>
              <w:top w:val="nil"/>
              <w:left w:val="nil"/>
              <w:bottom w:val="nil"/>
              <w:right w:val="nil"/>
            </w:tcBorders>
          </w:tcPr>
          <w:p>
            <w:pPr>
              <w:pStyle w:val="TableParagraph"/>
              <w:spacing w:before="45"/>
              <w:ind w:right="143"/>
              <w:rPr>
                <w:sz w:val="20"/>
              </w:rPr>
            </w:pPr>
            <w:r>
              <w:rPr>
                <w:sz w:val="20"/>
              </w:rPr>
              <w:t>0.797</w:t>
            </w:r>
          </w:p>
        </w:tc>
        <w:tc>
          <w:tcPr>
            <w:tcW w:w="1181" w:type="dxa"/>
            <w:tcBorders>
              <w:top w:val="nil"/>
              <w:left w:val="nil"/>
              <w:bottom w:val="nil"/>
              <w:right w:val="nil"/>
            </w:tcBorders>
          </w:tcPr>
          <w:p>
            <w:pPr>
              <w:pStyle w:val="TableParagraph"/>
              <w:spacing w:before="45"/>
              <w:ind w:right="143"/>
              <w:rPr>
                <w:sz w:val="20"/>
              </w:rPr>
            </w:pPr>
            <w:r>
              <w:rPr>
                <w:sz w:val="20"/>
              </w:rPr>
              <w:t>0.712</w:t>
            </w:r>
          </w:p>
        </w:tc>
        <w:tc>
          <w:tcPr>
            <w:tcW w:w="1184" w:type="dxa"/>
            <w:tcBorders>
              <w:top w:val="nil"/>
              <w:left w:val="nil"/>
              <w:bottom w:val="nil"/>
              <w:right w:val="nil"/>
            </w:tcBorders>
          </w:tcPr>
          <w:p>
            <w:pPr>
              <w:pStyle w:val="TableParagraph"/>
              <w:spacing w:before="45"/>
              <w:ind w:right="146"/>
              <w:rPr>
                <w:sz w:val="20"/>
              </w:rPr>
            </w:pPr>
            <w:r>
              <w:rPr>
                <w:sz w:val="20"/>
              </w:rPr>
              <w:t>0.636</w:t>
            </w:r>
          </w:p>
        </w:tc>
        <w:tc>
          <w:tcPr>
            <w:tcW w:w="1103" w:type="dxa"/>
            <w:tcBorders>
              <w:top w:val="nil"/>
              <w:left w:val="nil"/>
              <w:bottom w:val="nil"/>
              <w:right w:val="nil"/>
            </w:tcBorders>
          </w:tcPr>
          <w:p>
            <w:pPr>
              <w:pStyle w:val="TableParagraph"/>
              <w:spacing w:before="45"/>
              <w:ind w:right="63"/>
              <w:rPr>
                <w:sz w:val="20"/>
              </w:rPr>
            </w:pPr>
            <w:r>
              <w:rPr>
                <w:sz w:val="20"/>
              </w:rPr>
              <w:t>0.567</w:t>
            </w:r>
          </w:p>
        </w:tc>
      </w:tr>
      <w:tr>
        <w:trPr>
          <w:trHeight w:val="346" w:hRule="exact"/>
        </w:trPr>
        <w:tc>
          <w:tcPr>
            <w:tcW w:w="2139" w:type="dxa"/>
            <w:tcBorders>
              <w:top w:val="nil"/>
              <w:left w:val="nil"/>
              <w:bottom w:val="nil"/>
              <w:right w:val="nil"/>
            </w:tcBorders>
          </w:tcPr>
          <w:p>
            <w:pPr>
              <w:pStyle w:val="TableParagraph"/>
              <w:spacing w:before="48"/>
              <w:ind w:left="86"/>
              <w:jc w:val="left"/>
              <w:rPr>
                <w:sz w:val="20"/>
              </w:rPr>
            </w:pPr>
            <w:r>
              <w:rPr>
                <w:sz w:val="20"/>
              </w:rPr>
              <w:t>ITA</w:t>
            </w:r>
          </w:p>
        </w:tc>
        <w:tc>
          <w:tcPr>
            <w:tcW w:w="1309" w:type="dxa"/>
            <w:tcBorders>
              <w:top w:val="nil"/>
              <w:left w:val="nil"/>
              <w:bottom w:val="nil"/>
              <w:right w:val="nil"/>
            </w:tcBorders>
          </w:tcPr>
          <w:p>
            <w:pPr>
              <w:pStyle w:val="TableParagraph"/>
              <w:spacing w:before="48"/>
              <w:ind w:right="145"/>
              <w:rPr>
                <w:sz w:val="20"/>
              </w:rPr>
            </w:pPr>
            <w:r>
              <w:rPr>
                <w:w w:val="100"/>
                <w:sz w:val="20"/>
              </w:rPr>
              <w:t>0</w:t>
            </w:r>
          </w:p>
        </w:tc>
        <w:tc>
          <w:tcPr>
            <w:tcW w:w="1184" w:type="dxa"/>
            <w:tcBorders>
              <w:top w:val="nil"/>
              <w:left w:val="nil"/>
              <w:bottom w:val="nil"/>
              <w:right w:val="nil"/>
            </w:tcBorders>
          </w:tcPr>
          <w:p>
            <w:pPr>
              <w:pStyle w:val="TableParagraph"/>
              <w:spacing w:before="48"/>
              <w:ind w:right="143"/>
              <w:rPr>
                <w:sz w:val="20"/>
              </w:rPr>
            </w:pPr>
            <w:r>
              <w:rPr>
                <w:sz w:val="20"/>
              </w:rPr>
              <w:t>2,016,292</w:t>
            </w:r>
          </w:p>
        </w:tc>
        <w:tc>
          <w:tcPr>
            <w:tcW w:w="1181" w:type="dxa"/>
            <w:tcBorders>
              <w:top w:val="nil"/>
              <w:left w:val="nil"/>
              <w:bottom w:val="nil"/>
              <w:right w:val="nil"/>
            </w:tcBorders>
          </w:tcPr>
          <w:p>
            <w:pPr>
              <w:pStyle w:val="TableParagraph"/>
              <w:spacing w:before="48"/>
              <w:ind w:right="143"/>
              <w:rPr>
                <w:sz w:val="20"/>
              </w:rPr>
            </w:pPr>
            <w:r>
              <w:rPr>
                <w:sz w:val="20"/>
              </w:rPr>
              <w:t>1,800,261</w:t>
            </w:r>
          </w:p>
        </w:tc>
        <w:tc>
          <w:tcPr>
            <w:tcW w:w="1181" w:type="dxa"/>
            <w:tcBorders>
              <w:top w:val="nil"/>
              <w:left w:val="nil"/>
              <w:bottom w:val="nil"/>
              <w:right w:val="nil"/>
            </w:tcBorders>
          </w:tcPr>
          <w:p>
            <w:pPr>
              <w:pStyle w:val="TableParagraph"/>
              <w:spacing w:before="48"/>
              <w:ind w:right="143"/>
              <w:rPr>
                <w:sz w:val="20"/>
              </w:rPr>
            </w:pPr>
            <w:r>
              <w:rPr>
                <w:sz w:val="20"/>
              </w:rPr>
              <w:t>1,607,376</w:t>
            </w:r>
          </w:p>
        </w:tc>
        <w:tc>
          <w:tcPr>
            <w:tcW w:w="1184" w:type="dxa"/>
            <w:tcBorders>
              <w:top w:val="nil"/>
              <w:left w:val="nil"/>
              <w:bottom w:val="nil"/>
              <w:right w:val="nil"/>
            </w:tcBorders>
          </w:tcPr>
          <w:p>
            <w:pPr>
              <w:pStyle w:val="TableParagraph"/>
              <w:spacing w:before="48"/>
              <w:ind w:right="146"/>
              <w:rPr>
                <w:sz w:val="20"/>
              </w:rPr>
            </w:pPr>
            <w:r>
              <w:rPr>
                <w:sz w:val="20"/>
              </w:rPr>
              <w:t>1,435,157</w:t>
            </w:r>
          </w:p>
        </w:tc>
        <w:tc>
          <w:tcPr>
            <w:tcW w:w="1103" w:type="dxa"/>
            <w:tcBorders>
              <w:top w:val="nil"/>
              <w:left w:val="nil"/>
              <w:bottom w:val="nil"/>
              <w:right w:val="nil"/>
            </w:tcBorders>
          </w:tcPr>
          <w:p>
            <w:pPr>
              <w:pStyle w:val="TableParagraph"/>
              <w:spacing w:before="48"/>
              <w:ind w:right="63"/>
              <w:rPr>
                <w:sz w:val="20"/>
              </w:rPr>
            </w:pPr>
            <w:r>
              <w:rPr>
                <w:sz w:val="20"/>
              </w:rPr>
              <w:t>1,961,976</w:t>
            </w:r>
          </w:p>
        </w:tc>
      </w:tr>
      <w:tr>
        <w:trPr>
          <w:trHeight w:val="403" w:hRule="exact"/>
        </w:trPr>
        <w:tc>
          <w:tcPr>
            <w:tcW w:w="2139" w:type="dxa"/>
            <w:tcBorders>
              <w:top w:val="nil"/>
              <w:left w:val="nil"/>
              <w:right w:val="nil"/>
            </w:tcBorders>
          </w:tcPr>
          <w:p>
            <w:pPr>
              <w:pStyle w:val="TableParagraph"/>
              <w:spacing w:before="47"/>
              <w:ind w:left="86"/>
              <w:jc w:val="left"/>
              <w:rPr>
                <w:sz w:val="20"/>
              </w:rPr>
            </w:pPr>
            <w:r>
              <w:rPr>
                <w:sz w:val="20"/>
              </w:rPr>
              <w:t>CTA</w:t>
            </w:r>
          </w:p>
        </w:tc>
        <w:tc>
          <w:tcPr>
            <w:tcW w:w="1309" w:type="dxa"/>
            <w:tcBorders>
              <w:top w:val="nil"/>
              <w:left w:val="nil"/>
              <w:right w:val="nil"/>
            </w:tcBorders>
          </w:tcPr>
          <w:p>
            <w:pPr>
              <w:pStyle w:val="TableParagraph"/>
              <w:spacing w:before="47"/>
              <w:ind w:right="146"/>
              <w:rPr>
                <w:sz w:val="20"/>
              </w:rPr>
            </w:pPr>
            <w:r>
              <w:rPr>
                <w:sz w:val="20"/>
              </w:rPr>
              <w:t>1,245,662</w:t>
            </w:r>
          </w:p>
        </w:tc>
        <w:tc>
          <w:tcPr>
            <w:tcW w:w="1184" w:type="dxa"/>
            <w:tcBorders>
              <w:top w:val="nil"/>
              <w:left w:val="nil"/>
              <w:right w:val="nil"/>
            </w:tcBorders>
          </w:tcPr>
          <w:p>
            <w:pPr>
              <w:pStyle w:val="TableParagraph"/>
              <w:spacing w:before="47"/>
              <w:ind w:right="143"/>
              <w:rPr>
                <w:sz w:val="20"/>
              </w:rPr>
            </w:pPr>
            <w:r>
              <w:rPr>
                <w:sz w:val="20"/>
              </w:rPr>
              <w:t>1,804,685</w:t>
            </w:r>
          </w:p>
        </w:tc>
        <w:tc>
          <w:tcPr>
            <w:tcW w:w="1181" w:type="dxa"/>
            <w:tcBorders>
              <w:top w:val="nil"/>
              <w:left w:val="nil"/>
              <w:right w:val="nil"/>
            </w:tcBorders>
          </w:tcPr>
          <w:p>
            <w:pPr>
              <w:pStyle w:val="TableParagraph"/>
              <w:spacing w:before="47"/>
              <w:ind w:right="143"/>
              <w:rPr>
                <w:sz w:val="20"/>
              </w:rPr>
            </w:pPr>
            <w:r>
              <w:rPr>
                <w:sz w:val="20"/>
              </w:rPr>
              <w:t>1,611,326</w:t>
            </w:r>
          </w:p>
        </w:tc>
        <w:tc>
          <w:tcPr>
            <w:tcW w:w="1181" w:type="dxa"/>
            <w:tcBorders>
              <w:top w:val="nil"/>
              <w:left w:val="nil"/>
              <w:right w:val="nil"/>
            </w:tcBorders>
          </w:tcPr>
          <w:p>
            <w:pPr>
              <w:pStyle w:val="TableParagraph"/>
              <w:spacing w:before="47"/>
              <w:ind w:right="143"/>
              <w:rPr>
                <w:sz w:val="20"/>
              </w:rPr>
            </w:pPr>
            <w:r>
              <w:rPr>
                <w:sz w:val="20"/>
              </w:rPr>
              <w:t>1,438,684</w:t>
            </w:r>
          </w:p>
        </w:tc>
        <w:tc>
          <w:tcPr>
            <w:tcW w:w="1184" w:type="dxa"/>
            <w:tcBorders>
              <w:top w:val="nil"/>
              <w:left w:val="nil"/>
              <w:right w:val="nil"/>
            </w:tcBorders>
          </w:tcPr>
          <w:p>
            <w:pPr>
              <w:pStyle w:val="TableParagraph"/>
              <w:spacing w:before="47"/>
              <w:ind w:right="146"/>
              <w:rPr>
                <w:sz w:val="20"/>
              </w:rPr>
            </w:pPr>
            <w:r>
              <w:rPr>
                <w:sz w:val="20"/>
              </w:rPr>
              <w:t>1,284,539</w:t>
            </w:r>
          </w:p>
        </w:tc>
        <w:tc>
          <w:tcPr>
            <w:tcW w:w="1103" w:type="dxa"/>
            <w:tcBorders>
              <w:top w:val="nil"/>
              <w:left w:val="nil"/>
              <w:right w:val="nil"/>
            </w:tcBorders>
          </w:tcPr>
          <w:p>
            <w:pPr>
              <w:pStyle w:val="TableParagraph"/>
              <w:spacing w:before="47"/>
              <w:ind w:right="63"/>
              <w:rPr>
                <w:sz w:val="20"/>
              </w:rPr>
            </w:pPr>
            <w:r>
              <w:rPr>
                <w:sz w:val="20"/>
              </w:rPr>
              <w:t>1,146,910</w:t>
            </w:r>
          </w:p>
        </w:tc>
      </w:tr>
    </w:tbl>
    <w:p>
      <w:pPr>
        <w:pStyle w:val="BodyText"/>
        <w:rPr>
          <w:sz w:val="20"/>
        </w:rPr>
      </w:pPr>
    </w:p>
    <w:p>
      <w:pPr>
        <w:pStyle w:val="Heading3"/>
        <w:spacing w:before="212"/>
        <w:ind w:left="199"/>
      </w:pPr>
      <w:bookmarkStart w:name="_bookmark45" w:id="59"/>
      <w:bookmarkEnd w:id="59"/>
      <w:r>
        <w:rPr>
          <w:b w:val="0"/>
        </w:rPr>
      </w:r>
      <w:r>
        <w:rPr/>
        <w:t>El Valor Actual Neto</w:t>
      </w:r>
    </w:p>
    <w:p>
      <w:pPr>
        <w:pStyle w:val="BodyText"/>
        <w:rPr>
          <w:b/>
        </w:rPr>
      </w:pPr>
    </w:p>
    <w:p>
      <w:pPr>
        <w:pStyle w:val="BodyText"/>
        <w:spacing w:line="360" w:lineRule="auto" w:before="168"/>
        <w:ind w:left="199" w:right="170"/>
        <w:jc w:val="both"/>
      </w:pPr>
      <w:r>
        <w:rPr/>
        <w:t>Por tanto, de los siete indicadores estimados en el Cuadro 15, se afirma que el proyecto de la engorda en corral, se paga y genera una ganancia adicional acumulada, por encima de la tasa de costo de oportunidad de la inversión, es decir, de la TREMA (Tasa de Rentabilidad Mínima Aceptable) de $289,256pesos, equivalente a una rentabilidad (TIR), de los flujos de efectivo anuales, de 18.5%, superior a lo que generaría cualquier otra opción de inversión (costo de oportunidad de la inversión) alterna.</w:t>
      </w:r>
    </w:p>
    <w:p>
      <w:pPr>
        <w:pStyle w:val="BodyText"/>
      </w:pPr>
    </w:p>
    <w:p>
      <w:pPr>
        <w:pStyle w:val="Heading3"/>
        <w:spacing w:before="178"/>
        <w:ind w:left="199"/>
      </w:pPr>
      <w:bookmarkStart w:name="_bookmark46" w:id="60"/>
      <w:bookmarkEnd w:id="60"/>
      <w:r>
        <w:rPr>
          <w:b w:val="0"/>
        </w:rPr>
      </w:r>
      <w:r>
        <w:rPr/>
        <w:t>La Tasa de Rentabilidad Financiera</w:t>
      </w:r>
    </w:p>
    <w:p>
      <w:pPr>
        <w:pStyle w:val="BodyText"/>
        <w:rPr>
          <w:b/>
        </w:rPr>
      </w:pPr>
    </w:p>
    <w:p>
      <w:pPr>
        <w:pStyle w:val="BodyText"/>
        <w:spacing w:line="360" w:lineRule="auto" w:before="168"/>
        <w:ind w:left="199" w:right="171"/>
        <w:jc w:val="both"/>
      </w:pPr>
      <w:r>
        <w:rPr/>
        <w:t>La Tasa Interna de Retorno (TIR) o de rentabilidad financiera, como indicador de rentabilidad tradicional, en evaluación de proyectos (Weston y Brigham, 1994), </w:t>
      </w:r>
      <w:r>
        <w:rPr>
          <w:spacing w:val="-3"/>
        </w:rPr>
        <w:t>se </w:t>
      </w:r>
      <w:r>
        <w:rPr/>
        <w:t>ubicó en 18.5%, número superior al 12% de TREMA. Con tal resultado, el proyecto debe aceptarse, debido a que los flujos de efectivo, al reinvertirse a </w:t>
      </w:r>
      <w:r>
        <w:rPr>
          <w:spacing w:val="3"/>
        </w:rPr>
        <w:t>esta  </w:t>
      </w:r>
      <w:r>
        <w:rPr/>
        <w:t>tasa generan la rentabilidad monetaria expresada a través del VAN y el resto de los indicadores. En sí, la TIR, representa la ganancia relativa que genera este </w:t>
      </w:r>
      <w:r>
        <w:rPr>
          <w:spacing w:val="62"/>
        </w:rPr>
        <w:t> </w:t>
      </w:r>
      <w:r>
        <w:rPr/>
        <w:t>proyecto,</w:t>
      </w:r>
    </w:p>
    <w:p>
      <w:pPr>
        <w:spacing w:after="0" w:line="360" w:lineRule="auto"/>
        <w:jc w:val="both"/>
        <w:sectPr>
          <w:pgSz w:w="12240" w:h="15840"/>
          <w:pgMar w:header="0" w:footer="1180" w:top="1360" w:bottom="1380" w:left="1500" w:right="1240"/>
        </w:sectPr>
      </w:pPr>
    </w:p>
    <w:p>
      <w:pPr>
        <w:pStyle w:val="BodyText"/>
        <w:spacing w:line="362" w:lineRule="auto" w:before="52"/>
        <w:ind w:left="119" w:right="111"/>
        <w:jc w:val="both"/>
      </w:pPr>
      <w:r>
        <w:rPr/>
        <w:t>en toda su vida útil, por encima de la tasa de actualización, lo que debe considerarse como alternativa de inversión aceptable.</w:t>
      </w:r>
    </w:p>
    <w:p>
      <w:pPr>
        <w:pStyle w:val="BodyText"/>
      </w:pPr>
    </w:p>
    <w:p>
      <w:pPr>
        <w:pStyle w:val="Heading3"/>
        <w:spacing w:before="171"/>
      </w:pPr>
      <w:bookmarkStart w:name="_bookmark47" w:id="61"/>
      <w:bookmarkEnd w:id="61"/>
      <w:r>
        <w:rPr>
          <w:b w:val="0"/>
        </w:rPr>
      </w:r>
      <w:r>
        <w:rPr/>
        <w:t>La Tasa Verdadera de Rentabilidad</w:t>
      </w:r>
    </w:p>
    <w:p>
      <w:pPr>
        <w:pStyle w:val="BodyText"/>
        <w:rPr>
          <w:b/>
        </w:rPr>
      </w:pPr>
    </w:p>
    <w:p>
      <w:pPr>
        <w:pStyle w:val="BodyText"/>
        <w:spacing w:line="360" w:lineRule="auto" w:before="168"/>
        <w:ind w:left="119" w:right="111"/>
        <w:jc w:val="both"/>
      </w:pPr>
      <w:r>
        <w:rPr/>
        <w:t>Por su parte, debido a que la TIRM o TVR, supone que los flujos de efectivo se reinvierten a la tasa </w:t>
      </w:r>
      <w:r>
        <w:rPr>
          <w:spacing w:val="-3"/>
        </w:rPr>
        <w:t>del </w:t>
      </w:r>
      <w:r>
        <w:rPr/>
        <w:t>costo del capital, lo cual, casi siempre es cierto (Weston y Brigham, 1994), la verdadera rentabilidad de este proyecto es cuando la TVR  alcanza un valor de 16.8%. La TIRM es mayor que la TREMA; por tanto, con base en este indicador, el proyecto de la engorda en corral, debe</w:t>
      </w:r>
      <w:r>
        <w:rPr>
          <w:spacing w:val="-32"/>
        </w:rPr>
        <w:t> </w:t>
      </w:r>
      <w:r>
        <w:rPr/>
        <w:t>aceptarse.</w:t>
      </w:r>
    </w:p>
    <w:p>
      <w:pPr>
        <w:pStyle w:val="BodyText"/>
      </w:pPr>
    </w:p>
    <w:p>
      <w:pPr>
        <w:pStyle w:val="Heading3"/>
        <w:spacing w:before="173"/>
      </w:pPr>
      <w:bookmarkStart w:name="_bookmark48" w:id="62"/>
      <w:bookmarkEnd w:id="62"/>
      <w:r>
        <w:rPr>
          <w:b w:val="0"/>
        </w:rPr>
      </w:r>
      <w:r>
        <w:rPr/>
        <w:t>El Retorno Sobre la Inversión</w:t>
      </w:r>
    </w:p>
    <w:p>
      <w:pPr>
        <w:pStyle w:val="BodyText"/>
        <w:rPr>
          <w:b/>
        </w:rPr>
      </w:pPr>
    </w:p>
    <w:p>
      <w:pPr>
        <w:pStyle w:val="BodyText"/>
        <w:spacing w:line="360" w:lineRule="auto" w:before="168"/>
        <w:ind w:left="119" w:right="116"/>
        <w:jc w:val="both"/>
      </w:pPr>
      <w:r>
        <w:rPr/>
        <w:t>Durante toda la vida útil del proyecto dela engorda en corral, por cada peso invertido de forma inicial (RSI), el proyecto podría generar una ganancia de 23 centavos.</w:t>
      </w:r>
    </w:p>
    <w:p>
      <w:pPr>
        <w:pStyle w:val="BodyText"/>
      </w:pPr>
    </w:p>
    <w:p>
      <w:pPr>
        <w:pStyle w:val="Heading3"/>
        <w:spacing w:before="140"/>
      </w:pPr>
      <w:r>
        <w:rPr/>
        <w:t>La relación Beneficio-Costo</w:t>
      </w:r>
    </w:p>
    <w:p>
      <w:pPr>
        <w:pStyle w:val="BodyText"/>
        <w:rPr>
          <w:b/>
        </w:rPr>
      </w:pPr>
    </w:p>
    <w:p>
      <w:pPr>
        <w:pStyle w:val="BodyText"/>
        <w:spacing w:before="11"/>
        <w:rPr>
          <w:b/>
          <w:sz w:val="27"/>
        </w:rPr>
      </w:pPr>
    </w:p>
    <w:p>
      <w:pPr>
        <w:pStyle w:val="BodyText"/>
        <w:spacing w:line="360" w:lineRule="auto"/>
        <w:ind w:left="119" w:right="128"/>
        <w:jc w:val="both"/>
      </w:pPr>
      <w:r>
        <w:rPr/>
        <w:t>En adición, por cada peso total invertido (RB/C) en el proyecto, se recuperará ese peso y se generarían poco más de tres centavos de ganancia.</w:t>
      </w:r>
    </w:p>
    <w:p>
      <w:pPr>
        <w:pStyle w:val="BodyText"/>
        <w:spacing w:before="9"/>
        <w:rPr>
          <w:sz w:val="32"/>
        </w:rPr>
      </w:pPr>
    </w:p>
    <w:p>
      <w:pPr>
        <w:pStyle w:val="Heading3"/>
      </w:pPr>
      <w:bookmarkStart w:name="_bookmark49" w:id="63"/>
      <w:bookmarkEnd w:id="63"/>
      <w:r>
        <w:rPr>
          <w:b w:val="0"/>
        </w:rPr>
      </w:r>
      <w:r>
        <w:rPr/>
        <w:t>El Índice de Deseabilidad</w:t>
      </w:r>
    </w:p>
    <w:p>
      <w:pPr>
        <w:pStyle w:val="BodyText"/>
        <w:rPr>
          <w:b/>
        </w:rPr>
      </w:pPr>
    </w:p>
    <w:p>
      <w:pPr>
        <w:pStyle w:val="BodyText"/>
        <w:spacing w:line="360" w:lineRule="auto" w:before="168"/>
        <w:ind w:left="119" w:right="116"/>
        <w:jc w:val="both"/>
      </w:pPr>
      <w:r>
        <w:rPr/>
        <w:t>El ID (Índice de Deseabilidad) (Benítez, 2015), permite deducir que una vez pagada la inversión total, el proyecto generará como ganancia por peso invertido poco menos que 50</w:t>
      </w:r>
      <w:r>
        <w:rPr>
          <w:spacing w:val="-1"/>
        </w:rPr>
        <w:t> </w:t>
      </w:r>
      <w:r>
        <w:rPr/>
        <w:t>centavos.</w:t>
      </w:r>
    </w:p>
    <w:p>
      <w:pPr>
        <w:pStyle w:val="BodyText"/>
      </w:pPr>
    </w:p>
    <w:p>
      <w:pPr>
        <w:pStyle w:val="Heading3"/>
        <w:spacing w:before="178"/>
      </w:pPr>
      <w:bookmarkStart w:name="_bookmark50" w:id="64"/>
      <w:bookmarkEnd w:id="64"/>
      <w:r>
        <w:rPr>
          <w:b w:val="0"/>
        </w:rPr>
      </w:r>
      <w:r>
        <w:rPr/>
        <w:t>EL Periodo de Recuperación</w:t>
      </w:r>
    </w:p>
    <w:p>
      <w:pPr>
        <w:pStyle w:val="BodyText"/>
        <w:rPr>
          <w:b/>
        </w:rPr>
      </w:pPr>
    </w:p>
    <w:p>
      <w:pPr>
        <w:pStyle w:val="BodyText"/>
        <w:spacing w:line="362" w:lineRule="auto" w:before="163"/>
        <w:ind w:left="119" w:right="111"/>
        <w:jc w:val="both"/>
      </w:pPr>
      <w:r>
        <w:rPr/>
        <w:t>Finalmente, en términos de tiempo, el proyecto se paga en 4.6 años, por lo que, al no tener más alternativas de inversión del capital inicial, se sugiere su ejecución.</w:t>
      </w:r>
    </w:p>
    <w:p>
      <w:pPr>
        <w:spacing w:after="0" w:line="362" w:lineRule="auto"/>
        <w:jc w:val="both"/>
        <w:sectPr>
          <w:pgSz w:w="12240" w:h="15840"/>
          <w:pgMar w:header="0" w:footer="1180" w:top="1360" w:bottom="1380" w:left="1580" w:right="1300"/>
        </w:sectPr>
      </w:pPr>
    </w:p>
    <w:p>
      <w:pPr>
        <w:pStyle w:val="BodyText"/>
        <w:spacing w:line="360" w:lineRule="auto" w:before="52"/>
        <w:ind w:left="119" w:right="111"/>
        <w:jc w:val="both"/>
      </w:pPr>
      <w:r>
        <w:rPr/>
        <w:t>En este sentido, debido a que existe diferencia aceptable entre la TREMA (Tasa de Rentabilidad Mínima Aceptable), a la que </w:t>
      </w:r>
      <w:r>
        <w:rPr>
          <w:spacing w:val="-3"/>
        </w:rPr>
        <w:t>se </w:t>
      </w:r>
      <w:r>
        <w:rPr/>
        <w:t>evaluó el proyecto y la </w:t>
      </w:r>
      <w:r>
        <w:rPr>
          <w:spacing w:val="4"/>
        </w:rPr>
        <w:t>TVR </w:t>
      </w:r>
      <w:r>
        <w:rPr/>
        <w:t>o TIRM obtenida, esto es, la TREMA fue 12% y la TVR16.8. Lo anterior significa un argumento de peso para afirmar que el proyecto no presenta riesgo importante de incurrir en pérdidas, debido a situaciones de incertidumbre entre las dos variables independientes </w:t>
      </w:r>
      <w:r>
        <w:rPr>
          <w:spacing w:val="-3"/>
        </w:rPr>
        <w:t>más </w:t>
      </w:r>
      <w:r>
        <w:rPr/>
        <w:t>importantes de la evaluación (precio de venta y volumen de producción (Baca, 2013), que podrían darse de acuerdo a la situación económica  que prevalece tanto en México, en la región y a nivel local, así como por factores externos a la economía</w:t>
      </w:r>
      <w:r>
        <w:rPr>
          <w:spacing w:val="-9"/>
        </w:rPr>
        <w:t> </w:t>
      </w:r>
      <w:r>
        <w:rPr/>
        <w:t>nacional.</w:t>
      </w:r>
    </w:p>
    <w:p>
      <w:pPr>
        <w:pStyle w:val="BodyText"/>
      </w:pPr>
    </w:p>
    <w:p>
      <w:pPr>
        <w:pStyle w:val="BodyText"/>
        <w:spacing w:line="360" w:lineRule="auto" w:before="144"/>
        <w:ind w:left="119" w:right="128"/>
        <w:jc w:val="both"/>
      </w:pPr>
      <w:r>
        <w:rPr/>
        <w:t>Finalmente, por los resultados de los indicadores de rentabilidad del proyecto del rastro TIF, se concluye y se confirma que debe ejecutarse la propuesta.</w:t>
      </w:r>
    </w:p>
    <w:p>
      <w:pPr>
        <w:spacing w:after="0" w:line="360" w:lineRule="auto"/>
        <w:jc w:val="both"/>
        <w:sectPr>
          <w:pgSz w:w="12240" w:h="15840"/>
          <w:pgMar w:header="0" w:footer="1180" w:top="1360" w:bottom="1380" w:left="1580" w:right="1300"/>
        </w:sectPr>
      </w:pPr>
    </w:p>
    <w:p>
      <w:pPr>
        <w:pStyle w:val="Heading1"/>
        <w:numPr>
          <w:ilvl w:val="1"/>
          <w:numId w:val="4"/>
        </w:numPr>
        <w:tabs>
          <w:tab w:pos="1200" w:val="left" w:leader="none"/>
          <w:tab w:pos="1201" w:val="left" w:leader="none"/>
        </w:tabs>
        <w:spacing w:line="240" w:lineRule="auto" w:before="48" w:after="0"/>
        <w:ind w:left="1200" w:right="0" w:hanging="720"/>
        <w:jc w:val="left"/>
      </w:pPr>
      <w:bookmarkStart w:name="_bookmark51" w:id="65"/>
      <w:bookmarkEnd w:id="65"/>
      <w:r>
        <w:rPr>
          <w:b w:val="0"/>
        </w:rPr>
      </w:r>
      <w:bookmarkStart w:name="_bookmark51" w:id="66"/>
      <w:bookmarkEnd w:id="66"/>
      <w:r>
        <w:rPr/>
        <w:t>CONC</w:t>
      </w:r>
      <w:r>
        <w:rPr/>
        <w:t>LUSIONES</w:t>
      </w:r>
    </w:p>
    <w:p>
      <w:pPr>
        <w:pStyle w:val="BodyText"/>
        <w:rPr>
          <w:b/>
          <w:sz w:val="28"/>
        </w:rPr>
      </w:pPr>
    </w:p>
    <w:p>
      <w:pPr>
        <w:pStyle w:val="BodyText"/>
        <w:rPr>
          <w:b/>
          <w:sz w:val="28"/>
        </w:rPr>
      </w:pPr>
    </w:p>
    <w:p>
      <w:pPr>
        <w:pStyle w:val="BodyText"/>
        <w:rPr>
          <w:b/>
          <w:sz w:val="28"/>
        </w:rPr>
      </w:pPr>
    </w:p>
    <w:p>
      <w:pPr>
        <w:pStyle w:val="BodyText"/>
        <w:spacing w:before="7"/>
        <w:rPr>
          <w:b/>
          <w:sz w:val="33"/>
        </w:rPr>
      </w:pPr>
    </w:p>
    <w:p>
      <w:pPr>
        <w:pStyle w:val="BodyText"/>
        <w:spacing w:line="259" w:lineRule="auto"/>
        <w:ind w:left="119" w:right="182"/>
      </w:pPr>
      <w:r>
        <w:rPr/>
        <w:t>La engorda de bovinos en corral es rentable y competitiva, ya que presenta una ganancia promedio positiva.</w:t>
      </w:r>
    </w:p>
    <w:p>
      <w:pPr>
        <w:pStyle w:val="BodyText"/>
      </w:pPr>
    </w:p>
    <w:p>
      <w:pPr>
        <w:pStyle w:val="BodyText"/>
        <w:spacing w:before="10"/>
        <w:rPr>
          <w:sz w:val="29"/>
        </w:rPr>
      </w:pPr>
    </w:p>
    <w:p>
      <w:pPr>
        <w:pStyle w:val="BodyText"/>
        <w:spacing w:line="259" w:lineRule="auto"/>
        <w:ind w:left="119" w:right="182"/>
      </w:pPr>
      <w:r>
        <w:rPr/>
        <w:t>A mayor sea la cantidad de toretes a engordar mayor será la rentabilidad del proyecto.</w:t>
      </w:r>
    </w:p>
    <w:p>
      <w:pPr>
        <w:pStyle w:val="BodyText"/>
      </w:pPr>
    </w:p>
    <w:p>
      <w:pPr>
        <w:pStyle w:val="BodyText"/>
        <w:spacing w:before="9"/>
        <w:rPr>
          <w:sz w:val="29"/>
        </w:rPr>
      </w:pPr>
    </w:p>
    <w:p>
      <w:pPr>
        <w:pStyle w:val="BodyText"/>
        <w:spacing w:line="259" w:lineRule="auto" w:before="1"/>
        <w:ind w:left="119" w:right="182"/>
      </w:pPr>
      <w:r>
        <w:rPr/>
        <w:t>La engorda de ganado bovino en la región continua siendo actividad rentable ya que los ingresos recibidos por laventa del ganado son altos.</w:t>
      </w:r>
    </w:p>
    <w:p>
      <w:pPr>
        <w:pStyle w:val="BodyText"/>
      </w:pPr>
    </w:p>
    <w:p>
      <w:pPr>
        <w:pStyle w:val="BodyText"/>
        <w:spacing w:before="9"/>
        <w:rPr>
          <w:sz w:val="29"/>
        </w:rPr>
      </w:pPr>
    </w:p>
    <w:p>
      <w:pPr>
        <w:pStyle w:val="BodyText"/>
        <w:spacing w:line="259" w:lineRule="auto" w:before="1"/>
        <w:ind w:left="119" w:right="182"/>
      </w:pPr>
      <w:r>
        <w:rPr/>
        <w:t>A nivel municipal el llevar a cabo un proyecto de este tipo es rentable, ya que la demanda de carne día a día es mayor.</w:t>
      </w:r>
    </w:p>
    <w:p>
      <w:pPr>
        <w:pStyle w:val="BodyText"/>
      </w:pPr>
    </w:p>
    <w:p>
      <w:pPr>
        <w:pStyle w:val="BodyText"/>
        <w:spacing w:before="5"/>
        <w:rPr>
          <w:sz w:val="29"/>
        </w:rPr>
      </w:pPr>
    </w:p>
    <w:p>
      <w:pPr>
        <w:pStyle w:val="BodyText"/>
        <w:spacing w:line="259" w:lineRule="auto"/>
        <w:ind w:left="119" w:right="182"/>
      </w:pPr>
      <w:r>
        <w:rPr/>
        <w:t>Para le realización de un proyecto de este tipo es recomendable solicitar un  préstamo para llevar a cabo el mismo ya que es un proyecto</w:t>
      </w:r>
      <w:r>
        <w:rPr>
          <w:spacing w:val="-20"/>
        </w:rPr>
        <w:t> </w:t>
      </w:r>
      <w:r>
        <w:rPr/>
        <w:t>rentable.</w:t>
      </w:r>
    </w:p>
    <w:p>
      <w:pPr>
        <w:pStyle w:val="BodyText"/>
      </w:pPr>
    </w:p>
    <w:p>
      <w:pPr>
        <w:pStyle w:val="BodyText"/>
        <w:spacing w:before="10"/>
        <w:rPr>
          <w:sz w:val="29"/>
        </w:rPr>
      </w:pPr>
    </w:p>
    <w:p>
      <w:pPr>
        <w:pStyle w:val="BodyText"/>
        <w:spacing w:line="259" w:lineRule="auto"/>
        <w:ind w:left="119" w:right="182"/>
      </w:pPr>
      <w:r>
        <w:rPr/>
        <w:t>La relación de costo privado indico eficiencia y competitividad en el uso de recursos entre los más importantes se encuentra mano de obra y capital.</w:t>
      </w:r>
    </w:p>
    <w:p>
      <w:pPr>
        <w:spacing w:after="0" w:line="259" w:lineRule="auto"/>
        <w:sectPr>
          <w:pgSz w:w="12240" w:h="15840"/>
          <w:pgMar w:header="0" w:footer="1180" w:top="1360" w:bottom="1380" w:left="1580" w:right="1300"/>
        </w:sectPr>
      </w:pPr>
    </w:p>
    <w:p>
      <w:pPr>
        <w:pStyle w:val="Heading1"/>
        <w:numPr>
          <w:ilvl w:val="1"/>
          <w:numId w:val="4"/>
        </w:numPr>
        <w:tabs>
          <w:tab w:pos="1200" w:val="left" w:leader="none"/>
          <w:tab w:pos="1201" w:val="left" w:leader="none"/>
        </w:tabs>
        <w:spacing w:line="240" w:lineRule="auto" w:before="48" w:after="0"/>
        <w:ind w:left="1200" w:right="0" w:hanging="720"/>
        <w:jc w:val="left"/>
      </w:pPr>
      <w:bookmarkStart w:name="_bookmark52" w:id="67"/>
      <w:bookmarkEnd w:id="67"/>
      <w:r>
        <w:rPr>
          <w:b w:val="0"/>
        </w:rPr>
      </w:r>
      <w:bookmarkStart w:name="_bookmark52" w:id="68"/>
      <w:bookmarkEnd w:id="68"/>
      <w:r>
        <w:rPr/>
        <w:t>R</w:t>
      </w:r>
      <w:r>
        <w:rPr/>
        <w:t>ECOMENDACIONES</w:t>
      </w:r>
    </w:p>
    <w:p>
      <w:pPr>
        <w:pStyle w:val="BodyText"/>
        <w:rPr>
          <w:b/>
          <w:sz w:val="28"/>
        </w:rPr>
      </w:pPr>
    </w:p>
    <w:p>
      <w:pPr>
        <w:pStyle w:val="BodyText"/>
        <w:spacing w:line="259" w:lineRule="auto" w:before="180"/>
        <w:ind w:left="119" w:right="106"/>
        <w:jc w:val="both"/>
      </w:pPr>
      <w:r>
        <w:rPr/>
        <w:t>Se recomienda a todos los engordadores que lleven un registro total de todos sus egresos para que así pueden sacar una ganancia neta más segura y eficaz.</w:t>
      </w:r>
    </w:p>
    <w:p>
      <w:pPr>
        <w:pStyle w:val="BodyText"/>
      </w:pPr>
    </w:p>
    <w:p>
      <w:pPr>
        <w:pStyle w:val="BodyText"/>
        <w:spacing w:before="9"/>
        <w:rPr>
          <w:sz w:val="29"/>
        </w:rPr>
      </w:pPr>
    </w:p>
    <w:p>
      <w:pPr>
        <w:pStyle w:val="BodyText"/>
        <w:spacing w:line="259" w:lineRule="auto" w:before="1"/>
        <w:ind w:left="119" w:right="107"/>
        <w:jc w:val="both"/>
      </w:pPr>
      <w:r>
        <w:rPr/>
        <w:t>Al realizar un proyecto de este tipo, los engordadores deben tomar en cuenta el pago de su mano de obra para saber realmente la ganancia que se obtiene.</w:t>
      </w:r>
    </w:p>
    <w:p>
      <w:pPr>
        <w:pStyle w:val="BodyText"/>
      </w:pPr>
    </w:p>
    <w:p>
      <w:pPr>
        <w:pStyle w:val="BodyText"/>
        <w:spacing w:before="10"/>
        <w:rPr>
          <w:sz w:val="29"/>
        </w:rPr>
      </w:pPr>
    </w:p>
    <w:p>
      <w:pPr>
        <w:pStyle w:val="BodyText"/>
        <w:spacing w:line="259" w:lineRule="auto"/>
        <w:ind w:left="119" w:right="107"/>
        <w:jc w:val="both"/>
      </w:pPr>
      <w:r>
        <w:rPr/>
        <w:t>Se le recomienda a los engordadores producir parte delos insumos necesarios para la alimentación de los toretes para que así las utilidades sean mayores y sus egresos reduzcan.</w:t>
      </w:r>
    </w:p>
    <w:p>
      <w:pPr>
        <w:pStyle w:val="BodyText"/>
      </w:pPr>
    </w:p>
    <w:p>
      <w:pPr>
        <w:pStyle w:val="BodyText"/>
        <w:spacing w:before="10"/>
        <w:rPr>
          <w:sz w:val="29"/>
        </w:rPr>
      </w:pPr>
    </w:p>
    <w:p>
      <w:pPr>
        <w:pStyle w:val="BodyText"/>
        <w:spacing w:line="259" w:lineRule="auto"/>
        <w:ind w:left="119" w:right="102"/>
        <w:jc w:val="both"/>
      </w:pPr>
      <w:r>
        <w:rPr/>
        <w:t>Para realizar un proyecto de este tipo es recomendable llevarlo a cabo en tiempo de secas ya que será en corral rustico abierto.</w:t>
      </w:r>
    </w:p>
    <w:p>
      <w:pPr>
        <w:spacing w:after="0" w:line="259" w:lineRule="auto"/>
        <w:jc w:val="both"/>
        <w:sectPr>
          <w:pgSz w:w="12240" w:h="15840"/>
          <w:pgMar w:header="0" w:footer="1180" w:top="1360" w:bottom="1380" w:left="1580" w:right="1320"/>
        </w:sectPr>
      </w:pPr>
    </w:p>
    <w:p>
      <w:pPr>
        <w:pStyle w:val="Heading1"/>
        <w:tabs>
          <w:tab w:pos="3188" w:val="left" w:leader="none"/>
        </w:tabs>
        <w:ind w:left="2467" w:right="182"/>
        <w:jc w:val="left"/>
      </w:pPr>
      <w:bookmarkStart w:name="_bookmark53" w:id="69"/>
      <w:bookmarkEnd w:id="69"/>
      <w:r>
        <w:rPr>
          <w:b w:val="0"/>
        </w:rPr>
      </w:r>
      <w:r>
        <w:rPr/>
        <w:t>VIII.</w:t>
        <w:tab/>
        <w:t>BIBLIOGRAFÍA</w:t>
      </w:r>
      <w:r>
        <w:rPr>
          <w:spacing w:val="-9"/>
        </w:rPr>
        <w:t> </w:t>
      </w:r>
      <w:r>
        <w:rPr/>
        <w:t>CONSULTADA</w:t>
      </w:r>
    </w:p>
    <w:p>
      <w:pPr>
        <w:pStyle w:val="BodyText"/>
        <w:spacing w:before="9"/>
        <w:rPr>
          <w:b/>
          <w:sz w:val="40"/>
        </w:rPr>
      </w:pPr>
    </w:p>
    <w:p>
      <w:pPr>
        <w:pStyle w:val="BodyText"/>
        <w:spacing w:line="360" w:lineRule="auto"/>
        <w:ind w:left="830" w:right="113" w:hanging="711"/>
        <w:jc w:val="both"/>
      </w:pPr>
      <w:r>
        <w:rPr/>
        <w:t>Albarrán, P. B., García-Martínez, A., Hernández, M. J., Rebollar, R. Samuel., Rojo, R. R., Avilés, N. F., Espinoza, O. A., Esparza, J. S., Figueroa., S. A., Quintero, S. A., Bautista, N. H. y Arriaga, J. C. M. 2008. Caracterización del sistema de producción de leche en una comunidad campesina en el centro de México. IV Congreso Internacional de la Red SIAL, ALFATER 2008. Alimentación, Agricultura Familiar y Territorio. Mar del Plata, Argentina. 27 al 31 de Octubre de 2008. Eje 1: Trabajo 46. 1-23.</w:t>
      </w:r>
    </w:p>
    <w:p>
      <w:pPr>
        <w:pStyle w:val="BodyText"/>
        <w:spacing w:line="360" w:lineRule="auto" w:before="2"/>
        <w:ind w:left="830" w:right="112" w:hanging="711"/>
        <w:jc w:val="both"/>
      </w:pPr>
      <w:r>
        <w:rPr/>
        <w:t>Albarrán Portillo B., Avilés Nova F., García Martínez., Rebollar Rebollar Samuel.,  Ortiz Rodea A y Salas Reyes I.G. 2014. La producción de bovinos de doble propósito en el trópico seco del centro de México y </w:t>
      </w:r>
      <w:r>
        <w:rPr>
          <w:spacing w:val="4"/>
        </w:rPr>
        <w:t>su </w:t>
      </w:r>
      <w:r>
        <w:rPr/>
        <w:t>contribución al desarrollo rural sustentable. En: Arriaga-Jordán, C. M. y Anaya-Ortega, J. P. Contribución de la producción animal en pequeña escala al desarrollo rural. México, D. F. Ed Reverté. 101-118</w:t>
      </w:r>
      <w:r>
        <w:rPr>
          <w:spacing w:val="-13"/>
        </w:rPr>
        <w:t> </w:t>
      </w:r>
      <w:r>
        <w:rPr/>
        <w:t>p.</w:t>
      </w:r>
    </w:p>
    <w:p>
      <w:pPr>
        <w:pStyle w:val="BodyText"/>
        <w:spacing w:line="360" w:lineRule="auto" w:before="3"/>
        <w:ind w:left="830" w:right="117" w:hanging="711"/>
        <w:jc w:val="both"/>
      </w:pPr>
      <w:r>
        <w:rPr/>
        <w:t>Arriaga-Jordán, C. M., Albarrán-Portillo, B., Espinoza-Ortega, A., García-Martínez, A., Castelán-Ortega. 2002. On-farm comparison of feeding strategies base on forages for small-scale dairy production systems in the highlands of central Mexico. Experimental Agriculture. 38:375-388.</w:t>
      </w:r>
    </w:p>
    <w:p>
      <w:pPr>
        <w:pStyle w:val="BodyText"/>
        <w:spacing w:before="3"/>
        <w:ind w:left="119" w:right="110"/>
      </w:pPr>
      <w:r>
        <w:rPr/>
        <w:t>Baca, U. G. 2013. Evaluación de proyectos. Séptima Edición. Editorial    McGraw Hill.</w:t>
      </w:r>
    </w:p>
    <w:p>
      <w:pPr>
        <w:pStyle w:val="BodyText"/>
        <w:spacing w:before="137"/>
        <w:ind w:left="830" w:right="182"/>
      </w:pPr>
      <w:r>
        <w:rPr/>
        <w:t>México, D. F. 318 p.</w:t>
      </w:r>
    </w:p>
    <w:p>
      <w:pPr>
        <w:pStyle w:val="BodyText"/>
        <w:spacing w:line="362" w:lineRule="auto" w:before="137"/>
        <w:ind w:left="830" w:right="118" w:hanging="711"/>
        <w:jc w:val="both"/>
      </w:pPr>
      <w:r>
        <w:rPr/>
        <w:t>Bennett, A., Lhoste, F., Crook-Jay, P. J. 2006. Futuro de la producción lechera en pequeña escala. Informe pecuario.</w:t>
      </w:r>
    </w:p>
    <w:p>
      <w:pPr>
        <w:pStyle w:val="BodyText"/>
        <w:spacing w:line="360" w:lineRule="auto"/>
        <w:ind w:left="830" w:right="118" w:hanging="711"/>
        <w:jc w:val="both"/>
      </w:pPr>
      <w:r>
        <w:rPr/>
        <w:t>Benítez, J. M., Rebollar, R. S.,Hernández, M. J., González, R. F. J., Gómez, T. G. 2015. Viabilidad económica para la producción y venta de tilapia (</w:t>
      </w:r>
      <w:r>
        <w:rPr>
          <w:i/>
        </w:rPr>
        <w:t>Oreochromisniloticus</w:t>
      </w:r>
      <w:r>
        <w:rPr/>
        <w:t>) en Amatepec, Estado de México. Revista </w:t>
      </w:r>
      <w:r>
        <w:rPr>
          <w:i/>
        </w:rPr>
        <w:t>Mexicana de </w:t>
      </w:r>
      <w:r>
        <w:rPr>
          <w:i/>
        </w:rPr>
        <w:t>Agronegocios, </w:t>
      </w:r>
      <w:r>
        <w:rPr/>
        <w:t>XIX(37):147-158.</w:t>
      </w:r>
    </w:p>
    <w:p>
      <w:pPr>
        <w:pStyle w:val="BodyText"/>
        <w:spacing w:line="360" w:lineRule="auto" w:before="3"/>
        <w:ind w:left="830" w:right="115" w:hanging="711"/>
        <w:jc w:val="both"/>
      </w:pPr>
      <w:r>
        <w:rPr/>
        <w:t>Camargo, M. 2000. Sistemas de vacunos doble propósito. X Congreso Venezolano de Zootecnia. UNELLEZ-Guanare, Venezuela.</w:t>
      </w:r>
      <w:r>
        <w:rPr>
          <w:spacing w:val="-18"/>
        </w:rPr>
        <w:t> </w:t>
      </w:r>
      <w:r>
        <w:rPr/>
        <w:t>193-199.</w:t>
      </w:r>
    </w:p>
    <w:p>
      <w:pPr>
        <w:pStyle w:val="BodyText"/>
        <w:spacing w:line="362" w:lineRule="auto" w:before="2"/>
        <w:ind w:left="830" w:right="125" w:hanging="711"/>
        <w:jc w:val="both"/>
      </w:pPr>
      <w:r>
        <w:rPr/>
        <w:t>Cardoso, S. A. 1997. Tejupilco. Monografía municipal. Primera Edición. Instituto Mexiquense de Cultura. Toluca, Estado de México. 149 p.</w:t>
      </w:r>
    </w:p>
    <w:p>
      <w:pPr>
        <w:spacing w:after="0" w:line="362" w:lineRule="auto"/>
        <w:jc w:val="both"/>
        <w:sectPr>
          <w:pgSz w:w="12240" w:h="15840"/>
          <w:pgMar w:header="0" w:footer="1180" w:top="1360" w:bottom="1380" w:left="1580" w:right="1300"/>
        </w:sectPr>
      </w:pPr>
    </w:p>
    <w:p>
      <w:pPr>
        <w:pStyle w:val="BodyText"/>
        <w:spacing w:line="360" w:lineRule="auto" w:before="52"/>
        <w:ind w:left="830" w:right="116" w:hanging="711"/>
        <w:jc w:val="both"/>
      </w:pPr>
      <w:r>
        <w:rPr/>
        <w:t>Cavallotti, V. B. A. y Palacio, M. V. H. 2003. La ganadería mexicana en el nuevo milenio. Situación, alternativas productivas y nuevos mercados. Primera Edición. México. CIESTAAM. 26 p.</w:t>
      </w:r>
    </w:p>
    <w:p>
      <w:pPr>
        <w:pStyle w:val="BodyText"/>
        <w:spacing w:line="360" w:lineRule="auto" w:before="3"/>
        <w:ind w:left="830" w:right="123" w:hanging="711"/>
        <w:jc w:val="both"/>
      </w:pPr>
      <w:r>
        <w:rPr/>
        <w:t>COTECOCA. 1999. Comisión Técnico Consultiva de Coeficientes de Agostadero. Estudio de manejo y rehabilitación de áreas de agostaderos en los ejidos de Benito Juárez y San Cristóbal, Almoloya de Juárez, México. Secretaría de Agricultura, Ganadería y Desarrollo Rural.</w:t>
      </w:r>
    </w:p>
    <w:p>
      <w:pPr>
        <w:pStyle w:val="BodyText"/>
        <w:spacing w:line="360" w:lineRule="auto" w:before="3"/>
        <w:ind w:left="830" w:right="113" w:hanging="711"/>
        <w:jc w:val="both"/>
      </w:pPr>
      <w:r>
        <w:rPr/>
        <w:t>De la Fuente, H. J. 1989. Bonanza y crisis de la ganadería nacional. Subdirección de investigación de la dirección general académica. México. Universidad Autónoma Chapingo. 349 p.</w:t>
      </w:r>
    </w:p>
    <w:p>
      <w:pPr>
        <w:pStyle w:val="BodyText"/>
        <w:spacing w:line="360" w:lineRule="auto" w:before="2"/>
        <w:ind w:left="830" w:right="114" w:hanging="711"/>
        <w:jc w:val="both"/>
      </w:pPr>
      <w:r>
        <w:rPr/>
        <w:t>Del Valle-Rivera, M. del C., Álvarez-Macías, A. G. 1997. La producción de leche en México en la encrucijada de la crisis y los acuerdos del TLCAN. Guadalajara, Jalisco, México, abril de 1997: 1-17.</w:t>
      </w:r>
    </w:p>
    <w:p>
      <w:pPr>
        <w:pStyle w:val="BodyText"/>
        <w:spacing w:before="7"/>
        <w:ind w:left="119" w:right="182"/>
      </w:pPr>
      <w:r>
        <w:rPr/>
        <w:t>Díaz, M. A., y Aguilera, G. V. M. 2010. Matemáticas financieras. Cuarta Edición.</w:t>
      </w:r>
    </w:p>
    <w:p>
      <w:pPr>
        <w:pStyle w:val="BodyText"/>
        <w:spacing w:before="137"/>
        <w:ind w:left="830"/>
        <w:jc w:val="both"/>
      </w:pPr>
      <w:r>
        <w:rPr/>
        <w:t>Editorial Mc Graw Hill. México, D. F. 560 p.</w:t>
      </w:r>
    </w:p>
    <w:p>
      <w:pPr>
        <w:pStyle w:val="BodyText"/>
        <w:spacing w:line="360" w:lineRule="auto" w:before="137"/>
        <w:ind w:left="830" w:right="110" w:hanging="711"/>
        <w:jc w:val="both"/>
      </w:pPr>
      <w:r>
        <w:rPr/>
        <w:t>Espinoza Ortega Angélica, Pedraza Fuentes Ana María, Rivera Herrejón Gladys y Arriaga Jordán Carlos. 2001. Centro de Investigación en Ciencias Agropecuarias (CICA) Universidad Autónoma del Estado de México. 43 p</w:t>
      </w:r>
    </w:p>
    <w:p>
      <w:pPr>
        <w:pStyle w:val="BodyText"/>
        <w:spacing w:line="360" w:lineRule="auto" w:before="2"/>
        <w:ind w:left="830" w:right="116" w:hanging="711"/>
        <w:jc w:val="both"/>
      </w:pPr>
      <w:r>
        <w:rPr/>
        <w:t>Espinosa, O. V. E., Jiménez, J. R. A., Gil, G. G. I., Pesado, A. A., Brunett-Pérez, L., García, H. L. A. 2011. Lechería Familiar. La Jornada del campo. 51: 1</w:t>
      </w:r>
    </w:p>
    <w:p>
      <w:pPr>
        <w:pStyle w:val="BodyText"/>
        <w:spacing w:line="360" w:lineRule="auto" w:before="2"/>
        <w:ind w:left="830" w:right="124" w:hanging="711"/>
      </w:pPr>
      <w:r>
        <w:rPr/>
        <w:t>FAO. 2015. Producción y Productos Lácteos. Sistemas de Producción. Organización de las Naciones Unidas para la Alimentación y la Agricultura.Disponible en: </w:t>
      </w:r>
      <w:hyperlink r:id="rId34">
        <w:r>
          <w:rPr/>
          <w:t>http://www.fao.org/agriculture/dairy-gateway/produccion-lechera/sistemas-de-</w:t>
        </w:r>
      </w:hyperlink>
      <w:r>
        <w:rPr/>
        <w:t> produccion/es/#.VTinBtJ_Oko.  Consultado el 18 de diciembre de 2015.</w:t>
      </w:r>
    </w:p>
    <w:p>
      <w:pPr>
        <w:pStyle w:val="BodyText"/>
        <w:spacing w:before="2"/>
        <w:ind w:left="119" w:right="110"/>
      </w:pPr>
      <w:r>
        <w:rPr/>
        <w:t>Fadul Pacheco L., Alfonso Ávila A.R., Espinoza O.A., Sánchez V.E., Arriaga    Jordán</w:t>
      </w:r>
    </w:p>
    <w:p>
      <w:pPr>
        <w:pStyle w:val="BodyText"/>
        <w:spacing w:line="360" w:lineRule="auto" w:before="137"/>
        <w:ind w:left="830" w:right="111"/>
        <w:jc w:val="both"/>
      </w:pPr>
      <w:r>
        <w:rPr/>
        <w:t>C.M. Sustentabilidad de la producción de leche en pequeña escala y su contribución al desarrollo rural. 2014. En: Arriaga-Jordán, C. M. y Anaya- Ortega, J. P. Contribución de la producción animal en pequeña escala al desarrollo rural. México, D. F. Ed Reverté. 57-73 p.</w:t>
      </w:r>
    </w:p>
    <w:p>
      <w:pPr>
        <w:pStyle w:val="BodyText"/>
        <w:tabs>
          <w:tab w:pos="3369" w:val="left" w:leader="none"/>
          <w:tab w:pos="6075" w:val="left" w:leader="none"/>
          <w:tab w:pos="8911" w:val="left" w:leader="none"/>
        </w:tabs>
        <w:spacing w:line="362" w:lineRule="auto" w:before="2"/>
        <w:ind w:left="830" w:right="112" w:hanging="711"/>
        <w:jc w:val="both"/>
      </w:pPr>
      <w:r>
        <w:rPr/>
        <w:t>FR. 2012. Monografía de bovinos de carne. Financiera Rural. Dirección Ejecutiva de Análisis</w:t>
        <w:tab/>
        <w:t>Sectorial.</w:t>
        <w:tab/>
        <w:t>Disponible</w:t>
        <w:tab/>
        <w:t>en:</w:t>
      </w:r>
    </w:p>
    <w:p>
      <w:pPr>
        <w:spacing w:after="0" w:line="362" w:lineRule="auto"/>
        <w:jc w:val="both"/>
        <w:sectPr>
          <w:pgSz w:w="12240" w:h="15840"/>
          <w:pgMar w:header="0" w:footer="1180" w:top="1360" w:bottom="1380" w:left="1580" w:right="1300"/>
        </w:sectPr>
      </w:pPr>
    </w:p>
    <w:p>
      <w:pPr>
        <w:pStyle w:val="BodyText"/>
        <w:spacing w:line="360" w:lineRule="auto" w:before="52"/>
        <w:ind w:left="830" w:right="115"/>
        <w:jc w:val="both"/>
      </w:pPr>
      <w:hyperlink r:id="rId35">
        <w:r>
          <w:rPr/>
          <w:t>http://www.financierarural.gob.mx/informacionsectorrural/Documents/Monograf</w:t>
        </w:r>
      </w:hyperlink>
      <w:r>
        <w:rPr/>
        <w:t> ias/Monograf%C3%ADaCarneBovino%28feb2012%29.pdf. Consultado el </w:t>
      </w:r>
      <w:r>
        <w:rPr>
          <w:spacing w:val="-4"/>
        </w:rPr>
        <w:t>14 </w:t>
      </w:r>
      <w:r>
        <w:rPr/>
        <w:t>de diciembre de</w:t>
      </w:r>
      <w:r>
        <w:rPr>
          <w:spacing w:val="-4"/>
        </w:rPr>
        <w:t> </w:t>
      </w:r>
      <w:r>
        <w:rPr/>
        <w:t>2015.</w:t>
      </w:r>
    </w:p>
    <w:p>
      <w:pPr>
        <w:pStyle w:val="BodyText"/>
        <w:spacing w:line="360" w:lineRule="auto" w:before="3"/>
        <w:ind w:left="830" w:right="117" w:hanging="711"/>
        <w:jc w:val="both"/>
      </w:pPr>
      <w:r>
        <w:rPr/>
        <w:t>Galina, H.M.E, Choisis, J. P., Cervantes, N., Silva, E. y Palma, J.M.1988. Evaluación de los sistemas de producción pecuaria mediante el uso del método de sistemas de producción: observaciones y resultados. En: Memorias del Seminario Internacional en Sistemas de Producción Agropecuarios. Centro de Investigación en Ciencias Agropecuarias (CICA). Universidad Autónoma del Estado de México. Toluca, México. 73-89.</w:t>
      </w:r>
    </w:p>
    <w:p>
      <w:pPr>
        <w:pStyle w:val="BodyText"/>
        <w:spacing w:line="360" w:lineRule="auto" w:before="7"/>
        <w:ind w:left="830" w:right="111" w:hanging="711"/>
        <w:jc w:val="both"/>
      </w:pPr>
      <w:r>
        <w:rPr/>
        <w:t>García-Martínez A., B. Albarrán-Portillo y F. Avilés-Nova. 2015. Dinámicas y tendencias de la ganadería doble propósito en el sur del Estado de México. Agrociencia.49:125-139.</w:t>
      </w:r>
    </w:p>
    <w:p>
      <w:pPr>
        <w:pStyle w:val="BodyText"/>
        <w:spacing w:line="360" w:lineRule="auto" w:before="2"/>
        <w:ind w:left="830" w:right="123" w:hanging="711"/>
        <w:jc w:val="both"/>
      </w:pPr>
      <w:r>
        <w:rPr/>
        <w:t>Hernández-Morales, P. 2008. Tipificación de los sistemas campesinos de producción de leche en el sur del Estado de México. Tesis de Maestría. Maestría en Ciencias Agropecuarias y Recursos Naturales. Universidad Autónoma del Estado de México. 65 p</w:t>
      </w:r>
    </w:p>
    <w:p>
      <w:pPr>
        <w:pStyle w:val="BodyText"/>
        <w:spacing w:line="360" w:lineRule="auto" w:before="2"/>
        <w:ind w:left="830" w:right="116" w:hanging="711"/>
        <w:jc w:val="both"/>
      </w:pPr>
      <w:r>
        <w:rPr/>
        <w:t>Hernández, M. J., Rebollar, R. S., González, R. FJ., Guzmán, S. E., Albarrán, P. B., García, M. A. 2011. La cadena productiva del ganado bovino en el sur del Estado de México. Revista Mexicana de Agronegocios, Vol. 29:672-680.</w:t>
      </w:r>
    </w:p>
    <w:p>
      <w:pPr>
        <w:pStyle w:val="BodyText"/>
        <w:spacing w:line="360" w:lineRule="auto" w:before="3"/>
        <w:ind w:left="830" w:right="114" w:hanging="711"/>
        <w:jc w:val="both"/>
      </w:pPr>
      <w:r>
        <w:rPr/>
        <w:t>Macedo, R., Galina, M. A., Zorrilla, J. M., Palma, J. M. y Pérez-Guerrero, J. 2003. Análisis de un sistema de producción tradicional en Colima, México. Archivos de Zootecnia. 52: 463-474.</w:t>
      </w:r>
    </w:p>
    <w:p>
      <w:pPr>
        <w:pStyle w:val="BodyText"/>
        <w:spacing w:line="360" w:lineRule="auto" w:before="2"/>
        <w:ind w:left="830" w:right="112" w:hanging="711"/>
        <w:jc w:val="both"/>
      </w:pPr>
      <w:r>
        <w:rPr/>
        <w:t>Martínez-Castro César Julio, Cotera-Rivera Julián, Zavaleta José Abad. 2012. Características de la producción y comercialización de leche bovina en sistemas de doble propósito en dobladero, Veracruz. Revista Mexicana de Agronegocios. 16: 816-824.</w:t>
      </w:r>
    </w:p>
    <w:p>
      <w:pPr>
        <w:pStyle w:val="BodyText"/>
        <w:spacing w:line="360" w:lineRule="auto" w:before="7"/>
        <w:ind w:left="830" w:right="112" w:hanging="711"/>
        <w:jc w:val="both"/>
      </w:pPr>
      <w:r>
        <w:rPr/>
        <w:t>Ortega, L. y Ward, R. 2005. El sistema de ganadería de doble propósito: Un sistema eficiente. En: Manual de Ganadería Doble Propósito. González-Stagnaro, C. y Soto-Belloso, E. Ediciones Astro Data, S.A. 22-26 pp.</w:t>
      </w:r>
    </w:p>
    <w:p>
      <w:pPr>
        <w:spacing w:after="0" w:line="360" w:lineRule="auto"/>
        <w:jc w:val="both"/>
        <w:sectPr>
          <w:pgSz w:w="12240" w:h="15840"/>
          <w:pgMar w:header="0" w:footer="1180" w:top="1360" w:bottom="1380" w:left="1580" w:right="1300"/>
        </w:sectPr>
      </w:pPr>
    </w:p>
    <w:p>
      <w:pPr>
        <w:pStyle w:val="BodyText"/>
        <w:spacing w:line="360" w:lineRule="auto" w:before="52"/>
        <w:ind w:left="830" w:right="117" w:hanging="711"/>
        <w:jc w:val="both"/>
      </w:pPr>
      <w:r>
        <w:rPr/>
        <w:t>Osorio, M. A. (2010). Producción de leche en la zona alta de Veracruz. En Primer  foro de Producción de leche en la </w:t>
      </w:r>
      <w:r>
        <w:rPr>
          <w:spacing w:val="2"/>
        </w:rPr>
        <w:t>zona </w:t>
      </w:r>
      <w:r>
        <w:rPr/>
        <w:t>alta de Veracruz. Jalapa, Veracruz, México. 5 de mayo de</w:t>
      </w:r>
      <w:r>
        <w:rPr>
          <w:spacing w:val="-11"/>
        </w:rPr>
        <w:t> </w:t>
      </w:r>
      <w:r>
        <w:rPr/>
        <w:t>2010.</w:t>
      </w:r>
    </w:p>
    <w:p>
      <w:pPr>
        <w:pStyle w:val="BodyText"/>
        <w:spacing w:line="360" w:lineRule="auto" w:before="3"/>
        <w:ind w:left="830" w:right="111" w:hanging="711"/>
        <w:jc w:val="both"/>
      </w:pPr>
      <w:r>
        <w:rPr/>
        <w:t>Piedra, M. R., Hernández, D. G., Albarrán, P. B., Rebollar, R. S., García, M. A. 2011. Tipología de explotaciones de ganado bovino en el municipio de Tejupilco, Estado de México. Pp: 205-208. En: Cavalloti Vázquez Beatriz A., Benito Ramírez Valverde, F. Ernesto Martínez Castañeda, Carlos F. Marcof Álvarez, Alfredo Cesín Vargas. 2011. La ganadería ante el agotamiento de los paradigmas Dominantes. Vol. 2. Primera Edición. Universidad Autónoma Chapingo. 424 p.</w:t>
      </w:r>
    </w:p>
    <w:p>
      <w:pPr>
        <w:pStyle w:val="BodyText"/>
        <w:spacing w:line="360" w:lineRule="auto" w:before="2"/>
        <w:ind w:left="830" w:right="110" w:hanging="711"/>
        <w:jc w:val="both"/>
      </w:pPr>
      <w:r>
        <w:rPr/>
        <w:t>Pineda-Jaimes, N. B., Bosque-Sendra, J., Gómez- Delgado, M., Plata-Rocha, </w:t>
      </w:r>
      <w:r>
        <w:rPr>
          <w:spacing w:val="4"/>
        </w:rPr>
        <w:t>W. </w:t>
      </w:r>
      <w:r>
        <w:rPr/>
        <w:t>2009. Análisis de cambio del uso del suelo en el Estado de México mediante sistemas de información geográfica y técnicas de regresión multivariantes.  Una aproximación a los procesos de deforestación. Investigaciones Geográficas, Boletín del Instituto de Geografía, UNAM. Num. 69.33-52</w:t>
      </w:r>
      <w:r>
        <w:rPr>
          <w:spacing w:val="-22"/>
        </w:rPr>
        <w:t> </w:t>
      </w:r>
      <w:r>
        <w:rPr/>
        <w:t>pp</w:t>
      </w:r>
    </w:p>
    <w:p>
      <w:pPr>
        <w:pStyle w:val="BodyText"/>
        <w:spacing w:line="360" w:lineRule="auto" w:before="3"/>
        <w:ind w:left="830" w:right="114" w:hanging="711"/>
        <w:jc w:val="both"/>
      </w:pPr>
      <w:r>
        <w:rPr/>
        <w:t>Posadas, D. RR., Rebollar, R. S., Hernández, M. J., González, R. FJ, Rebollar, R. A., Guzmán, S. E. 2011. Niveles de optimización económica en bovinos engordados en corral. Pp. 55-61. En: Administración, Agrotecnología y Redes de conocimiento. Editores: Ana María de Guadalupe Arras Vota y Ofelia Adriana Hernández Rodríguez. Primera Edición. Editorial Pearson. Prentice Hall. 144 p.</w:t>
      </w:r>
    </w:p>
    <w:p>
      <w:pPr>
        <w:pStyle w:val="BodyText"/>
        <w:spacing w:before="7"/>
        <w:ind w:left="119" w:right="110"/>
      </w:pPr>
      <w:r>
        <w:rPr/>
        <w:t>Rebollar,</w:t>
      </w:r>
      <w:r>
        <w:rPr>
          <w:spacing w:val="51"/>
        </w:rPr>
        <w:t> </w:t>
      </w:r>
      <w:r>
        <w:rPr/>
        <w:t>R.</w:t>
      </w:r>
      <w:r>
        <w:rPr>
          <w:spacing w:val="51"/>
        </w:rPr>
        <w:t> </w:t>
      </w:r>
      <w:r>
        <w:rPr/>
        <w:t>S.</w:t>
      </w:r>
      <w:r>
        <w:rPr>
          <w:spacing w:val="51"/>
        </w:rPr>
        <w:t> </w:t>
      </w:r>
      <w:r>
        <w:rPr/>
        <w:t>2011.</w:t>
      </w:r>
      <w:r>
        <w:rPr>
          <w:spacing w:val="51"/>
        </w:rPr>
        <w:t> </w:t>
      </w:r>
      <w:r>
        <w:rPr/>
        <w:t>Métodos</w:t>
      </w:r>
      <w:r>
        <w:rPr>
          <w:spacing w:val="51"/>
        </w:rPr>
        <w:t> </w:t>
      </w:r>
      <w:r>
        <w:rPr/>
        <w:t>para</w:t>
      </w:r>
      <w:r>
        <w:rPr>
          <w:spacing w:val="52"/>
        </w:rPr>
        <w:t> </w:t>
      </w:r>
      <w:r>
        <w:rPr/>
        <w:t>estimar</w:t>
      </w:r>
      <w:r>
        <w:rPr>
          <w:spacing w:val="52"/>
        </w:rPr>
        <w:t> </w:t>
      </w:r>
      <w:r>
        <w:rPr/>
        <w:t>costos</w:t>
      </w:r>
      <w:r>
        <w:rPr>
          <w:spacing w:val="51"/>
        </w:rPr>
        <w:t> </w:t>
      </w:r>
      <w:r>
        <w:rPr/>
        <w:t>de</w:t>
      </w:r>
      <w:r>
        <w:rPr>
          <w:spacing w:val="52"/>
        </w:rPr>
        <w:t> </w:t>
      </w:r>
      <w:r>
        <w:rPr/>
        <w:t>producción</w:t>
      </w:r>
      <w:r>
        <w:rPr>
          <w:spacing w:val="52"/>
        </w:rPr>
        <w:t> </w:t>
      </w:r>
      <w:r>
        <w:rPr/>
        <w:t>y</w:t>
      </w:r>
      <w:r>
        <w:rPr>
          <w:spacing w:val="51"/>
        </w:rPr>
        <w:t> </w:t>
      </w:r>
      <w:r>
        <w:rPr/>
        <w:t>rentabilidad.</w:t>
      </w:r>
    </w:p>
    <w:p>
      <w:pPr>
        <w:pStyle w:val="BodyText"/>
        <w:spacing w:before="137"/>
        <w:ind w:left="830" w:right="182"/>
      </w:pPr>
      <w:r>
        <w:rPr/>
        <w:t>Primera Edición. Ed. Académica Española. Madrid, España. 129 p.</w:t>
      </w:r>
    </w:p>
    <w:p>
      <w:pPr>
        <w:pStyle w:val="BodyText"/>
        <w:spacing w:line="360" w:lineRule="auto" w:before="137"/>
        <w:ind w:left="830" w:right="111" w:hanging="711"/>
        <w:jc w:val="both"/>
      </w:pPr>
      <w:r>
        <w:rPr/>
        <w:t>Rebollar, R. A., Hernández, M. J., Rebollar, R. S., González, R. FJ., Terronea, C. A., Rojo, R. R. 2011b. Costos de producción y rentabilidad en bovinos  engordados en corral en el sur del Estado de México. Pp. 47-53 En: Administración, Agrotecnología y Redes de conocimiento. Editores: Ana María de Guadalupe Arras Vota y Ofelia Adriana Hernández Rodríguez. Primera Edición. Editorial Pearson Prentice Hall. 144</w:t>
      </w:r>
      <w:r>
        <w:rPr>
          <w:spacing w:val="-20"/>
        </w:rPr>
        <w:t> </w:t>
      </w:r>
      <w:r>
        <w:rPr/>
        <w:t>p.</w:t>
      </w:r>
    </w:p>
    <w:p>
      <w:pPr>
        <w:pStyle w:val="BodyText"/>
        <w:spacing w:line="362" w:lineRule="auto" w:before="2"/>
        <w:ind w:left="830" w:right="111" w:hanging="711"/>
        <w:jc w:val="both"/>
      </w:pPr>
      <w:r>
        <w:rPr/>
        <w:t>Rebollar-Rebollar, S., Posadas-Domínguez, RR., Hernández-Martínez, J., González- Razo, FJ., Guzmán-Soria, E., Rojo-Rubio, R. 2011a. Technical and   economic</w:t>
      </w:r>
    </w:p>
    <w:p>
      <w:pPr>
        <w:spacing w:after="0" w:line="362" w:lineRule="auto"/>
        <w:jc w:val="both"/>
        <w:sectPr>
          <w:footerReference w:type="default" r:id="rId36"/>
          <w:pgSz w:w="12240" w:h="15840"/>
          <w:pgMar w:footer="1180" w:header="0" w:top="1360" w:bottom="1380" w:left="1580" w:right="1300"/>
        </w:sectPr>
      </w:pPr>
    </w:p>
    <w:p>
      <w:pPr>
        <w:spacing w:line="362" w:lineRule="auto" w:before="52"/>
        <w:ind w:left="830" w:right="110" w:firstLine="0"/>
        <w:jc w:val="left"/>
        <w:rPr>
          <w:sz w:val="24"/>
        </w:rPr>
      </w:pPr>
      <w:r>
        <w:rPr>
          <w:sz w:val="24"/>
        </w:rPr>
        <w:t>optimal in feedlot cattle. </w:t>
      </w:r>
      <w:r>
        <w:rPr>
          <w:i/>
          <w:sz w:val="24"/>
        </w:rPr>
        <w:t>Tropical and Subtropical Agroecosystems</w:t>
      </w:r>
      <w:r>
        <w:rPr>
          <w:sz w:val="24"/>
        </w:rPr>
        <w:t>, Vol. 14(2):413-420.</w:t>
      </w:r>
    </w:p>
    <w:p>
      <w:pPr>
        <w:pStyle w:val="BodyText"/>
        <w:spacing w:line="360" w:lineRule="auto"/>
        <w:ind w:left="830" w:right="123" w:hanging="711"/>
        <w:jc w:val="both"/>
      </w:pPr>
      <w:r>
        <w:rPr/>
        <w:t>Rebollar, R. S. y Jaramillo, J. M. 2012. Formulación y evaluación de proyectos. Aspectos básicos. Primera Edición, Editorial Académica Española. Madrid, España. 311 p.</w:t>
      </w:r>
    </w:p>
    <w:p>
      <w:pPr>
        <w:spacing w:line="360" w:lineRule="auto" w:before="7"/>
        <w:ind w:left="830" w:right="113" w:hanging="711"/>
        <w:jc w:val="both"/>
        <w:rPr>
          <w:sz w:val="24"/>
        </w:rPr>
      </w:pPr>
      <w:r>
        <w:rPr>
          <w:sz w:val="24"/>
        </w:rPr>
        <w:t>Rebollar-Rebollar Samuel, Martín Rubí Arriaga, Felipe de Jesús González Razo. 2013. Producción y comercialización de </w:t>
      </w:r>
      <w:r>
        <w:rPr>
          <w:i/>
          <w:sz w:val="24"/>
        </w:rPr>
        <w:t>Psidiumsartorianum </w:t>
      </w:r>
      <w:r>
        <w:rPr>
          <w:sz w:val="24"/>
        </w:rPr>
        <w:t>O. BergNied en  el sur del Estado de México. </w:t>
      </w:r>
      <w:r>
        <w:rPr>
          <w:i/>
          <w:sz w:val="24"/>
        </w:rPr>
        <w:t>Revista Mexicana de Agronegocios</w:t>
      </w:r>
      <w:r>
        <w:rPr>
          <w:sz w:val="24"/>
        </w:rPr>
        <w:t>,</w:t>
      </w:r>
      <w:r>
        <w:rPr>
          <w:spacing w:val="-19"/>
          <w:sz w:val="24"/>
        </w:rPr>
        <w:t> </w:t>
      </w:r>
      <w:r>
        <w:rPr>
          <w:sz w:val="24"/>
        </w:rPr>
        <w:t>33:514-526.</w:t>
      </w:r>
    </w:p>
    <w:p>
      <w:pPr>
        <w:pStyle w:val="BodyText"/>
        <w:spacing w:line="362" w:lineRule="auto" w:before="2"/>
        <w:ind w:left="830" w:right="122" w:hanging="711"/>
        <w:jc w:val="both"/>
      </w:pPr>
      <w:r>
        <w:rPr/>
        <w:t>Rodríguez, C. V., Bao, G. R., Cárdenas, L. L. 2008. Formulación y evaluación de proyectos. Primera Edición. Editorial Limusa. México, D. F. 454 p.</w:t>
      </w:r>
    </w:p>
    <w:p>
      <w:pPr>
        <w:pStyle w:val="BodyText"/>
        <w:spacing w:line="360" w:lineRule="auto"/>
        <w:ind w:left="830" w:right="127" w:hanging="711"/>
        <w:jc w:val="both"/>
      </w:pPr>
      <w:r>
        <w:rPr/>
        <w:t>Ruíz, F. A. Gonzales, A. M. Juárez, Z. A. 2004. Impacto del TLCAN en la cadena de valor de bovinos para carne. Universidad Autónoma Capingo. 39 p.</w:t>
      </w:r>
    </w:p>
    <w:p>
      <w:pPr>
        <w:pStyle w:val="BodyText"/>
        <w:tabs>
          <w:tab w:pos="3042" w:val="left" w:leader="none"/>
          <w:tab w:pos="4793" w:val="left" w:leader="none"/>
          <w:tab w:pos="6569" w:val="left" w:leader="none"/>
          <w:tab w:pos="7803" w:val="left" w:leader="none"/>
        </w:tabs>
        <w:spacing w:line="360" w:lineRule="auto" w:before="2"/>
        <w:ind w:left="830" w:right="112" w:hanging="711"/>
        <w:jc w:val="both"/>
      </w:pPr>
      <w:r>
        <w:rPr/>
        <w:t>SAGARPA. 2003. Sistemas Productivos. Secretaría de Ganadería, Agricultura, Desarrollo</w:t>
        <w:tab/>
        <w:t>Rural,</w:t>
        <w:tab/>
        <w:t>Pesca</w:t>
        <w:tab/>
        <w:t>y</w:t>
        <w:tab/>
        <w:t>Alimentación. </w:t>
      </w:r>
      <w:hyperlink r:id="rId38">
        <w:r>
          <w:rPr/>
          <w:t>http://www.sagarpa.gob.mx/ganaderia/Ganaderito/sistcow.htm</w:t>
        </w:r>
      </w:hyperlink>
      <w:r>
        <w:rPr/>
        <w:t>. Consultado el14 de diciembre de</w:t>
      </w:r>
      <w:r>
        <w:rPr>
          <w:spacing w:val="-5"/>
        </w:rPr>
        <w:t> </w:t>
      </w:r>
      <w:r>
        <w:rPr/>
        <w:t>2015.</w:t>
      </w:r>
    </w:p>
    <w:p>
      <w:pPr>
        <w:pStyle w:val="BodyText"/>
        <w:spacing w:line="360" w:lineRule="auto" w:before="2"/>
        <w:ind w:left="830" w:right="117" w:hanging="711"/>
        <w:jc w:val="both"/>
      </w:pPr>
      <w:r>
        <w:rPr/>
        <w:t>SAGARPA. 2006. Informe de evaluación estatal Evaluación Subprograma de Investigación y Transferencia de Tecnología 2006. Secretaría de Agricultura, Ganadería, Desarrollo Rural, Pesca y Alimentación. </w:t>
      </w:r>
      <w:hyperlink r:id="rId39">
        <w:r>
          <w:rPr/>
          <w:t>http://www.sagarpa.gob.mx.</w:t>
        </w:r>
      </w:hyperlink>
      <w:r>
        <w:rPr/>
        <w:t> Estado de México. SAGARPA. 98 p.</w:t>
      </w:r>
    </w:p>
    <w:p>
      <w:pPr>
        <w:pStyle w:val="BodyText"/>
        <w:spacing w:line="360" w:lineRule="auto" w:before="2"/>
        <w:ind w:left="830" w:right="111" w:hanging="711"/>
        <w:jc w:val="both"/>
      </w:pPr>
      <w:r>
        <w:rPr/>
        <w:t>SAGARPA. 2009. Situación actual y perspectiva de la producción de carne de bovino en México 2004. Secretaría de Agricultura, Ganadería, Desarrollo Rural,  Pesca y Alimentación. Coordinación General de Ganadería. </w:t>
      </w:r>
      <w:hyperlink r:id="rId40">
        <w:r>
          <w:rPr/>
          <w:t>http://www.sagarpa.gob.mx/Dgg.</w:t>
        </w:r>
      </w:hyperlink>
      <w:r>
        <w:rPr/>
        <w:t>  15 de noviembre de</w:t>
      </w:r>
      <w:r>
        <w:rPr>
          <w:spacing w:val="-14"/>
        </w:rPr>
        <w:t> </w:t>
      </w:r>
      <w:r>
        <w:rPr/>
        <w:t>2015.</w:t>
      </w:r>
    </w:p>
    <w:p>
      <w:pPr>
        <w:pStyle w:val="BodyText"/>
        <w:spacing w:line="360" w:lineRule="auto" w:before="2"/>
        <w:ind w:left="830" w:right="124" w:hanging="711"/>
        <w:jc w:val="both"/>
      </w:pPr>
      <w:r>
        <w:rPr/>
        <w:t>Sapag, Ch. R. 2011. Preparación y evaluación de proyectos de proyectos de inversión. Cuarta Edición. Editorial Mc Graw Hill. Santiago de Chile, Chile. 460 p.</w:t>
      </w:r>
    </w:p>
    <w:p>
      <w:pPr>
        <w:pStyle w:val="BodyText"/>
        <w:tabs>
          <w:tab w:pos="8910" w:val="left" w:leader="none"/>
        </w:tabs>
        <w:spacing w:line="360" w:lineRule="auto" w:before="3"/>
        <w:ind w:left="830" w:right="112" w:hanging="711"/>
        <w:jc w:val="both"/>
      </w:pPr>
      <w:r>
        <w:rPr/>
        <w:t>SEDAGRO-GEM. 2015. Producción pecuaria 2011. Secretaria de Desarrollo Agropecuario del Estado de México. Gobierno </w:t>
      </w:r>
      <w:r>
        <w:rPr>
          <w:spacing w:val="-3"/>
        </w:rPr>
        <w:t>del </w:t>
      </w:r>
      <w:r>
        <w:rPr/>
        <w:t>Estado de México. Disponible</w:t>
        <w:tab/>
        <w:t>en:</w:t>
      </w:r>
    </w:p>
    <w:p>
      <w:pPr>
        <w:pStyle w:val="BodyText"/>
        <w:spacing w:before="7"/>
        <w:ind w:left="830" w:right="110"/>
      </w:pPr>
      <w:hyperlink r:id="rId41">
        <w:r>
          <w:rPr/>
          <w:t>http://portal2.edomex.gob.mx/sedagro/productores_comercializadores/agro_es</w:t>
        </w:r>
      </w:hyperlink>
    </w:p>
    <w:p>
      <w:pPr>
        <w:spacing w:after="0"/>
        <w:sectPr>
          <w:footerReference w:type="default" r:id="rId37"/>
          <w:pgSz w:w="12240" w:h="15840"/>
          <w:pgMar w:footer="1180" w:header="0" w:top="1360" w:bottom="1380" w:left="1580" w:right="1300"/>
          <w:pgNumType w:start="101"/>
        </w:sectPr>
      </w:pPr>
    </w:p>
    <w:p>
      <w:pPr>
        <w:pStyle w:val="BodyText"/>
        <w:spacing w:line="362" w:lineRule="auto" w:before="52"/>
        <w:ind w:left="830" w:right="182"/>
      </w:pPr>
      <w:r>
        <w:rPr/>
        <w:t>tadisticas/produccion_pecuaria/index.htm. Consultado el 14 de diciembre de 2015.</w:t>
      </w:r>
    </w:p>
    <w:p>
      <w:pPr>
        <w:pStyle w:val="BodyText"/>
        <w:spacing w:line="360" w:lineRule="auto"/>
        <w:ind w:left="830" w:right="125" w:hanging="711"/>
        <w:jc w:val="both"/>
      </w:pPr>
      <w:r>
        <w:rPr/>
        <w:t>Soto, S. C. y Reinoso, O.V. 2008. Suplementación del ganado carne en Situaciones de Sequía. Revista de la Sociedad de Criadores de Bradford y Cebú del Uruguay. 15: 18-26.</w:t>
      </w:r>
    </w:p>
    <w:p>
      <w:pPr>
        <w:pStyle w:val="BodyText"/>
        <w:spacing w:line="360" w:lineRule="auto" w:before="7"/>
        <w:ind w:left="830" w:right="112" w:hanging="711"/>
        <w:jc w:val="both"/>
      </w:pPr>
      <w:r>
        <w:rPr/>
        <w:t>Suárez, H. Aranda, G. y Palma, J. M. 2012. Propuesta para la adopción de  tecnología en el sistema bovino de doble propósito. Revista de investigación y difusión científica agropecuaria. Chapingo, Estado de México. 16(3):</w:t>
      </w:r>
      <w:r>
        <w:rPr>
          <w:spacing w:val="-27"/>
        </w:rPr>
        <w:t> </w:t>
      </w:r>
      <w:r>
        <w:rPr/>
        <w:t>83-91.</w:t>
      </w:r>
    </w:p>
    <w:p>
      <w:pPr>
        <w:pStyle w:val="BodyText"/>
        <w:spacing w:before="2"/>
        <w:ind w:left="119" w:right="110"/>
      </w:pPr>
      <w:r>
        <w:rPr/>
        <w:t>Weston,  J. F.  y  Briham,  E.  F.  1994. Fundamentos  de  Administración</w:t>
      </w:r>
      <w:r>
        <w:rPr>
          <w:spacing w:val="54"/>
        </w:rPr>
        <w:t> </w:t>
      </w:r>
      <w:r>
        <w:rPr/>
        <w:t>Financiera.</w:t>
      </w:r>
    </w:p>
    <w:p>
      <w:pPr>
        <w:pStyle w:val="BodyText"/>
        <w:spacing w:before="141"/>
        <w:ind w:left="830" w:right="182"/>
      </w:pPr>
      <w:r>
        <w:rPr/>
        <w:t>Décima Edición. Editorial Mc Graw Hill. México, D. F. 1148 p.</w:t>
      </w:r>
    </w:p>
    <w:sectPr>
      <w:pgSz w:w="12240" w:h="15840"/>
      <w:pgMar w:header="0" w:footer="1180" w:top="1360" w:bottom="1380" w:left="158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51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448"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15pt;height:13.05pt;mso-position-horizontal-relative:page;mso-position-vertical-relative:page;z-index:-111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64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400"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70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71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352"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80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81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304"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90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91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679993pt;margin-top:721.976013pt;width:18.6pt;height:13.05pt;mso-position-horizontal-relative:page;mso-position-vertical-relative:page;z-index:-111256" type="#_x0000_t202" filled="false" stroked="false">
          <v:textbox inset="0,0,0,0">
            <w:txbxContent>
              <w:p>
                <w:pPr>
                  <w:spacing w:line="245" w:lineRule="exact" w:before="0"/>
                  <w:ind w:left="20" w:right="-3" w:firstLine="0"/>
                  <w:jc w:val="left"/>
                  <w:rPr>
                    <w:rFonts w:ascii="Calibri"/>
                    <w:sz w:val="22"/>
                  </w:rPr>
                </w:pPr>
                <w:r>
                  <w:rPr>
                    <w:rFonts w:ascii="Calibri"/>
                    <w:color w:val="5B9BD4"/>
                    <w:sz w:val="22"/>
                  </w:rPr>
                  <w:t>100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736"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20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679993pt;margin-top:721.976013pt;width:20.6pt;height:13.05pt;mso-position-horizontal-relative:page;mso-position-vertical-relative:page;z-index:-111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101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21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688"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30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31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1640" from="151.490005pt,696.312012pt" to="160.370005pt,696.312012pt" stroked="true" strokeweight=".71997pt" strokecolor="#000000">
          <w10:wrap type="none"/>
        </v:line>
      </w:pict>
    </w:r>
    <w:r>
      <w:rPr/>
      <w:pict>
        <v:line style="position:absolute;mso-position-horizontal-relative:page;mso-position-vertical-relative:page;z-index:-111616" from="84.984001pt,688.149963pt" to="229.054001pt,688.149963pt" stroked="true" strokeweight=".72003pt" strokecolor="#000000">
          <w10:wrap type="none"/>
        </v:line>
      </w:pict>
    </w:r>
    <w:r>
      <w:rPr/>
      <w:pict>
        <v:shape style="position:absolute;margin-left:306.559998pt;margin-top:721.976013pt;width:13.05pt;height:13.05pt;mso-position-horizontal-relative:page;mso-position-vertical-relative:page;z-index:-111592"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39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1568" from="84.984001pt,692.231995pt" to="229.054001pt,692.231995pt" stroked="true" strokeweight=".71997pt" strokecolor="#000000">
          <w10:wrap type="none"/>
        </v:line>
      </w:pict>
    </w:r>
    <w:r>
      <w:rPr/>
      <w:pict>
        <v:shape style="position:absolute;margin-left:306.559998pt;margin-top:721.976013pt;width:13.05pt;height:13.05pt;mso-position-horizontal-relative:page;mso-position-vertical-relative:page;z-index:-111544"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40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59998pt;margin-top:721.976013pt;width:15.05pt;height:13.05pt;mso-position-horizontal-relative:page;mso-position-vertical-relative:page;z-index:-111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5B9BD4"/>
                    <w:sz w:val="22"/>
                  </w:rPr>
                  <w:instrText> PAGE </w:instrText>
                </w:r>
                <w:r>
                  <w:rPr/>
                  <w:fldChar w:fldCharType="separate"/>
                </w:r>
                <w:r>
                  <w:rPr/>
                  <w:t>42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559998pt;margin-top:721.976013pt;width:13.05pt;height:13.05pt;mso-position-horizontal-relative:page;mso-position-vertical-relative:page;z-index:-111496" type="#_x0000_t202" filled="false" stroked="false">
          <v:textbox inset="0,0,0,0">
            <w:txbxContent>
              <w:p>
                <w:pPr>
                  <w:spacing w:line="245" w:lineRule="exact" w:before="0"/>
                  <w:ind w:left="20" w:right="-2" w:firstLine="0"/>
                  <w:jc w:val="left"/>
                  <w:rPr>
                    <w:rFonts w:ascii="Calibri"/>
                    <w:sz w:val="22"/>
                  </w:rPr>
                </w:pPr>
                <w:r>
                  <w:rPr>
                    <w:rFonts w:ascii="Calibri"/>
                    <w:color w:val="5B9BD4"/>
                    <w:sz w:val="22"/>
                  </w:rPr>
                  <w:t>50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840" w:hanging="360"/>
      </w:pPr>
      <w:rPr>
        <w:rFonts w:hint="default" w:ascii="Symbol" w:hAnsi="Symbol" w:eastAsia="Symbol" w:cs="Symbol"/>
        <w:color w:val="212121"/>
        <w:w w:val="100"/>
        <w:sz w:val="24"/>
        <w:szCs w:val="24"/>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10">
    <w:multiLevelType w:val="hybridMultilevel"/>
    <w:lvl w:ilvl="0">
      <w:start w:val="1"/>
      <w:numFmt w:val="bullet"/>
      <w:lvlText w:val=""/>
      <w:lvlJc w:val="left"/>
      <w:pPr>
        <w:ind w:left="840" w:hanging="360"/>
      </w:pPr>
      <w:rPr>
        <w:rFonts w:hint="default" w:ascii="Symbol" w:hAnsi="Symbol" w:eastAsia="Symbol" w:cs="Symbol"/>
        <w:color w:val="212121"/>
        <w:w w:val="100"/>
        <w:sz w:val="24"/>
        <w:szCs w:val="24"/>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9">
    <w:multiLevelType w:val="hybridMultilevel"/>
    <w:lvl w:ilvl="0">
      <w:start w:val="1"/>
      <w:numFmt w:val="bullet"/>
      <w:lvlText w:val=""/>
      <w:lvlJc w:val="left"/>
      <w:pPr>
        <w:ind w:left="700" w:hanging="360"/>
      </w:pPr>
      <w:rPr>
        <w:rFonts w:hint="default" w:ascii="Symbol" w:hAnsi="Symbol" w:eastAsia="Symbol" w:cs="Symbol"/>
        <w:w w:val="100"/>
        <w:sz w:val="24"/>
        <w:szCs w:val="24"/>
      </w:rPr>
    </w:lvl>
    <w:lvl w:ilvl="1">
      <w:start w:val="1"/>
      <w:numFmt w:val="bullet"/>
      <w:lvlText w:val="•"/>
      <w:lvlJc w:val="left"/>
      <w:pPr>
        <w:ind w:left="155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5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516" w:hanging="360"/>
      </w:pPr>
      <w:rPr>
        <w:rFonts w:hint="default"/>
      </w:rPr>
    </w:lvl>
  </w:abstractNum>
  <w:abstractNum w:abstractNumId="8">
    <w:multiLevelType w:val="hybridMultilevel"/>
    <w:lvl w:ilvl="0">
      <w:start w:val="4"/>
      <w:numFmt w:val="decimal"/>
      <w:lvlText w:val="%1"/>
      <w:lvlJc w:val="left"/>
      <w:pPr>
        <w:ind w:left="119" w:hanging="433"/>
        <w:jc w:val="left"/>
      </w:pPr>
      <w:rPr>
        <w:rFonts w:hint="default"/>
      </w:rPr>
    </w:lvl>
    <w:lvl w:ilvl="1">
      <w:start w:val="2"/>
      <w:numFmt w:val="decimal"/>
      <w:lvlText w:val="%1.%2"/>
      <w:lvlJc w:val="left"/>
      <w:pPr>
        <w:ind w:left="119" w:hanging="433"/>
        <w:jc w:val="left"/>
      </w:pPr>
      <w:rPr>
        <w:rFonts w:hint="default"/>
        <w:b/>
        <w:bCs/>
        <w:spacing w:val="-1"/>
        <w:w w:val="99"/>
      </w:rPr>
    </w:lvl>
    <w:lvl w:ilvl="2">
      <w:start w:val="1"/>
      <w:numFmt w:val="bullet"/>
      <w:lvlText w:val=""/>
      <w:lvlJc w:val="left"/>
      <w:pPr>
        <w:ind w:left="840" w:hanging="360"/>
      </w:pPr>
      <w:rPr>
        <w:rFonts w:hint="default" w:ascii="Symbol" w:hAnsi="Symbol" w:eastAsia="Symbol" w:cs="Symbol"/>
        <w:w w:val="100"/>
        <w:sz w:val="24"/>
        <w:szCs w:val="24"/>
      </w:rPr>
    </w:lvl>
    <w:lvl w:ilvl="3">
      <w:start w:val="1"/>
      <w:numFmt w:val="bullet"/>
      <w:lvlText w:val="•"/>
      <w:lvlJc w:val="left"/>
      <w:pPr>
        <w:ind w:left="2733"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7">
    <w:multiLevelType w:val="hybridMultilevel"/>
    <w:lvl w:ilvl="0">
      <w:start w:val="2"/>
      <w:numFmt w:val="decimal"/>
      <w:lvlText w:val="%1"/>
      <w:lvlJc w:val="left"/>
      <w:pPr>
        <w:ind w:left="790" w:hanging="672"/>
        <w:jc w:val="left"/>
      </w:pPr>
      <w:rPr>
        <w:rFonts w:hint="default"/>
      </w:rPr>
    </w:lvl>
    <w:lvl w:ilvl="1">
      <w:start w:val="3"/>
      <w:numFmt w:val="decimal"/>
      <w:lvlText w:val="%1.%2"/>
      <w:lvlJc w:val="left"/>
      <w:pPr>
        <w:ind w:left="790" w:hanging="672"/>
        <w:jc w:val="left"/>
      </w:pPr>
      <w:rPr>
        <w:rFonts w:hint="default"/>
      </w:rPr>
    </w:lvl>
    <w:lvl w:ilvl="2">
      <w:start w:val="1"/>
      <w:numFmt w:val="decimal"/>
      <w:lvlText w:val="%1.%2.%3."/>
      <w:lvlJc w:val="left"/>
      <w:pPr>
        <w:ind w:left="790" w:hanging="672"/>
        <w:jc w:val="left"/>
      </w:pPr>
      <w:rPr>
        <w:rFonts w:hint="default" w:ascii="Arial" w:hAnsi="Arial" w:eastAsia="Arial" w:cs="Arial"/>
        <w:b/>
        <w:bCs/>
        <w:spacing w:val="-5"/>
        <w:w w:val="99"/>
        <w:sz w:val="24"/>
        <w:szCs w:val="24"/>
      </w:rPr>
    </w:lvl>
    <w:lvl w:ilvl="3">
      <w:start w:val="1"/>
      <w:numFmt w:val="bullet"/>
      <w:lvlText w:val=""/>
      <w:lvlJc w:val="left"/>
      <w:pPr>
        <w:ind w:left="840" w:hanging="360"/>
      </w:pPr>
      <w:rPr>
        <w:rFonts w:hint="default" w:ascii="Symbol" w:hAnsi="Symbol" w:eastAsia="Symbol" w:cs="Symbol"/>
        <w:w w:val="100"/>
        <w:sz w:val="24"/>
        <w:szCs w:val="24"/>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6">
    <w:multiLevelType w:val="hybridMultilevel"/>
    <w:lvl w:ilvl="0">
      <w:start w:val="1"/>
      <w:numFmt w:val="decimal"/>
      <w:lvlText w:val="%1."/>
      <w:lvlJc w:val="left"/>
      <w:pPr>
        <w:ind w:left="840" w:hanging="360"/>
        <w:jc w:val="left"/>
      </w:pPr>
      <w:rPr>
        <w:rFonts w:hint="default" w:ascii="Arial" w:hAnsi="Arial" w:eastAsia="Arial" w:cs="Arial"/>
        <w:spacing w:val="-18"/>
        <w:w w:val="99"/>
        <w:sz w:val="24"/>
        <w:szCs w:val="24"/>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5">
    <w:multiLevelType w:val="hybridMultilevel"/>
    <w:lvl w:ilvl="0">
      <w:start w:val="1"/>
      <w:numFmt w:val="bullet"/>
      <w:lvlText w:val=""/>
      <w:lvlJc w:val="left"/>
      <w:pPr>
        <w:ind w:left="475" w:hanging="356"/>
      </w:pPr>
      <w:rPr>
        <w:rFonts w:hint="default"/>
        <w:w w:val="100"/>
      </w:rPr>
    </w:lvl>
    <w:lvl w:ilvl="1">
      <w:start w:val="1"/>
      <w:numFmt w:val="bullet"/>
      <w:lvlText w:val=""/>
      <w:lvlJc w:val="left"/>
      <w:pPr>
        <w:ind w:left="840" w:hanging="360"/>
      </w:pPr>
      <w:rPr>
        <w:rFonts w:hint="default" w:ascii="Symbol" w:hAnsi="Symbol" w:eastAsia="Symbol" w:cs="Symbol"/>
        <w:color w:val="212121"/>
        <w:w w:val="100"/>
        <w:sz w:val="24"/>
        <w:szCs w:val="24"/>
      </w:rPr>
    </w:lvl>
    <w:lvl w:ilvl="2">
      <w:start w:val="1"/>
      <w:numFmt w:val="bullet"/>
      <w:lvlText w:val="•"/>
      <w:lvlJc w:val="left"/>
      <w:pPr>
        <w:ind w:left="1786" w:hanging="360"/>
      </w:pPr>
      <w:rPr>
        <w:rFonts w:hint="default"/>
      </w:rPr>
    </w:lvl>
    <w:lvl w:ilvl="3">
      <w:start w:val="1"/>
      <w:numFmt w:val="bullet"/>
      <w:lvlText w:val="•"/>
      <w:lvlJc w:val="left"/>
      <w:pPr>
        <w:ind w:left="2733"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4">
    <w:multiLevelType w:val="hybridMultilevel"/>
    <w:lvl w:ilvl="0">
      <w:start w:val="1"/>
      <w:numFmt w:val="decimal"/>
      <w:lvlText w:val="%1"/>
      <w:lvlJc w:val="left"/>
      <w:pPr>
        <w:ind w:left="3889" w:hanging="461"/>
        <w:jc w:val="left"/>
      </w:pPr>
      <w:rPr>
        <w:rFonts w:hint="default"/>
      </w:rPr>
    </w:lvl>
    <w:lvl w:ilvl="1">
      <w:start w:val="1"/>
      <w:numFmt w:val="decimal"/>
      <w:lvlText w:val="%1.%2"/>
      <w:lvlJc w:val="left"/>
      <w:pPr>
        <w:ind w:left="3889" w:hanging="461"/>
        <w:jc w:val="right"/>
      </w:pPr>
      <w:rPr>
        <w:rFonts w:hint="default"/>
        <w:b/>
        <w:bCs/>
        <w:spacing w:val="-2"/>
        <w:w w:val="99"/>
      </w:rPr>
    </w:lvl>
    <w:lvl w:ilvl="2">
      <w:start w:val="1"/>
      <w:numFmt w:val="bullet"/>
      <w:lvlText w:val="•"/>
      <w:lvlJc w:val="left"/>
      <w:pPr>
        <w:ind w:left="4972" w:hanging="461"/>
      </w:pPr>
      <w:rPr>
        <w:rFonts w:hint="default"/>
      </w:rPr>
    </w:lvl>
    <w:lvl w:ilvl="3">
      <w:start w:val="1"/>
      <w:numFmt w:val="bullet"/>
      <w:lvlText w:val="•"/>
      <w:lvlJc w:val="left"/>
      <w:pPr>
        <w:ind w:left="5518" w:hanging="461"/>
      </w:pPr>
      <w:rPr>
        <w:rFonts w:hint="default"/>
      </w:rPr>
    </w:lvl>
    <w:lvl w:ilvl="4">
      <w:start w:val="1"/>
      <w:numFmt w:val="bullet"/>
      <w:lvlText w:val="•"/>
      <w:lvlJc w:val="left"/>
      <w:pPr>
        <w:ind w:left="6064" w:hanging="461"/>
      </w:pPr>
      <w:rPr>
        <w:rFonts w:hint="default"/>
      </w:rPr>
    </w:lvl>
    <w:lvl w:ilvl="5">
      <w:start w:val="1"/>
      <w:numFmt w:val="bullet"/>
      <w:lvlText w:val="•"/>
      <w:lvlJc w:val="left"/>
      <w:pPr>
        <w:ind w:left="6610" w:hanging="461"/>
      </w:pPr>
      <w:rPr>
        <w:rFonts w:hint="default"/>
      </w:rPr>
    </w:lvl>
    <w:lvl w:ilvl="6">
      <w:start w:val="1"/>
      <w:numFmt w:val="bullet"/>
      <w:lvlText w:val="•"/>
      <w:lvlJc w:val="left"/>
      <w:pPr>
        <w:ind w:left="7156" w:hanging="461"/>
      </w:pPr>
      <w:rPr>
        <w:rFonts w:hint="default"/>
      </w:rPr>
    </w:lvl>
    <w:lvl w:ilvl="7">
      <w:start w:val="1"/>
      <w:numFmt w:val="bullet"/>
      <w:lvlText w:val="•"/>
      <w:lvlJc w:val="left"/>
      <w:pPr>
        <w:ind w:left="7702" w:hanging="461"/>
      </w:pPr>
      <w:rPr>
        <w:rFonts w:hint="default"/>
      </w:rPr>
    </w:lvl>
    <w:lvl w:ilvl="8">
      <w:start w:val="1"/>
      <w:numFmt w:val="bullet"/>
      <w:lvlText w:val="•"/>
      <w:lvlJc w:val="left"/>
      <w:pPr>
        <w:ind w:left="8248" w:hanging="461"/>
      </w:pPr>
      <w:rPr>
        <w:rFonts w:hint="default"/>
      </w:rPr>
    </w:lvl>
  </w:abstractNum>
  <w:abstractNum w:abstractNumId="3">
    <w:multiLevelType w:val="hybridMultilevel"/>
    <w:lvl w:ilvl="0">
      <w:start w:val="8"/>
      <w:numFmt w:val="upperRoman"/>
      <w:lvlText w:val="%1."/>
      <w:lvlJc w:val="left"/>
      <w:pPr>
        <w:ind w:left="782" w:hanging="663"/>
        <w:jc w:val="left"/>
      </w:pPr>
      <w:rPr>
        <w:rFonts w:hint="default" w:ascii="Arial" w:hAnsi="Arial" w:eastAsia="Arial" w:cs="Arial"/>
        <w:spacing w:val="-4"/>
        <w:w w:val="100"/>
        <w:sz w:val="22"/>
        <w:szCs w:val="22"/>
      </w:rPr>
    </w:lvl>
    <w:lvl w:ilvl="1">
      <w:start w:val="1"/>
      <w:numFmt w:val="upperRoman"/>
      <w:lvlText w:val="%2."/>
      <w:lvlJc w:val="left"/>
      <w:pPr>
        <w:ind w:left="4129" w:hanging="720"/>
        <w:jc w:val="right"/>
      </w:pPr>
      <w:rPr>
        <w:rFonts w:hint="default" w:ascii="Arial" w:hAnsi="Arial" w:eastAsia="Arial" w:cs="Arial"/>
        <w:b/>
        <w:bCs/>
        <w:spacing w:val="-1"/>
        <w:w w:val="99"/>
        <w:sz w:val="28"/>
        <w:szCs w:val="28"/>
      </w:rPr>
    </w:lvl>
    <w:lvl w:ilvl="2">
      <w:start w:val="1"/>
      <w:numFmt w:val="bullet"/>
      <w:lvlText w:val="•"/>
      <w:lvlJc w:val="left"/>
      <w:pPr>
        <w:ind w:left="4120" w:hanging="720"/>
      </w:pPr>
      <w:rPr>
        <w:rFonts w:hint="default"/>
      </w:rPr>
    </w:lvl>
    <w:lvl w:ilvl="3">
      <w:start w:val="1"/>
      <w:numFmt w:val="bullet"/>
      <w:lvlText w:val="•"/>
      <w:lvlJc w:val="left"/>
      <w:pPr>
        <w:ind w:left="4757" w:hanging="720"/>
      </w:pPr>
      <w:rPr>
        <w:rFonts w:hint="default"/>
      </w:rPr>
    </w:lvl>
    <w:lvl w:ilvl="4">
      <w:start w:val="1"/>
      <w:numFmt w:val="bullet"/>
      <w:lvlText w:val="•"/>
      <w:lvlJc w:val="left"/>
      <w:pPr>
        <w:ind w:left="5395" w:hanging="720"/>
      </w:pPr>
      <w:rPr>
        <w:rFonts w:hint="default"/>
      </w:rPr>
    </w:lvl>
    <w:lvl w:ilvl="5">
      <w:start w:val="1"/>
      <w:numFmt w:val="bullet"/>
      <w:lvlText w:val="•"/>
      <w:lvlJc w:val="left"/>
      <w:pPr>
        <w:ind w:left="6032" w:hanging="720"/>
      </w:pPr>
      <w:rPr>
        <w:rFonts w:hint="default"/>
      </w:rPr>
    </w:lvl>
    <w:lvl w:ilvl="6">
      <w:start w:val="1"/>
      <w:numFmt w:val="bullet"/>
      <w:lvlText w:val="•"/>
      <w:lvlJc w:val="left"/>
      <w:pPr>
        <w:ind w:left="6670" w:hanging="720"/>
      </w:pPr>
      <w:rPr>
        <w:rFonts w:hint="default"/>
      </w:rPr>
    </w:lvl>
    <w:lvl w:ilvl="7">
      <w:start w:val="1"/>
      <w:numFmt w:val="bullet"/>
      <w:lvlText w:val="•"/>
      <w:lvlJc w:val="left"/>
      <w:pPr>
        <w:ind w:left="7307" w:hanging="720"/>
      </w:pPr>
      <w:rPr>
        <w:rFonts w:hint="default"/>
      </w:rPr>
    </w:lvl>
    <w:lvl w:ilvl="8">
      <w:start w:val="1"/>
      <w:numFmt w:val="bullet"/>
      <w:lvlText w:val="•"/>
      <w:lvlJc w:val="left"/>
      <w:pPr>
        <w:ind w:left="7945" w:hanging="720"/>
      </w:pPr>
      <w:rPr>
        <w:rFonts w:hint="default"/>
      </w:rPr>
    </w:lvl>
  </w:abstractNum>
  <w:abstractNum w:abstractNumId="2">
    <w:multiLevelType w:val="hybridMultilevel"/>
    <w:lvl w:ilvl="0">
      <w:start w:val="4"/>
      <w:numFmt w:val="decimal"/>
      <w:lvlText w:val="%1"/>
      <w:lvlJc w:val="left"/>
      <w:pPr>
        <w:ind w:left="709" w:hanging="369"/>
        <w:jc w:val="left"/>
      </w:pPr>
      <w:rPr>
        <w:rFonts w:hint="default"/>
      </w:rPr>
    </w:lvl>
    <w:lvl w:ilvl="1">
      <w:start w:val="1"/>
      <w:numFmt w:val="decimal"/>
      <w:lvlText w:val="%1.%2"/>
      <w:lvlJc w:val="left"/>
      <w:pPr>
        <w:ind w:left="709" w:hanging="369"/>
        <w:jc w:val="right"/>
      </w:pPr>
      <w:rPr>
        <w:rFonts w:hint="default"/>
        <w:b/>
        <w:bCs/>
        <w:spacing w:val="0"/>
        <w:w w:val="100"/>
      </w:rPr>
    </w:lvl>
    <w:lvl w:ilvl="2">
      <w:start w:val="1"/>
      <w:numFmt w:val="bullet"/>
      <w:lvlText w:val="•"/>
      <w:lvlJc w:val="left"/>
      <w:pPr>
        <w:ind w:left="2364" w:hanging="369"/>
      </w:pPr>
      <w:rPr>
        <w:rFonts w:hint="default"/>
      </w:rPr>
    </w:lvl>
    <w:lvl w:ilvl="3">
      <w:start w:val="1"/>
      <w:numFmt w:val="bullet"/>
      <w:lvlText w:val="•"/>
      <w:lvlJc w:val="left"/>
      <w:pPr>
        <w:ind w:left="3196" w:hanging="369"/>
      </w:pPr>
      <w:rPr>
        <w:rFonts w:hint="default"/>
      </w:rPr>
    </w:lvl>
    <w:lvl w:ilvl="4">
      <w:start w:val="1"/>
      <w:numFmt w:val="bullet"/>
      <w:lvlText w:val="•"/>
      <w:lvlJc w:val="left"/>
      <w:pPr>
        <w:ind w:left="4028" w:hanging="369"/>
      </w:pPr>
      <w:rPr>
        <w:rFonts w:hint="default"/>
      </w:rPr>
    </w:lvl>
    <w:lvl w:ilvl="5">
      <w:start w:val="1"/>
      <w:numFmt w:val="bullet"/>
      <w:lvlText w:val="•"/>
      <w:lvlJc w:val="left"/>
      <w:pPr>
        <w:ind w:left="4860" w:hanging="369"/>
      </w:pPr>
      <w:rPr>
        <w:rFonts w:hint="default"/>
      </w:rPr>
    </w:lvl>
    <w:lvl w:ilvl="6">
      <w:start w:val="1"/>
      <w:numFmt w:val="bullet"/>
      <w:lvlText w:val="•"/>
      <w:lvlJc w:val="left"/>
      <w:pPr>
        <w:ind w:left="5692" w:hanging="369"/>
      </w:pPr>
      <w:rPr>
        <w:rFonts w:hint="default"/>
      </w:rPr>
    </w:lvl>
    <w:lvl w:ilvl="7">
      <w:start w:val="1"/>
      <w:numFmt w:val="bullet"/>
      <w:lvlText w:val="•"/>
      <w:lvlJc w:val="left"/>
      <w:pPr>
        <w:ind w:left="6524" w:hanging="369"/>
      </w:pPr>
      <w:rPr>
        <w:rFonts w:hint="default"/>
      </w:rPr>
    </w:lvl>
    <w:lvl w:ilvl="8">
      <w:start w:val="1"/>
      <w:numFmt w:val="bullet"/>
      <w:lvlText w:val="•"/>
      <w:lvlJc w:val="left"/>
      <w:pPr>
        <w:ind w:left="7356" w:hanging="369"/>
      </w:pPr>
      <w:rPr>
        <w:rFonts w:hint="default"/>
      </w:rPr>
    </w:lvl>
  </w:abstractNum>
  <w:abstractNum w:abstractNumId="1">
    <w:multiLevelType w:val="hybridMultilevel"/>
    <w:lvl w:ilvl="0">
      <w:start w:val="1"/>
      <w:numFmt w:val="decimal"/>
      <w:lvlText w:val="%1"/>
      <w:lvlJc w:val="left"/>
      <w:pPr>
        <w:ind w:left="488" w:hanging="369"/>
        <w:jc w:val="left"/>
      </w:pPr>
      <w:rPr>
        <w:rFonts w:hint="default"/>
      </w:rPr>
    </w:lvl>
    <w:lvl w:ilvl="1">
      <w:start w:val="1"/>
      <w:numFmt w:val="decimal"/>
      <w:lvlText w:val="%1.%2"/>
      <w:lvlJc w:val="left"/>
      <w:pPr>
        <w:ind w:left="488" w:hanging="369"/>
        <w:jc w:val="left"/>
      </w:pPr>
      <w:rPr>
        <w:rFonts w:hint="default" w:ascii="Arial" w:hAnsi="Arial" w:eastAsia="Arial" w:cs="Arial"/>
        <w:spacing w:val="0"/>
        <w:w w:val="100"/>
        <w:sz w:val="22"/>
        <w:szCs w:val="22"/>
      </w:rPr>
    </w:lvl>
    <w:lvl w:ilvl="2">
      <w:start w:val="1"/>
      <w:numFmt w:val="bullet"/>
      <w:lvlText w:val="•"/>
      <w:lvlJc w:val="left"/>
      <w:pPr>
        <w:ind w:left="2188" w:hanging="369"/>
      </w:pPr>
      <w:rPr>
        <w:rFonts w:hint="default"/>
      </w:rPr>
    </w:lvl>
    <w:lvl w:ilvl="3">
      <w:start w:val="1"/>
      <w:numFmt w:val="bullet"/>
      <w:lvlText w:val="•"/>
      <w:lvlJc w:val="left"/>
      <w:pPr>
        <w:ind w:left="3042" w:hanging="369"/>
      </w:pPr>
      <w:rPr>
        <w:rFonts w:hint="default"/>
      </w:rPr>
    </w:lvl>
    <w:lvl w:ilvl="4">
      <w:start w:val="1"/>
      <w:numFmt w:val="bullet"/>
      <w:lvlText w:val="•"/>
      <w:lvlJc w:val="left"/>
      <w:pPr>
        <w:ind w:left="3896" w:hanging="369"/>
      </w:pPr>
      <w:rPr>
        <w:rFonts w:hint="default"/>
      </w:rPr>
    </w:lvl>
    <w:lvl w:ilvl="5">
      <w:start w:val="1"/>
      <w:numFmt w:val="bullet"/>
      <w:lvlText w:val="•"/>
      <w:lvlJc w:val="left"/>
      <w:pPr>
        <w:ind w:left="4750" w:hanging="369"/>
      </w:pPr>
      <w:rPr>
        <w:rFonts w:hint="default"/>
      </w:rPr>
    </w:lvl>
    <w:lvl w:ilvl="6">
      <w:start w:val="1"/>
      <w:numFmt w:val="bullet"/>
      <w:lvlText w:val="•"/>
      <w:lvlJc w:val="left"/>
      <w:pPr>
        <w:ind w:left="5604" w:hanging="369"/>
      </w:pPr>
      <w:rPr>
        <w:rFonts w:hint="default"/>
      </w:rPr>
    </w:lvl>
    <w:lvl w:ilvl="7">
      <w:start w:val="1"/>
      <w:numFmt w:val="bullet"/>
      <w:lvlText w:val="•"/>
      <w:lvlJc w:val="left"/>
      <w:pPr>
        <w:ind w:left="6458" w:hanging="369"/>
      </w:pPr>
      <w:rPr>
        <w:rFonts w:hint="default"/>
      </w:rPr>
    </w:lvl>
    <w:lvl w:ilvl="8">
      <w:start w:val="1"/>
      <w:numFmt w:val="bullet"/>
      <w:lvlText w:val="•"/>
      <w:lvlJc w:val="left"/>
      <w:pPr>
        <w:ind w:left="7312" w:hanging="369"/>
      </w:pPr>
      <w:rPr>
        <w:rFonts w:hint="default"/>
      </w:rPr>
    </w:lvl>
  </w:abstractNum>
  <w:abstractNum w:abstractNumId="0">
    <w:multiLevelType w:val="hybridMultilevel"/>
    <w:lvl w:ilvl="0">
      <w:start w:val="1"/>
      <w:numFmt w:val="upperRoman"/>
      <w:lvlText w:val="%1."/>
      <w:lvlJc w:val="left"/>
      <w:pPr>
        <w:ind w:left="561" w:hanging="443"/>
        <w:jc w:val="left"/>
      </w:pPr>
      <w:rPr>
        <w:rFonts w:hint="default" w:ascii="Arial" w:hAnsi="Arial" w:eastAsia="Arial" w:cs="Arial"/>
        <w:spacing w:val="-4"/>
        <w:w w:val="100"/>
        <w:sz w:val="22"/>
        <w:szCs w:val="22"/>
      </w:rPr>
    </w:lvl>
    <w:lvl w:ilvl="1">
      <w:start w:val="1"/>
      <w:numFmt w:val="bullet"/>
      <w:lvlText w:val="•"/>
      <w:lvlJc w:val="left"/>
      <w:pPr>
        <w:ind w:left="1406" w:hanging="443"/>
      </w:pPr>
      <w:rPr>
        <w:rFonts w:hint="default"/>
      </w:rPr>
    </w:lvl>
    <w:lvl w:ilvl="2">
      <w:start w:val="1"/>
      <w:numFmt w:val="bullet"/>
      <w:lvlText w:val="•"/>
      <w:lvlJc w:val="left"/>
      <w:pPr>
        <w:ind w:left="2252" w:hanging="443"/>
      </w:pPr>
      <w:rPr>
        <w:rFonts w:hint="default"/>
      </w:rPr>
    </w:lvl>
    <w:lvl w:ilvl="3">
      <w:start w:val="1"/>
      <w:numFmt w:val="bullet"/>
      <w:lvlText w:val="•"/>
      <w:lvlJc w:val="left"/>
      <w:pPr>
        <w:ind w:left="3098" w:hanging="443"/>
      </w:pPr>
      <w:rPr>
        <w:rFonts w:hint="default"/>
      </w:rPr>
    </w:lvl>
    <w:lvl w:ilvl="4">
      <w:start w:val="1"/>
      <w:numFmt w:val="bullet"/>
      <w:lvlText w:val="•"/>
      <w:lvlJc w:val="left"/>
      <w:pPr>
        <w:ind w:left="3944" w:hanging="443"/>
      </w:pPr>
      <w:rPr>
        <w:rFonts w:hint="default"/>
      </w:rPr>
    </w:lvl>
    <w:lvl w:ilvl="5">
      <w:start w:val="1"/>
      <w:numFmt w:val="bullet"/>
      <w:lvlText w:val="•"/>
      <w:lvlJc w:val="left"/>
      <w:pPr>
        <w:ind w:left="4790" w:hanging="443"/>
      </w:pPr>
      <w:rPr>
        <w:rFonts w:hint="default"/>
      </w:rPr>
    </w:lvl>
    <w:lvl w:ilvl="6">
      <w:start w:val="1"/>
      <w:numFmt w:val="bullet"/>
      <w:lvlText w:val="•"/>
      <w:lvlJc w:val="left"/>
      <w:pPr>
        <w:ind w:left="5636" w:hanging="443"/>
      </w:pPr>
      <w:rPr>
        <w:rFonts w:hint="default"/>
      </w:rPr>
    </w:lvl>
    <w:lvl w:ilvl="7">
      <w:start w:val="1"/>
      <w:numFmt w:val="bullet"/>
      <w:lvlText w:val="•"/>
      <w:lvlJc w:val="left"/>
      <w:pPr>
        <w:ind w:left="6482" w:hanging="443"/>
      </w:pPr>
      <w:rPr>
        <w:rFonts w:hint="default"/>
      </w:rPr>
    </w:lvl>
    <w:lvl w:ilvl="8">
      <w:start w:val="1"/>
      <w:numFmt w:val="bullet"/>
      <w:lvlText w:val="•"/>
      <w:lvlJc w:val="left"/>
      <w:pPr>
        <w:ind w:left="7328" w:hanging="443"/>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488" w:hanging="369"/>
    </w:pPr>
    <w:rPr>
      <w:rFonts w:ascii="Arial" w:hAnsi="Arial" w:eastAsia="Arial" w:cs="Arial"/>
      <w:sz w:val="22"/>
      <w:szCs w:val="22"/>
    </w:rPr>
  </w:style>
  <w:style w:styleId="TOC2" w:type="paragraph">
    <w:name w:val="TOC 2"/>
    <w:basedOn w:val="Normal"/>
    <w:uiPriority w:val="1"/>
    <w:qFormat/>
    <w:pPr>
      <w:spacing w:before="120"/>
      <w:ind w:left="340"/>
    </w:pPr>
    <w:rPr>
      <w:rFonts w:ascii="Arial" w:hAnsi="Arial" w:eastAsia="Arial" w:cs="Arial"/>
      <w:b/>
      <w:bCs/>
      <w:sz w:val="22"/>
      <w:szCs w:val="22"/>
    </w:rPr>
  </w:style>
  <w:style w:styleId="TOC3" w:type="paragraph">
    <w:name w:val="TOC 3"/>
    <w:basedOn w:val="Normal"/>
    <w:uiPriority w:val="1"/>
    <w:qFormat/>
    <w:pPr>
      <w:spacing w:before="120"/>
      <w:ind w:left="340"/>
    </w:pPr>
    <w:rPr>
      <w:rFonts w:ascii="Arial" w:hAnsi="Arial" w:eastAsia="Arial" w:cs="Arial"/>
      <w:b/>
      <w:bCs/>
      <w:i/>
    </w:rPr>
  </w:style>
  <w:style w:styleId="TOC4" w:type="paragraph">
    <w:name w:val="TOC 4"/>
    <w:basedOn w:val="Normal"/>
    <w:uiPriority w:val="1"/>
    <w:qFormat/>
    <w:pPr>
      <w:spacing w:before="120"/>
      <w:ind w:left="561"/>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8"/>
      <w:ind w:left="119"/>
      <w:jc w:val="both"/>
      <w:outlineLvl w:val="1"/>
    </w:pPr>
    <w:rPr>
      <w:rFonts w:ascii="Arial" w:hAnsi="Arial" w:eastAsia="Arial" w:cs="Arial"/>
      <w:b/>
      <w:bCs/>
      <w:sz w:val="28"/>
      <w:szCs w:val="28"/>
    </w:rPr>
  </w:style>
  <w:style w:styleId="Heading2" w:type="paragraph">
    <w:name w:val="Heading 2"/>
    <w:basedOn w:val="Normal"/>
    <w:uiPriority w:val="1"/>
    <w:qFormat/>
    <w:pPr>
      <w:spacing w:before="47"/>
      <w:ind w:left="119"/>
      <w:jc w:val="both"/>
      <w:outlineLvl w:val="2"/>
    </w:pPr>
    <w:rPr>
      <w:rFonts w:ascii="Arial" w:hAnsi="Arial" w:eastAsia="Arial" w:cs="Arial"/>
      <w:b/>
      <w:bCs/>
      <w:sz w:val="26"/>
      <w:szCs w:val="26"/>
    </w:rPr>
  </w:style>
  <w:style w:styleId="Heading3" w:type="paragraph">
    <w:name w:val="Heading 3"/>
    <w:basedOn w:val="Normal"/>
    <w:uiPriority w:val="1"/>
    <w:qFormat/>
    <w:pPr>
      <w:ind w:left="119"/>
      <w:jc w:val="both"/>
      <w:outlineLvl w:val="3"/>
    </w:pPr>
    <w:rPr>
      <w:rFonts w:ascii="Arial" w:hAnsi="Arial" w:eastAsia="Arial" w:cs="Arial"/>
      <w:b/>
      <w:bCs/>
      <w:sz w:val="24"/>
      <w:szCs w:val="24"/>
    </w:rPr>
  </w:style>
  <w:style w:styleId="Heading4" w:type="paragraph">
    <w:name w:val="Heading 4"/>
    <w:basedOn w:val="Normal"/>
    <w:uiPriority w:val="1"/>
    <w:qFormat/>
    <w:pPr>
      <w:ind w:left="119"/>
      <w:jc w:val="both"/>
      <w:outlineLvl w:val="4"/>
    </w:pPr>
    <w:rPr>
      <w:rFonts w:ascii="Arial" w:hAnsi="Arial" w:eastAsia="Arial" w:cs="Arial"/>
      <w:b/>
      <w:bCs/>
      <w:i/>
      <w:sz w:val="24"/>
      <w:szCs w:val="24"/>
    </w:rPr>
  </w:style>
  <w:style w:styleId="ListParagraph" w:type="paragraph">
    <w:name w:val="List Paragraph"/>
    <w:basedOn w:val="Normal"/>
    <w:uiPriority w:val="1"/>
    <w:qFormat/>
    <w:pPr>
      <w:spacing w:before="138"/>
      <w:ind w:left="840" w:hanging="360"/>
    </w:pPr>
    <w:rPr>
      <w:rFonts w:ascii="Arial" w:hAnsi="Arial" w:eastAsia="Arial" w:cs="Arial"/>
    </w:rPr>
  </w:style>
  <w:style w:styleId="TableParagraph" w:type="paragraph">
    <w:name w:val="Table Paragraph"/>
    <w:basedOn w:val="Normal"/>
    <w:uiPriority w:val="1"/>
    <w:qFormat/>
    <w:pPr>
      <w:spacing w:before="55"/>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image" Target="media/image2.jpeg"/><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image" Target="media/image5.jpeg"/><Relationship Id="rId22" Type="http://schemas.openxmlformats.org/officeDocument/2006/relationships/image" Target="media/image6.jpeg"/><Relationship Id="rId23" Type="http://schemas.openxmlformats.org/officeDocument/2006/relationships/image" Target="media/image7.jpeg"/><Relationship Id="rId24" Type="http://schemas.openxmlformats.org/officeDocument/2006/relationships/image" Target="media/image8.jpeg"/><Relationship Id="rId25" Type="http://schemas.openxmlformats.org/officeDocument/2006/relationships/image" Target="media/image9.jpeg"/><Relationship Id="rId26" Type="http://schemas.openxmlformats.org/officeDocument/2006/relationships/image" Target="media/image10.jpeg"/><Relationship Id="rId27" Type="http://schemas.openxmlformats.org/officeDocument/2006/relationships/footer" Target="footer13.xml"/><Relationship Id="rId28" Type="http://schemas.openxmlformats.org/officeDocument/2006/relationships/image" Target="media/image11.jpeg"/><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footer" Target="footer17.xml"/><Relationship Id="rId33" Type="http://schemas.openxmlformats.org/officeDocument/2006/relationships/footer" Target="footer18.xml"/><Relationship Id="rId34" Type="http://schemas.openxmlformats.org/officeDocument/2006/relationships/hyperlink" Target="http://www.fao.org/agriculture/dairy-gateway/produccion-lechera/sistemas-de-" TargetMode="External"/><Relationship Id="rId35" Type="http://schemas.openxmlformats.org/officeDocument/2006/relationships/hyperlink" Target="http://www.financierarural.gob.mx/informacionsectorrural/Documents/Monograf" TargetMode="External"/><Relationship Id="rId36" Type="http://schemas.openxmlformats.org/officeDocument/2006/relationships/footer" Target="footer19.xml"/><Relationship Id="rId37" Type="http://schemas.openxmlformats.org/officeDocument/2006/relationships/footer" Target="footer20.xml"/><Relationship Id="rId38" Type="http://schemas.openxmlformats.org/officeDocument/2006/relationships/hyperlink" Target="http://www.sagarpa.gob.mx/ganaderia/Ganaderito/sistcow.htm" TargetMode="External"/><Relationship Id="rId39" Type="http://schemas.openxmlformats.org/officeDocument/2006/relationships/hyperlink" Target="http://www.sagarpa.gob.mx/" TargetMode="External"/><Relationship Id="rId40" Type="http://schemas.openxmlformats.org/officeDocument/2006/relationships/hyperlink" Target="http://www.sagarpa.gob.mx/Dgg" TargetMode="External"/><Relationship Id="rId41" Type="http://schemas.openxmlformats.org/officeDocument/2006/relationships/hyperlink" Target="http://portal2.edomex.gob.mx/sedagro/productores_comercializadores/agro_es" TargetMode="Externa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2017-06-20T20:32:40Z</dcterms:created>
  <dcterms:modified xsi:type="dcterms:W3CDTF">2017-06-20T20:32:40Z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