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97952" w:rsidRDefault="00B97952" w:rsidP="005A3A1B">
      <w:pPr>
        <w:pStyle w:val="Textoindependiente"/>
        <w:ind w:left="-900"/>
        <w:rPr>
          <w:rFonts w:ascii="Franklin Gothic Book" w:hAnsi="Franklin Gothic Book"/>
          <w:smallCaps/>
          <w:lang w:val="es-MX"/>
        </w:rPr>
      </w:pPr>
    </w:p>
    <w:p w:rsidR="005A3A1B" w:rsidRPr="008A5509" w:rsidRDefault="00642BC5" w:rsidP="005A3A1B">
      <w:pPr>
        <w:pStyle w:val="Textoindependiente"/>
        <w:ind w:left="-900"/>
        <w:rPr>
          <w:rFonts w:ascii="Franklin Gothic Book" w:hAnsi="Franklin Gothic Book"/>
          <w:smallCaps/>
          <w:lang w:val="es-MX"/>
        </w:rPr>
      </w:pPr>
      <w:r>
        <w:rPr>
          <w:rFonts w:ascii="Franklin Gothic Book" w:hAnsi="Franklin Gothic Book"/>
          <w:smallCaps/>
          <w:noProof/>
        </w:rPr>
        <w:pict>
          <v:shapetype id="_x0000_t202" coordsize="21600,21600" o:spt="202" path="m,l,21600r21600,l21600,xe">
            <v:stroke joinstyle="miter"/>
            <v:path gradientshapeok="t" o:connecttype="rect"/>
          </v:shapetype>
          <v:shape id="Text Box 3" o:spid="_x0000_s1026" type="#_x0000_t202" style="position:absolute;left:0;text-align:left;margin-left:17.6pt;margin-top:34.8pt;width:474.1pt;height:75.5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" filled="f" stroked="f">
            <v:textbox>
              <w:txbxContent>
                <w:p w:rsidR="00642BC5" w:rsidRPr="00D05F24" w:rsidRDefault="00642BC5" w:rsidP="003269BD">
                  <w:pPr>
                    <w:pStyle w:val="Ttulo"/>
                    <w:ind w:firstLine="142"/>
                    <w:rPr>
                      <w:rFonts w:ascii="Arial" w:hAnsi="Arial" w:cs="Arial"/>
                      <w:i/>
                    </w:rPr>
                  </w:pPr>
                  <w:r w:rsidRPr="00D05F24">
                    <w:rPr>
                      <w:rFonts w:ascii="Arial" w:hAnsi="Arial" w:cs="Arial"/>
                      <w:i/>
                    </w:rPr>
                    <w:t>UNIVERSIDAD AUTÓNOMA DEL ESTADO DE MÉXICO</w:t>
                  </w:r>
                </w:p>
                <w:p w:rsidR="00642BC5" w:rsidRPr="00D05F24" w:rsidRDefault="00642BC5" w:rsidP="005A3A1B">
                  <w:pPr>
                    <w:tabs>
                      <w:tab w:val="left" w:pos="3060"/>
                    </w:tabs>
                    <w:jc w:val="center"/>
                    <w:rPr>
                      <w:rFonts w:cs="Arial"/>
                      <w:sz w:val="24"/>
                      <w:szCs w:val="24"/>
                    </w:rPr>
                  </w:pPr>
                </w:p>
                <w:p w:rsidR="00642BC5" w:rsidRPr="00D05F24" w:rsidRDefault="00642BC5" w:rsidP="003269BD">
                  <w:pPr>
                    <w:pStyle w:val="Ttulo"/>
                    <w:rPr>
                      <w:rFonts w:ascii="Arial" w:hAnsi="Arial" w:cs="Arial"/>
                      <w:i/>
                    </w:rPr>
                  </w:pPr>
                  <w:r w:rsidRPr="00D05F24">
                    <w:rPr>
                      <w:rFonts w:ascii="Arial" w:hAnsi="Arial" w:cs="Arial"/>
                      <w:i/>
                    </w:rPr>
                    <w:t xml:space="preserve">FACULTAD DE MEDICINA VETERINARIA Y ZOOTECNIA </w:t>
                  </w:r>
                </w:p>
                <w:p w:rsidR="00642BC5" w:rsidRPr="003269BD" w:rsidRDefault="00642BC5" w:rsidP="005A3A1B">
                  <w:pPr>
                    <w:tabs>
                      <w:tab w:val="left" w:pos="3060"/>
                    </w:tabs>
                    <w:jc w:val="center"/>
                    <w:rPr>
                      <w:rFonts w:cs="Arial"/>
                      <w:b/>
                    </w:rPr>
                  </w:pPr>
                </w:p>
              </w:txbxContent>
            </v:textbox>
          </v:shape>
        </w:pict>
      </w:r>
      <w:r w:rsidR="005A3A1B">
        <w:rPr>
          <w:rFonts w:ascii="Franklin Gothic Book" w:hAnsi="Franklin Gothic Book"/>
          <w:smallCaps/>
          <w:noProof/>
          <w:lang w:val="es-MX" w:eastAsia="es-MX"/>
        </w:rPr>
        <w:drawing>
          <wp:inline distT="0" distB="0" distL="0" distR="0">
            <wp:extent cx="1325656" cy="1170047"/>
            <wp:effectExtent l="19050" t="0" r="7844" b="0"/>
            <wp:docPr id="5" name="Imagen 1" descr="C:\Users\aparicio\Desktop\maestrias\MAESTRIA CG\uae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paricio\Desktop\maestrias\MAESTRIA CG\uaem.png"/>
                    <pic:cNvPicPr>
                      <a:picLocks noChangeAspect="1" noChangeArrowheads="1"/>
                    </pic:cNvPicPr>
                  </pic:nvPicPr>
                  <pic:blipFill>
                    <a:blip r:embed="rId9" cstate="print"/>
                    <a:srcRect/>
                    <a:stretch>
                      <a:fillRect/>
                    </a:stretch>
                  </pic:blipFill>
                  <pic:spPr bwMode="auto">
                    <a:xfrm>
                      <a:off x="0" y="0"/>
                      <a:ext cx="1340858" cy="1183464"/>
                    </a:xfrm>
                    <a:prstGeom prst="rect">
                      <a:avLst/>
                    </a:prstGeom>
                    <a:noFill/>
                    <a:ln w="9525">
                      <a:noFill/>
                      <a:miter lim="800000"/>
                      <a:headEnd/>
                      <a:tailEnd/>
                    </a:ln>
                  </pic:spPr>
                </pic:pic>
              </a:graphicData>
            </a:graphic>
          </wp:inline>
        </w:drawing>
      </w:r>
    </w:p>
    <w:p w:rsidR="005A3A1B" w:rsidRDefault="005A3A1B" w:rsidP="005A3A1B">
      <w:pPr>
        <w:jc w:val="center"/>
        <w:rPr>
          <w:rFonts w:ascii="Franklin Gothic Book" w:hAnsi="Franklin Gothic Book"/>
          <w:b/>
          <w:bCs/>
          <w:smallCaps/>
          <w:sz w:val="20"/>
          <w:lang w:val="es-MX"/>
        </w:rPr>
      </w:pPr>
    </w:p>
    <w:p w:rsidR="005A3A1B" w:rsidRDefault="005A3A1B" w:rsidP="005A3A1B">
      <w:pPr>
        <w:jc w:val="center"/>
        <w:rPr>
          <w:rFonts w:ascii="Franklin Gothic Book" w:hAnsi="Franklin Gothic Book"/>
          <w:b/>
          <w:bCs/>
          <w:smallCaps/>
          <w:sz w:val="20"/>
          <w:lang w:val="es-MX"/>
        </w:rPr>
      </w:pPr>
    </w:p>
    <w:p w:rsidR="005A3A1B" w:rsidRDefault="00642BC5" w:rsidP="005A3A1B">
      <w:pPr>
        <w:jc w:val="center"/>
        <w:rPr>
          <w:rFonts w:ascii="Franklin Gothic Book" w:hAnsi="Franklin Gothic Book"/>
          <w:b/>
          <w:bCs/>
          <w:smallCaps/>
          <w:sz w:val="20"/>
          <w:lang w:val="es-MX"/>
        </w:rPr>
      </w:pPr>
      <w:r>
        <w:rPr>
          <w:rFonts w:ascii="Franklin Gothic Book" w:hAnsi="Franklin Gothic Book"/>
          <w:b/>
          <w:bCs/>
          <w:smallCaps/>
          <w:noProof/>
        </w:rPr>
        <w:pict>
          <v:line id="_x0000_s1029" style="position:absolute;left:0;text-align:left;flip:x;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8.3pt,5.25pt" to="-28.3pt,41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" strokeweight="4.5pt">
            <v:stroke linestyle="thinThick"/>
          </v:line>
        </w:pict>
      </w:r>
    </w:p>
    <w:p w:rsidR="005A3A1B" w:rsidRDefault="005A3A1B" w:rsidP="0050097F">
      <w:pPr>
        <w:rPr>
          <w:rFonts w:ascii="Franklin Gothic Book" w:hAnsi="Franklin Gothic Book"/>
          <w:b/>
          <w:bCs/>
          <w:smallCaps/>
          <w:sz w:val="20"/>
          <w:lang w:val="es-MX"/>
        </w:rPr>
      </w:pPr>
    </w:p>
    <w:p w:rsidR="005A3A1B" w:rsidRDefault="00642BC5" w:rsidP="005A3A1B">
      <w:pPr>
        <w:jc w:val="center"/>
        <w:rPr>
          <w:rFonts w:ascii="Franklin Gothic Book" w:hAnsi="Franklin Gothic Book"/>
          <w:b/>
          <w:bCs/>
          <w:smallCaps/>
          <w:sz w:val="20"/>
          <w:lang w:val="es-MX"/>
        </w:rPr>
      </w:pPr>
      <w:r>
        <w:rPr>
          <w:rFonts w:ascii="Franklin Gothic Book" w:hAnsi="Franklin Gothic Book"/>
          <w:b/>
          <w:bCs/>
          <w:smallCaps/>
          <w:noProof/>
        </w:rPr>
        <w:pict>
          <v:line id="Line 6" o:spid="_x0000_s1028" style="position:absolute;left:0;text-align:left;flip:x;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9.3pt,8.1pt" to="-19.3pt,37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" strokeweight="4.5pt">
            <v:stroke linestyle="thinThick"/>
          </v:line>
        </w:pict>
      </w:r>
    </w:p>
    <w:p w:rsidR="005A3A1B" w:rsidRPr="006554F9" w:rsidRDefault="005A3A1B" w:rsidP="006554F9">
      <w:pPr>
        <w:spacing w:line="276" w:lineRule="auto"/>
        <w:jc w:val="center"/>
        <w:rPr>
          <w:rFonts w:ascii="Franklin Gothic Book" w:hAnsi="Franklin Gothic Book"/>
          <w:b/>
          <w:bCs/>
          <w:smallCaps/>
          <w:sz w:val="24"/>
          <w:lang w:val="es-MX"/>
        </w:rPr>
      </w:pPr>
    </w:p>
    <w:p w:rsidR="005A3A1B" w:rsidRPr="00D05F24" w:rsidRDefault="00642BC5" w:rsidP="006554F9">
      <w:pPr>
        <w:pStyle w:val="Textoindependiente2"/>
        <w:spacing w:line="276" w:lineRule="auto"/>
        <w:ind w:left="539" w:right="-136"/>
        <w:jc w:val="center"/>
        <w:rPr>
          <w:rFonts w:cs="Arial"/>
          <w:b/>
          <w:sz w:val="24"/>
          <w:szCs w:val="24"/>
          <w:lang w:val="es-MX"/>
        </w:rPr>
      </w:pPr>
      <w:r>
        <w:rPr>
          <w:rFonts w:cs="Arial"/>
          <w:b/>
          <w:bCs/>
          <w:smallCaps/>
          <w:noProof/>
          <w:sz w:val="24"/>
          <w:szCs w:val="24"/>
        </w:rPr>
        <w:pict>
          <v:line id="_x0000_s1027" style="position:absolute;left:0;text-align:left;flip:x;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3pt,5.1pt" to="-7.3pt,32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" strokeweight="4.5pt">
            <v:stroke linestyle="thinThick"/>
          </v:line>
        </w:pict>
      </w:r>
      <w:r w:rsidR="00927445" w:rsidRPr="00D05F24">
        <w:rPr>
          <w:rFonts w:cs="Arial"/>
          <w:sz w:val="24"/>
          <w:szCs w:val="24"/>
          <w:lang w:val="es-MX"/>
        </w:rPr>
        <w:t xml:space="preserve">EFECTOS DE LA YOHIMBINA SOBRE </w:t>
      </w:r>
      <w:r w:rsidR="00A72E14" w:rsidRPr="00D05F24">
        <w:rPr>
          <w:rFonts w:cs="Arial"/>
          <w:sz w:val="24"/>
          <w:szCs w:val="24"/>
          <w:lang w:val="es-MX"/>
        </w:rPr>
        <w:t>PARÁ</w:t>
      </w:r>
      <w:r w:rsidR="00927445" w:rsidRPr="00D05F24">
        <w:rPr>
          <w:rFonts w:cs="Arial"/>
          <w:sz w:val="24"/>
          <w:szCs w:val="24"/>
          <w:lang w:val="es-MX"/>
        </w:rPr>
        <w:t>METROS</w:t>
      </w:r>
      <w:r w:rsidR="00663B53" w:rsidRPr="00D05F24">
        <w:rPr>
          <w:rFonts w:cs="Arial"/>
          <w:sz w:val="24"/>
          <w:szCs w:val="24"/>
          <w:lang w:val="es-MX"/>
        </w:rPr>
        <w:t xml:space="preserve"> FARMACOCINÉTICOS, FARMACODINÁ</w:t>
      </w:r>
      <w:r w:rsidR="00927445" w:rsidRPr="00D05F24">
        <w:rPr>
          <w:rFonts w:cs="Arial"/>
          <w:sz w:val="24"/>
          <w:szCs w:val="24"/>
          <w:lang w:val="es-MX"/>
        </w:rPr>
        <w:t xml:space="preserve">MICOS Y DE COMPORTAMIENTO FARMACOLÓGICO EN CABALLOS SEDADOS CON </w:t>
      </w:r>
      <w:r w:rsidR="00B56224" w:rsidRPr="00D05F24">
        <w:rPr>
          <w:rFonts w:cs="Arial"/>
          <w:sz w:val="24"/>
          <w:szCs w:val="24"/>
          <w:lang w:val="es-MX"/>
        </w:rPr>
        <w:t>DETOMIDINA</w:t>
      </w:r>
      <w:r w:rsidR="00927445" w:rsidRPr="00D05F24">
        <w:rPr>
          <w:rFonts w:cs="Arial"/>
          <w:sz w:val="24"/>
          <w:szCs w:val="24"/>
          <w:lang w:val="es-MX"/>
        </w:rPr>
        <w:t>: REVISIÓN SISTEMÁTICA</w:t>
      </w:r>
    </w:p>
    <w:p w:rsidR="005A3A1B" w:rsidRDefault="005A3A1B" w:rsidP="005A3A1B">
      <w:pPr>
        <w:jc w:val="center"/>
        <w:rPr>
          <w:rFonts w:ascii="Franklin Gothic Book" w:hAnsi="Franklin Gothic Book"/>
          <w:b/>
          <w:bCs/>
          <w:smallCaps/>
        </w:rPr>
      </w:pPr>
    </w:p>
    <w:p w:rsidR="005A3A1B" w:rsidRPr="00D05F24" w:rsidRDefault="003F511C" w:rsidP="005A3A1B">
      <w:pPr>
        <w:jc w:val="center"/>
        <w:rPr>
          <w:rFonts w:cs="Arial"/>
          <w:b/>
          <w:bCs/>
          <w:smallCaps/>
          <w:color w:val="000000" w:themeColor="text1"/>
          <w:sz w:val="24"/>
          <w:szCs w:val="24"/>
          <w:lang w:val="es-MX"/>
        </w:rPr>
      </w:pPr>
      <w:r w:rsidRPr="00D05F24">
        <w:rPr>
          <w:rFonts w:cs="Arial"/>
          <w:b/>
          <w:bCs/>
          <w:smallCaps/>
          <w:color w:val="000000" w:themeColor="text1"/>
          <w:sz w:val="24"/>
          <w:szCs w:val="24"/>
          <w:lang w:val="es-MX"/>
        </w:rPr>
        <w:t>ARTÍ</w:t>
      </w:r>
      <w:r w:rsidR="00546D5F" w:rsidRPr="00D05F24">
        <w:rPr>
          <w:rFonts w:cs="Arial"/>
          <w:b/>
          <w:bCs/>
          <w:smallCaps/>
          <w:color w:val="000000" w:themeColor="text1"/>
          <w:sz w:val="24"/>
          <w:szCs w:val="24"/>
          <w:lang w:val="es-MX"/>
        </w:rPr>
        <w:t>CULO FINALIZADO</w:t>
      </w:r>
      <w:r w:rsidR="00564671" w:rsidRPr="00D05F24">
        <w:rPr>
          <w:rFonts w:cs="Arial"/>
          <w:b/>
          <w:bCs/>
          <w:smallCaps/>
          <w:color w:val="000000" w:themeColor="text1"/>
          <w:sz w:val="24"/>
          <w:szCs w:val="24"/>
          <w:lang w:val="es-MX"/>
        </w:rPr>
        <w:t>.</w:t>
      </w:r>
    </w:p>
    <w:p w:rsidR="0050097F" w:rsidRPr="00D05F24" w:rsidRDefault="0050097F" w:rsidP="0050097F">
      <w:pPr>
        <w:jc w:val="center"/>
        <w:rPr>
          <w:rFonts w:cs="Arial"/>
          <w:b/>
          <w:bCs/>
          <w:smallCaps/>
          <w:sz w:val="24"/>
          <w:szCs w:val="24"/>
          <w:lang w:val="es-MX"/>
        </w:rPr>
      </w:pPr>
    </w:p>
    <w:p w:rsidR="005A3A1B" w:rsidRPr="00D05F24" w:rsidRDefault="005A3A1B" w:rsidP="0050097F">
      <w:pPr>
        <w:jc w:val="center"/>
        <w:rPr>
          <w:rFonts w:cs="Arial"/>
          <w:b/>
          <w:bCs/>
          <w:smallCaps/>
          <w:sz w:val="24"/>
          <w:szCs w:val="24"/>
          <w:lang w:val="es-MX"/>
        </w:rPr>
      </w:pPr>
      <w:r w:rsidRPr="00D05F24">
        <w:rPr>
          <w:rFonts w:cs="Arial"/>
          <w:b/>
          <w:bCs/>
          <w:smallCaps/>
          <w:sz w:val="24"/>
          <w:szCs w:val="24"/>
          <w:lang w:val="es-MX"/>
        </w:rPr>
        <w:t xml:space="preserve">PARA </w:t>
      </w:r>
      <w:r w:rsidR="00EF427C" w:rsidRPr="00D05F24">
        <w:rPr>
          <w:rFonts w:cs="Arial"/>
          <w:b/>
          <w:bCs/>
          <w:smallCaps/>
          <w:sz w:val="24"/>
          <w:szCs w:val="24"/>
          <w:lang w:val="es-MX"/>
        </w:rPr>
        <w:t>Obtener El Título de:</w:t>
      </w:r>
    </w:p>
    <w:p w:rsidR="00EF427C" w:rsidRPr="00D05F24" w:rsidRDefault="00342957" w:rsidP="0050097F">
      <w:pPr>
        <w:jc w:val="center"/>
        <w:rPr>
          <w:rFonts w:cs="Arial"/>
          <w:b/>
          <w:bCs/>
          <w:smallCaps/>
          <w:sz w:val="24"/>
          <w:szCs w:val="24"/>
          <w:lang w:val="es-MX"/>
        </w:rPr>
      </w:pPr>
      <w:r w:rsidRPr="00D05F24">
        <w:rPr>
          <w:rFonts w:cs="Arial"/>
          <w:b/>
          <w:bCs/>
          <w:smallCaps/>
          <w:sz w:val="24"/>
          <w:szCs w:val="24"/>
          <w:lang w:val="es-MX"/>
        </w:rPr>
        <w:t xml:space="preserve">médico veterinario zootecnista </w:t>
      </w:r>
    </w:p>
    <w:p w:rsidR="005A3A1B" w:rsidRPr="00D05F24" w:rsidRDefault="005A3A1B" w:rsidP="005A3A1B">
      <w:pPr>
        <w:jc w:val="center"/>
        <w:rPr>
          <w:rFonts w:cs="Arial"/>
          <w:b/>
          <w:bCs/>
          <w:smallCaps/>
          <w:sz w:val="24"/>
          <w:szCs w:val="24"/>
          <w:lang w:val="es-MX"/>
        </w:rPr>
      </w:pPr>
    </w:p>
    <w:p w:rsidR="0050097F" w:rsidRPr="0050097F" w:rsidRDefault="0050097F" w:rsidP="005A3A1B">
      <w:pPr>
        <w:jc w:val="center"/>
        <w:rPr>
          <w:rFonts w:ascii="Franklin Gothic Book" w:hAnsi="Franklin Gothic Book"/>
          <w:b/>
          <w:bCs/>
          <w:smallCaps/>
          <w:sz w:val="24"/>
          <w:lang w:val="es-MX"/>
        </w:rPr>
      </w:pPr>
    </w:p>
    <w:p w:rsidR="005A3A1B" w:rsidRPr="00D05F24" w:rsidRDefault="0050097F" w:rsidP="005A3A1B">
      <w:pPr>
        <w:pStyle w:val="Ttulo"/>
        <w:rPr>
          <w:rFonts w:ascii="Arial" w:hAnsi="Arial" w:cs="Arial"/>
          <w:lang w:val="es-MX"/>
        </w:rPr>
      </w:pPr>
      <w:r w:rsidRPr="00D05F24">
        <w:rPr>
          <w:rFonts w:ascii="Arial" w:hAnsi="Arial" w:cs="Arial"/>
          <w:lang w:val="es-MX"/>
        </w:rPr>
        <w:t>P R E S E N T A</w:t>
      </w:r>
    </w:p>
    <w:p w:rsidR="005A3A1B" w:rsidRPr="00D05F24" w:rsidRDefault="00927445" w:rsidP="00765B78">
      <w:pPr>
        <w:pStyle w:val="Ttulo"/>
        <w:rPr>
          <w:rFonts w:ascii="Arial" w:hAnsi="Arial" w:cs="Arial"/>
          <w:b w:val="0"/>
          <w:smallCaps/>
          <w:lang w:val="es-MX"/>
        </w:rPr>
      </w:pPr>
      <w:r w:rsidRPr="00D05F24">
        <w:rPr>
          <w:rFonts w:ascii="Arial" w:hAnsi="Arial" w:cs="Arial"/>
          <w:b w:val="0"/>
          <w:smallCaps/>
          <w:lang w:val="es-MX"/>
        </w:rPr>
        <w:t>EDGAR GERARDO OSORNIO PLATA</w:t>
      </w:r>
    </w:p>
    <w:p w:rsidR="005A3A1B" w:rsidRDefault="005A3A1B" w:rsidP="005A3A1B">
      <w:pPr>
        <w:pStyle w:val="Ttulo"/>
        <w:rPr>
          <w:rFonts w:ascii="Franklin Gothic Book" w:hAnsi="Franklin Gothic Book"/>
          <w:lang w:val="es-MX"/>
        </w:rPr>
      </w:pPr>
    </w:p>
    <w:p w:rsidR="005A3A1B" w:rsidRPr="00D05F24" w:rsidRDefault="00095115" w:rsidP="005A3A1B">
      <w:pPr>
        <w:pStyle w:val="Ttulo"/>
        <w:rPr>
          <w:rFonts w:ascii="Arial" w:hAnsi="Arial" w:cs="Arial"/>
          <w:lang w:val="es-MX"/>
        </w:rPr>
      </w:pPr>
      <w:r w:rsidRPr="00D05F24">
        <w:rPr>
          <w:rFonts w:ascii="Arial" w:hAnsi="Arial" w:cs="Arial"/>
          <w:lang w:val="es-MX"/>
        </w:rPr>
        <w:t xml:space="preserve">Asesores: </w:t>
      </w:r>
    </w:p>
    <w:p w:rsidR="005A3A1B" w:rsidRPr="00D05F24" w:rsidRDefault="005A3A1B" w:rsidP="005A3A1B">
      <w:pPr>
        <w:pStyle w:val="Subttulo"/>
        <w:rPr>
          <w:b w:val="0"/>
          <w:lang w:val="es-MX"/>
        </w:rPr>
      </w:pPr>
      <w:r w:rsidRPr="00D05F24">
        <w:rPr>
          <w:b w:val="0"/>
          <w:lang w:val="es-MX"/>
        </w:rPr>
        <w:t xml:space="preserve">DR. </w:t>
      </w:r>
      <w:r w:rsidR="003269BD" w:rsidRPr="00D05F24">
        <w:rPr>
          <w:b w:val="0"/>
          <w:lang w:val="es-MX"/>
        </w:rPr>
        <w:t>Pedro Sánchez Aparicio</w:t>
      </w:r>
    </w:p>
    <w:p w:rsidR="00EF427C" w:rsidRPr="00D05F24" w:rsidRDefault="00EF427C" w:rsidP="00EF427C">
      <w:pPr>
        <w:pStyle w:val="Ttulo"/>
        <w:rPr>
          <w:rFonts w:ascii="Arial" w:hAnsi="Arial" w:cs="Arial"/>
          <w:b w:val="0"/>
          <w:smallCaps/>
          <w:lang w:val="es-MX"/>
        </w:rPr>
      </w:pPr>
      <w:r w:rsidRPr="00D05F24">
        <w:rPr>
          <w:rFonts w:ascii="Arial" w:hAnsi="Arial" w:cs="Arial"/>
          <w:b w:val="0"/>
          <w:smallCaps/>
          <w:lang w:val="es-MX"/>
        </w:rPr>
        <w:t>Dr. José Antonio Ibancovichi Camarillo</w:t>
      </w:r>
    </w:p>
    <w:p w:rsidR="00095115" w:rsidRPr="00D05F24" w:rsidRDefault="00927445" w:rsidP="00095115">
      <w:pPr>
        <w:pStyle w:val="Subttulo"/>
        <w:rPr>
          <w:b w:val="0"/>
          <w:lang w:val="es-MX"/>
        </w:rPr>
      </w:pPr>
      <w:r w:rsidRPr="00D05F24">
        <w:rPr>
          <w:b w:val="0"/>
          <w:lang w:val="es-MX"/>
        </w:rPr>
        <w:t>Dr. Sergio Recillas Morales</w:t>
      </w:r>
      <w:r w:rsidR="00095115" w:rsidRPr="00D05F24">
        <w:rPr>
          <w:b w:val="0"/>
          <w:lang w:val="es-MX"/>
        </w:rPr>
        <w:t xml:space="preserve"> </w:t>
      </w:r>
    </w:p>
    <w:p w:rsidR="00765B78" w:rsidRDefault="00765B78" w:rsidP="0050097F">
      <w:pPr>
        <w:pStyle w:val="Ttulo"/>
        <w:jc w:val="both"/>
        <w:rPr>
          <w:rFonts w:ascii="Franklin Gothic Book" w:hAnsi="Franklin Gothic Book"/>
          <w:b w:val="0"/>
          <w:smallCaps/>
          <w:sz w:val="28"/>
          <w:lang w:val="es-MX"/>
        </w:rPr>
      </w:pPr>
    </w:p>
    <w:p w:rsidR="0050097F" w:rsidRPr="008A5509" w:rsidRDefault="0050097F" w:rsidP="0050097F">
      <w:pPr>
        <w:pStyle w:val="Ttulo"/>
        <w:jc w:val="both"/>
        <w:rPr>
          <w:rFonts w:ascii="Franklin Gothic Book" w:hAnsi="Franklin Gothic Book"/>
          <w:b w:val="0"/>
          <w:lang w:val="es-MX"/>
        </w:rPr>
      </w:pPr>
    </w:p>
    <w:p w:rsidR="006554F9" w:rsidRDefault="006554F9" w:rsidP="005A3A1B">
      <w:pPr>
        <w:pStyle w:val="Ttulo"/>
        <w:ind w:firstLine="340"/>
        <w:jc w:val="left"/>
        <w:rPr>
          <w:rFonts w:ascii="Franklin Gothic Book" w:hAnsi="Franklin Gothic Book"/>
          <w:b w:val="0"/>
          <w:bCs/>
          <w:smallCaps/>
          <w:lang w:val="es-MX"/>
        </w:rPr>
      </w:pPr>
    </w:p>
    <w:p w:rsidR="00D05F24" w:rsidRDefault="003269BD" w:rsidP="00225454">
      <w:pPr>
        <w:pStyle w:val="Ttulo"/>
        <w:ind w:firstLine="340"/>
        <w:jc w:val="right"/>
        <w:rPr>
          <w:rFonts w:ascii="Arial" w:hAnsi="Arial" w:cs="Arial"/>
          <w:b w:val="0"/>
          <w:bCs/>
          <w:smallCaps/>
          <w:lang w:val="es-MX"/>
        </w:rPr>
      </w:pPr>
      <w:r w:rsidRPr="00D05F24">
        <w:rPr>
          <w:rFonts w:ascii="Arial" w:hAnsi="Arial" w:cs="Arial"/>
          <w:b w:val="0"/>
          <w:bCs/>
          <w:smallCaps/>
          <w:lang w:val="es-MX"/>
        </w:rPr>
        <w:t xml:space="preserve">Toluca, Estado de </w:t>
      </w:r>
      <w:r w:rsidR="00A905CF" w:rsidRPr="00D05F24">
        <w:rPr>
          <w:rFonts w:ascii="Arial" w:hAnsi="Arial" w:cs="Arial"/>
          <w:b w:val="0"/>
          <w:bCs/>
          <w:smallCaps/>
          <w:lang w:val="es-MX"/>
        </w:rPr>
        <w:t>México,</w:t>
      </w:r>
      <w:r w:rsidR="00D05F24">
        <w:rPr>
          <w:rFonts w:ascii="Arial" w:hAnsi="Arial" w:cs="Arial"/>
          <w:b w:val="0"/>
          <w:bCs/>
          <w:smallCaps/>
          <w:lang w:val="es-MX"/>
        </w:rPr>
        <w:t xml:space="preserve"> Abril</w:t>
      </w:r>
      <w:r w:rsidR="00A905CF" w:rsidRPr="00D05F24">
        <w:rPr>
          <w:rFonts w:ascii="Arial" w:hAnsi="Arial" w:cs="Arial"/>
          <w:b w:val="0"/>
          <w:bCs/>
          <w:smallCaps/>
          <w:lang w:val="es-MX"/>
        </w:rPr>
        <w:t xml:space="preserve"> </w:t>
      </w:r>
      <w:r w:rsidR="0050097F" w:rsidRPr="00D05F24">
        <w:rPr>
          <w:rFonts w:ascii="Arial" w:hAnsi="Arial" w:cs="Arial"/>
          <w:b w:val="0"/>
          <w:bCs/>
          <w:smallCaps/>
          <w:lang w:val="es-MX"/>
        </w:rPr>
        <w:t xml:space="preserve"> </w:t>
      </w:r>
      <w:r w:rsidR="005A3A1B" w:rsidRPr="00D05F24">
        <w:rPr>
          <w:rFonts w:ascii="Arial" w:hAnsi="Arial" w:cs="Arial"/>
          <w:b w:val="0"/>
          <w:bCs/>
          <w:smallCaps/>
          <w:lang w:val="es-MX"/>
        </w:rPr>
        <w:t>201</w:t>
      </w:r>
      <w:r w:rsidR="00564671" w:rsidRPr="00D05F24">
        <w:rPr>
          <w:rFonts w:ascii="Arial" w:hAnsi="Arial" w:cs="Arial"/>
          <w:b w:val="0"/>
          <w:bCs/>
          <w:smallCaps/>
          <w:lang w:val="es-MX"/>
        </w:rPr>
        <w:t>6</w:t>
      </w:r>
    </w:p>
    <w:p w:rsidR="00927445" w:rsidRPr="00D05F24" w:rsidRDefault="00D05F24" w:rsidP="00225454">
      <w:pPr>
        <w:pStyle w:val="Ttulo"/>
        <w:ind w:firstLine="340"/>
        <w:jc w:val="right"/>
        <w:rPr>
          <w:rFonts w:ascii="Arial" w:hAnsi="Arial" w:cs="Arial"/>
          <w:bCs/>
          <w:smallCaps/>
          <w:lang w:val="es-MX"/>
        </w:rPr>
      </w:pPr>
      <w:r>
        <w:rPr>
          <w:rFonts w:ascii="Franklin Gothic Book" w:hAnsi="Franklin Gothic Book"/>
          <w:b w:val="0"/>
          <w:smallCaps/>
          <w:noProof/>
          <w:sz w:val="28"/>
          <w:lang w:val="es-MX" w:eastAsia="es-MX"/>
        </w:rPr>
        <w:drawing>
          <wp:anchor distT="0" distB="0" distL="114300" distR="114300" simplePos="0" relativeHeight="251668480" behindDoc="1" locked="0" layoutInCell="1" allowOverlap="1">
            <wp:simplePos x="0" y="0"/>
            <wp:positionH relativeFrom="column">
              <wp:posOffset>-445135</wp:posOffset>
            </wp:positionH>
            <wp:positionV relativeFrom="paragraph">
              <wp:posOffset>169916</wp:posOffset>
            </wp:positionV>
            <wp:extent cx="1143635" cy="1376045"/>
            <wp:effectExtent l="133350" t="57150" r="304165" b="224155"/>
            <wp:wrapNone/>
            <wp:docPr id="13" name="Imagen 2" descr="FMVZ_GALA"/>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n 2" descr="FMVZ_GALA"/>
                    <pic:cNvPicPr>
                      <a:picLocks noChangeArrowheads="1"/>
                    </pic:cNvPicPr>
                  </pic:nvPicPr>
                  <pic:blipFill>
                    <a:blip r:embed="rId10" cstate="print"/>
                    <a:srcRect/>
                    <a:stretch>
                      <a:fillRect/>
                    </a:stretch>
                  </pic:blipFill>
                  <pic:spPr bwMode="auto">
                    <a:xfrm>
                      <a:off x="0" y="0"/>
                      <a:ext cx="1143635" cy="1376045"/>
                    </a:xfrm>
                    <a:prstGeom prst="rect">
                      <a:avLst/>
                    </a:prstGeom>
                    <a:ln>
                      <a:noFill/>
                    </a:ln>
                    <a:effectLst>
                      <a:outerShdw blurRad="292100" dist="139700" dir="2700000" algn="tl" rotWithShape="0">
                        <a:srgbClr val="333333">
                          <a:alpha val="65000"/>
                        </a:srgbClr>
                      </a:outerShdw>
                    </a:effectLst>
                  </pic:spPr>
                </pic:pic>
              </a:graphicData>
            </a:graphic>
          </wp:anchor>
        </w:drawing>
      </w:r>
      <w:r w:rsidR="00927445" w:rsidRPr="00D05F24">
        <w:rPr>
          <w:rFonts w:ascii="Arial" w:hAnsi="Arial" w:cs="Arial"/>
          <w:bCs/>
          <w:smallCaps/>
          <w:lang w:val="es-MX"/>
        </w:rPr>
        <w:br w:type="page"/>
      </w:r>
    </w:p>
    <w:p w:rsidR="00927445" w:rsidRDefault="00927445" w:rsidP="009F45AD">
      <w:pPr>
        <w:pStyle w:val="Ttulo"/>
        <w:ind w:firstLine="340"/>
        <w:jc w:val="right"/>
        <w:rPr>
          <w:rFonts w:ascii="Franklin Gothic Book" w:hAnsi="Franklin Gothic Book"/>
          <w:b w:val="0"/>
          <w:bCs/>
          <w:smallCaps/>
          <w:lang w:val="es-MX"/>
        </w:rPr>
      </w:pPr>
    </w:p>
    <w:p w:rsidR="00927445" w:rsidRDefault="00927445" w:rsidP="009F45AD">
      <w:pPr>
        <w:pStyle w:val="Ttulo"/>
        <w:ind w:firstLine="340"/>
        <w:jc w:val="right"/>
        <w:rPr>
          <w:rFonts w:ascii="Franklin Gothic Book" w:hAnsi="Franklin Gothic Book"/>
          <w:b w:val="0"/>
          <w:bCs/>
          <w:smallCaps/>
          <w:lang w:val="es-MX"/>
        </w:rPr>
      </w:pPr>
    </w:p>
    <w:p w:rsidR="00927445" w:rsidRDefault="00927445" w:rsidP="009F45AD">
      <w:pPr>
        <w:pStyle w:val="Ttulo"/>
        <w:ind w:firstLine="340"/>
        <w:jc w:val="right"/>
        <w:rPr>
          <w:rFonts w:ascii="Franklin Gothic Book" w:hAnsi="Franklin Gothic Book"/>
          <w:b w:val="0"/>
          <w:bCs/>
          <w:smallCaps/>
          <w:lang w:val="es-MX"/>
        </w:rPr>
      </w:pPr>
    </w:p>
    <w:p w:rsidR="00927445" w:rsidRDefault="00927445" w:rsidP="009F45AD">
      <w:pPr>
        <w:pStyle w:val="Ttulo"/>
        <w:ind w:firstLine="340"/>
        <w:jc w:val="right"/>
        <w:rPr>
          <w:rFonts w:ascii="Franklin Gothic Book" w:hAnsi="Franklin Gothic Book"/>
          <w:b w:val="0"/>
          <w:bCs/>
          <w:smallCaps/>
          <w:lang w:val="es-MX"/>
        </w:rPr>
      </w:pPr>
    </w:p>
    <w:p w:rsidR="00927445" w:rsidRDefault="00927445" w:rsidP="009F45AD">
      <w:pPr>
        <w:pStyle w:val="Ttulo"/>
        <w:ind w:firstLine="340"/>
        <w:jc w:val="right"/>
        <w:rPr>
          <w:rFonts w:ascii="Franklin Gothic Book" w:hAnsi="Franklin Gothic Book"/>
          <w:b w:val="0"/>
          <w:bCs/>
          <w:smallCaps/>
          <w:lang w:val="es-MX"/>
        </w:rPr>
      </w:pPr>
    </w:p>
    <w:p w:rsidR="00927445" w:rsidRDefault="00927445" w:rsidP="00F10CE5">
      <w:pPr>
        <w:pStyle w:val="Ttulo"/>
        <w:jc w:val="both"/>
        <w:rPr>
          <w:rFonts w:ascii="Franklin Gothic Book" w:hAnsi="Franklin Gothic Book"/>
          <w:b w:val="0"/>
          <w:bCs/>
          <w:smallCaps/>
          <w:lang w:val="es-MX"/>
        </w:rPr>
      </w:pPr>
    </w:p>
    <w:p w:rsidR="00927445" w:rsidRDefault="00927445" w:rsidP="009F45AD">
      <w:pPr>
        <w:pStyle w:val="Ttulo"/>
        <w:ind w:firstLine="340"/>
        <w:jc w:val="right"/>
        <w:rPr>
          <w:rFonts w:ascii="Franklin Gothic Book" w:hAnsi="Franklin Gothic Book"/>
          <w:b w:val="0"/>
          <w:bCs/>
          <w:smallCaps/>
          <w:lang w:val="es-MX"/>
        </w:rPr>
      </w:pPr>
    </w:p>
    <w:p w:rsidR="00927445" w:rsidRDefault="00927445" w:rsidP="00927445">
      <w:pPr>
        <w:pStyle w:val="Ttulo"/>
        <w:ind w:firstLine="340"/>
        <w:rPr>
          <w:rFonts w:ascii="Franklin Gothic Book" w:hAnsi="Franklin Gothic Book"/>
          <w:b w:val="0"/>
          <w:bCs/>
          <w:smallCaps/>
          <w:lang w:val="es-MX"/>
        </w:rPr>
      </w:pPr>
      <w:r w:rsidRPr="00997C3B">
        <w:rPr>
          <w:rFonts w:ascii="Franklin Gothic Book" w:hAnsi="Franklin Gothic Book"/>
          <w:bCs/>
          <w:smallCaps/>
          <w:color w:val="000000" w:themeColor="text1"/>
          <w:sz w:val="32"/>
          <w:lang w:val="es-MX"/>
        </w:rPr>
        <w:t>Título</w:t>
      </w:r>
    </w:p>
    <w:p w:rsidR="00927445" w:rsidRDefault="00927445" w:rsidP="009F45AD">
      <w:pPr>
        <w:pStyle w:val="Ttulo"/>
        <w:ind w:firstLine="340"/>
        <w:jc w:val="right"/>
        <w:rPr>
          <w:rFonts w:ascii="Franklin Gothic Book" w:hAnsi="Franklin Gothic Book"/>
          <w:b w:val="0"/>
          <w:bCs/>
          <w:smallCaps/>
          <w:lang w:val="es-MX"/>
        </w:rPr>
      </w:pPr>
    </w:p>
    <w:p w:rsidR="00927445" w:rsidRDefault="00927445" w:rsidP="009F45AD">
      <w:pPr>
        <w:pStyle w:val="Ttulo"/>
        <w:ind w:firstLine="340"/>
        <w:jc w:val="right"/>
        <w:rPr>
          <w:rFonts w:ascii="Franklin Gothic Book" w:hAnsi="Franklin Gothic Book"/>
          <w:b w:val="0"/>
          <w:bCs/>
          <w:smallCaps/>
          <w:lang w:val="es-MX"/>
        </w:rPr>
      </w:pPr>
    </w:p>
    <w:p w:rsidR="00927445" w:rsidRDefault="00927445" w:rsidP="009F45AD">
      <w:pPr>
        <w:pStyle w:val="Ttulo"/>
        <w:ind w:firstLine="340"/>
        <w:jc w:val="right"/>
        <w:rPr>
          <w:rFonts w:ascii="Franklin Gothic Book" w:hAnsi="Franklin Gothic Book"/>
          <w:b w:val="0"/>
          <w:bCs/>
          <w:smallCaps/>
          <w:lang w:val="es-MX"/>
        </w:rPr>
      </w:pPr>
    </w:p>
    <w:p w:rsidR="00927445" w:rsidRDefault="00927445" w:rsidP="009F45AD">
      <w:pPr>
        <w:pStyle w:val="Ttulo"/>
        <w:ind w:firstLine="340"/>
        <w:jc w:val="right"/>
        <w:rPr>
          <w:rFonts w:ascii="Franklin Gothic Book" w:hAnsi="Franklin Gothic Book"/>
          <w:b w:val="0"/>
          <w:bCs/>
          <w:smallCaps/>
          <w:lang w:val="es-MX"/>
        </w:rPr>
      </w:pPr>
    </w:p>
    <w:p w:rsidR="00927445" w:rsidRDefault="00927445" w:rsidP="009F45AD">
      <w:pPr>
        <w:pStyle w:val="Ttulo"/>
        <w:ind w:firstLine="340"/>
        <w:jc w:val="right"/>
        <w:rPr>
          <w:rFonts w:ascii="Franklin Gothic Book" w:hAnsi="Franklin Gothic Book"/>
          <w:b w:val="0"/>
          <w:bCs/>
          <w:smallCaps/>
          <w:lang w:val="es-MX"/>
        </w:rPr>
      </w:pPr>
    </w:p>
    <w:p w:rsidR="00927445" w:rsidRPr="006554F9" w:rsidRDefault="00927445" w:rsidP="00927445">
      <w:pPr>
        <w:pStyle w:val="Textoindependiente2"/>
        <w:spacing w:line="276" w:lineRule="auto"/>
        <w:ind w:left="539" w:right="-136"/>
        <w:jc w:val="center"/>
        <w:rPr>
          <w:rFonts w:ascii="Franklin Gothic Book" w:hAnsi="Franklin Gothic Book"/>
          <w:b/>
          <w:sz w:val="32"/>
          <w:lang w:val="es-MX"/>
        </w:rPr>
      </w:pPr>
      <w:r>
        <w:rPr>
          <w:rFonts w:ascii="Franklin Gothic Book" w:hAnsi="Franklin Gothic Book"/>
          <w:sz w:val="32"/>
          <w:lang w:val="es-MX"/>
        </w:rPr>
        <w:t xml:space="preserve">EFECTOS DE LA YOHIMBINA </w:t>
      </w:r>
      <w:r w:rsidRPr="00997C3B">
        <w:rPr>
          <w:rFonts w:ascii="Franklin Gothic Book" w:hAnsi="Franklin Gothic Book"/>
          <w:color w:val="000000" w:themeColor="text1"/>
          <w:sz w:val="32"/>
          <w:lang w:val="es-MX"/>
        </w:rPr>
        <w:t xml:space="preserve">SOBRE </w:t>
      </w:r>
      <w:r w:rsidR="00AF1E1A" w:rsidRPr="00997C3B">
        <w:rPr>
          <w:rFonts w:ascii="Franklin Gothic Book" w:hAnsi="Franklin Gothic Book"/>
          <w:color w:val="000000" w:themeColor="text1"/>
          <w:sz w:val="32"/>
          <w:lang w:val="es-MX"/>
        </w:rPr>
        <w:t>PARÁ</w:t>
      </w:r>
      <w:r w:rsidRPr="00997C3B">
        <w:rPr>
          <w:rFonts w:ascii="Franklin Gothic Book" w:hAnsi="Franklin Gothic Book"/>
          <w:color w:val="000000" w:themeColor="text1"/>
          <w:sz w:val="32"/>
          <w:lang w:val="es-MX"/>
        </w:rPr>
        <w:t>METROS</w:t>
      </w:r>
      <w:r w:rsidR="00F10CE5" w:rsidRPr="00997C3B">
        <w:rPr>
          <w:rFonts w:ascii="Franklin Gothic Book" w:hAnsi="Franklin Gothic Book"/>
          <w:color w:val="000000" w:themeColor="text1"/>
          <w:sz w:val="32"/>
          <w:lang w:val="es-MX"/>
        </w:rPr>
        <w:t xml:space="preserve"> </w:t>
      </w:r>
      <w:r w:rsidR="00F10CE5">
        <w:rPr>
          <w:rFonts w:ascii="Franklin Gothic Book" w:hAnsi="Franklin Gothic Book"/>
          <w:sz w:val="32"/>
          <w:lang w:val="es-MX"/>
        </w:rPr>
        <w:t>FARMACOCINÉTICOS, FARMACODINÁ</w:t>
      </w:r>
      <w:r>
        <w:rPr>
          <w:rFonts w:ascii="Franklin Gothic Book" w:hAnsi="Franklin Gothic Book"/>
          <w:sz w:val="32"/>
          <w:lang w:val="es-MX"/>
        </w:rPr>
        <w:t xml:space="preserve">MICOS Y DE COMPORTAMIENTO FARMACOLÓGICO EN CABALLOS SEDADOS CON </w:t>
      </w:r>
      <w:r w:rsidR="00B56224">
        <w:rPr>
          <w:rFonts w:ascii="Franklin Gothic Book" w:hAnsi="Franklin Gothic Book"/>
          <w:sz w:val="32"/>
          <w:lang w:val="es-MX"/>
        </w:rPr>
        <w:t>DET</w:t>
      </w:r>
      <w:r>
        <w:rPr>
          <w:rFonts w:ascii="Franklin Gothic Book" w:hAnsi="Franklin Gothic Book"/>
          <w:sz w:val="32"/>
          <w:lang w:val="es-MX"/>
        </w:rPr>
        <w:t>: REVISIÓN SISTEMÁTICA</w:t>
      </w:r>
    </w:p>
    <w:p w:rsidR="00927445" w:rsidRDefault="00927445" w:rsidP="009F45AD">
      <w:pPr>
        <w:pStyle w:val="Ttulo"/>
        <w:ind w:firstLine="340"/>
        <w:jc w:val="right"/>
        <w:rPr>
          <w:rFonts w:ascii="Franklin Gothic Book" w:hAnsi="Franklin Gothic Book"/>
          <w:b w:val="0"/>
          <w:bCs/>
          <w:smallCaps/>
          <w:lang w:val="es-MX"/>
        </w:rPr>
      </w:pPr>
    </w:p>
    <w:p w:rsidR="00927445" w:rsidRDefault="00927445" w:rsidP="009F45AD">
      <w:pPr>
        <w:pStyle w:val="Ttulo"/>
        <w:ind w:firstLine="340"/>
        <w:jc w:val="right"/>
        <w:rPr>
          <w:rFonts w:ascii="Franklin Gothic Book" w:hAnsi="Franklin Gothic Book"/>
          <w:b w:val="0"/>
          <w:bCs/>
          <w:smallCaps/>
          <w:lang w:val="es-MX"/>
        </w:rPr>
      </w:pPr>
    </w:p>
    <w:p w:rsidR="00927445" w:rsidRDefault="00927445" w:rsidP="009F45AD">
      <w:pPr>
        <w:pStyle w:val="Ttulo"/>
        <w:ind w:firstLine="340"/>
        <w:jc w:val="right"/>
        <w:rPr>
          <w:rFonts w:ascii="Franklin Gothic Book" w:hAnsi="Franklin Gothic Book"/>
          <w:b w:val="0"/>
          <w:bCs/>
          <w:smallCaps/>
          <w:lang w:val="es-MX"/>
        </w:rPr>
      </w:pPr>
    </w:p>
    <w:p w:rsidR="00927445" w:rsidRDefault="00927445" w:rsidP="009F45AD">
      <w:pPr>
        <w:pStyle w:val="Ttulo"/>
        <w:ind w:firstLine="340"/>
        <w:jc w:val="right"/>
        <w:rPr>
          <w:rFonts w:ascii="Franklin Gothic Book" w:hAnsi="Franklin Gothic Book"/>
          <w:b w:val="0"/>
          <w:bCs/>
          <w:smallCaps/>
          <w:lang w:val="es-MX"/>
        </w:rPr>
      </w:pPr>
    </w:p>
    <w:p w:rsidR="006554F9" w:rsidRDefault="006554F9" w:rsidP="009F45AD">
      <w:pPr>
        <w:pStyle w:val="Ttulo"/>
        <w:ind w:firstLine="340"/>
        <w:jc w:val="right"/>
        <w:rPr>
          <w:rFonts w:ascii="Franklin Gothic Book" w:hAnsi="Franklin Gothic Book"/>
          <w:lang w:val="es-MX"/>
        </w:rPr>
      </w:pPr>
      <w:r>
        <w:rPr>
          <w:rFonts w:ascii="Franklin Gothic Book" w:hAnsi="Franklin Gothic Book"/>
          <w:lang w:val="es-MX"/>
        </w:rPr>
        <w:br w:type="page"/>
      </w:r>
    </w:p>
    <w:sdt>
      <w:sdtPr>
        <w:rPr>
          <w:rFonts w:ascii="Arial" w:eastAsia="Batang" w:hAnsi="Arial" w:cs="Times New Roman"/>
          <w:b w:val="0"/>
          <w:bCs w:val="0"/>
          <w:color w:val="auto"/>
          <w:sz w:val="22"/>
          <w:szCs w:val="20"/>
          <w:lang w:val="es-ES" w:eastAsia="es-ES"/>
        </w:rPr>
        <w:id w:val="591286253"/>
        <w:docPartObj>
          <w:docPartGallery w:val="Table of Contents"/>
          <w:docPartUnique/>
        </w:docPartObj>
      </w:sdtPr>
      <w:sdtContent>
        <w:p w:rsidR="00E84B19" w:rsidRPr="00E84B19" w:rsidRDefault="00E84B19" w:rsidP="00E84B19">
          <w:pPr>
            <w:pStyle w:val="TtulodeTDC"/>
            <w:jc w:val="center"/>
            <w:rPr>
              <w:color w:val="auto"/>
            </w:rPr>
          </w:pPr>
          <w:r w:rsidRPr="00E84B19">
            <w:rPr>
              <w:color w:val="auto"/>
              <w:lang w:val="es-ES"/>
            </w:rPr>
            <w:t>Índice</w:t>
          </w:r>
        </w:p>
        <w:p w:rsidR="006962B3" w:rsidRDefault="00A2062B">
          <w:pPr>
            <w:pStyle w:val="TDC1"/>
            <w:tabs>
              <w:tab w:val="right" w:leader="dot" w:pos="8828"/>
            </w:tabs>
            <w:rPr>
              <w:rFonts w:asciiTheme="minorHAnsi" w:eastAsiaTheme="minorEastAsia" w:hAnsiTheme="minorHAnsi" w:cstheme="minorBidi"/>
              <w:noProof/>
              <w:sz w:val="24"/>
              <w:szCs w:val="24"/>
              <w:lang w:val="es-MX" w:eastAsia="ja-JP"/>
            </w:rPr>
          </w:pPr>
          <w:r>
            <w:fldChar w:fldCharType="begin"/>
          </w:r>
          <w:r w:rsidR="00E84B19">
            <w:instrText xml:space="preserve"> TOC \o "1-3" \h \z \u </w:instrText>
          </w:r>
          <w:r>
            <w:fldChar w:fldCharType="separate"/>
          </w:r>
          <w:r w:rsidR="006962B3">
            <w:rPr>
              <w:noProof/>
            </w:rPr>
            <w:t>INTRODUCCIÓN</w:t>
          </w:r>
          <w:r w:rsidR="006962B3">
            <w:rPr>
              <w:noProof/>
            </w:rPr>
            <w:tab/>
          </w:r>
          <w:r>
            <w:rPr>
              <w:noProof/>
            </w:rPr>
            <w:fldChar w:fldCharType="begin"/>
          </w:r>
          <w:r w:rsidR="006962B3">
            <w:rPr>
              <w:noProof/>
            </w:rPr>
            <w:instrText xml:space="preserve"> PAGEREF _Toc325709835 \h </w:instrText>
          </w:r>
          <w:r>
            <w:rPr>
              <w:noProof/>
            </w:rPr>
          </w:r>
          <w:r>
            <w:rPr>
              <w:noProof/>
            </w:rPr>
            <w:fldChar w:fldCharType="separate"/>
          </w:r>
          <w:r w:rsidR="006962B3">
            <w:rPr>
              <w:noProof/>
            </w:rPr>
            <w:t>4</w:t>
          </w:r>
          <w:r>
            <w:rPr>
              <w:noProof/>
            </w:rPr>
            <w:fldChar w:fldCharType="end"/>
          </w:r>
        </w:p>
        <w:p w:rsidR="006962B3" w:rsidRDefault="006962B3">
          <w:pPr>
            <w:pStyle w:val="TDC1"/>
            <w:tabs>
              <w:tab w:val="right" w:leader="dot" w:pos="8828"/>
            </w:tabs>
            <w:rPr>
              <w:rFonts w:asciiTheme="minorHAnsi" w:eastAsiaTheme="minorEastAsia" w:hAnsiTheme="minorHAnsi" w:cstheme="minorBidi"/>
              <w:noProof/>
              <w:sz w:val="24"/>
              <w:szCs w:val="24"/>
              <w:lang w:val="es-MX" w:eastAsia="ja-JP"/>
            </w:rPr>
          </w:pPr>
          <w:r>
            <w:rPr>
              <w:noProof/>
            </w:rPr>
            <w:t>REVISIÓN DE LITERATURA</w:t>
          </w:r>
          <w:r>
            <w:rPr>
              <w:noProof/>
            </w:rPr>
            <w:tab/>
          </w:r>
          <w:r w:rsidR="00A2062B">
            <w:rPr>
              <w:noProof/>
            </w:rPr>
            <w:fldChar w:fldCharType="begin"/>
          </w:r>
          <w:r>
            <w:rPr>
              <w:noProof/>
            </w:rPr>
            <w:instrText xml:space="preserve"> PAGEREF _Toc325709836 \h </w:instrText>
          </w:r>
          <w:r w:rsidR="00A2062B">
            <w:rPr>
              <w:noProof/>
            </w:rPr>
          </w:r>
          <w:r w:rsidR="00A2062B">
            <w:rPr>
              <w:noProof/>
            </w:rPr>
            <w:fldChar w:fldCharType="separate"/>
          </w:r>
          <w:r>
            <w:rPr>
              <w:noProof/>
            </w:rPr>
            <w:t>6</w:t>
          </w:r>
          <w:r w:rsidR="00A2062B">
            <w:rPr>
              <w:noProof/>
            </w:rPr>
            <w:fldChar w:fldCharType="end"/>
          </w:r>
        </w:p>
        <w:p w:rsidR="006962B3" w:rsidRDefault="006962B3">
          <w:pPr>
            <w:pStyle w:val="TDC2"/>
            <w:tabs>
              <w:tab w:val="right" w:leader="dot" w:pos="8828"/>
            </w:tabs>
            <w:rPr>
              <w:rFonts w:asciiTheme="minorHAnsi" w:eastAsiaTheme="minorEastAsia" w:hAnsiTheme="minorHAnsi" w:cstheme="minorBidi"/>
              <w:noProof/>
              <w:sz w:val="24"/>
              <w:szCs w:val="24"/>
              <w:lang w:val="es-MX" w:eastAsia="ja-JP"/>
            </w:rPr>
          </w:pPr>
          <w:r>
            <w:rPr>
              <w:noProof/>
            </w:rPr>
            <w:t>1.- Efecto de la detomidina sobre parámetros farmacocinéticos, farmacodinámicos y de comportamiento farmacológico en caballos.</w:t>
          </w:r>
          <w:r>
            <w:rPr>
              <w:noProof/>
            </w:rPr>
            <w:tab/>
          </w:r>
          <w:r w:rsidR="00A2062B">
            <w:rPr>
              <w:noProof/>
            </w:rPr>
            <w:fldChar w:fldCharType="begin"/>
          </w:r>
          <w:r>
            <w:rPr>
              <w:noProof/>
            </w:rPr>
            <w:instrText xml:space="preserve"> PAGEREF _Toc325709837 \h </w:instrText>
          </w:r>
          <w:r w:rsidR="00A2062B">
            <w:rPr>
              <w:noProof/>
            </w:rPr>
          </w:r>
          <w:r w:rsidR="00A2062B">
            <w:rPr>
              <w:noProof/>
            </w:rPr>
            <w:fldChar w:fldCharType="separate"/>
          </w:r>
          <w:r>
            <w:rPr>
              <w:noProof/>
            </w:rPr>
            <w:t>6</w:t>
          </w:r>
          <w:r w:rsidR="00A2062B">
            <w:rPr>
              <w:noProof/>
            </w:rPr>
            <w:fldChar w:fldCharType="end"/>
          </w:r>
        </w:p>
        <w:p w:rsidR="006962B3" w:rsidRDefault="006962B3">
          <w:pPr>
            <w:pStyle w:val="TDC2"/>
            <w:tabs>
              <w:tab w:val="right" w:leader="dot" w:pos="8828"/>
            </w:tabs>
            <w:rPr>
              <w:rFonts w:asciiTheme="minorHAnsi" w:eastAsiaTheme="minorEastAsia" w:hAnsiTheme="minorHAnsi" w:cstheme="minorBidi"/>
              <w:noProof/>
              <w:sz w:val="24"/>
              <w:szCs w:val="24"/>
              <w:lang w:val="es-MX" w:eastAsia="ja-JP"/>
            </w:rPr>
          </w:pPr>
          <w:r>
            <w:rPr>
              <w:noProof/>
            </w:rPr>
            <w:t>2.- Efecto de la Yohimbina sobre parámetros farmacocinéticos, farmacodinámicos y de comportamiento farmacológico en caballos.</w:t>
          </w:r>
          <w:r>
            <w:rPr>
              <w:noProof/>
            </w:rPr>
            <w:tab/>
          </w:r>
          <w:r w:rsidR="00A2062B">
            <w:rPr>
              <w:noProof/>
            </w:rPr>
            <w:fldChar w:fldCharType="begin"/>
          </w:r>
          <w:r>
            <w:rPr>
              <w:noProof/>
            </w:rPr>
            <w:instrText xml:space="preserve"> PAGEREF _Toc325709838 \h </w:instrText>
          </w:r>
          <w:r w:rsidR="00A2062B">
            <w:rPr>
              <w:noProof/>
            </w:rPr>
          </w:r>
          <w:r w:rsidR="00A2062B">
            <w:rPr>
              <w:noProof/>
            </w:rPr>
            <w:fldChar w:fldCharType="separate"/>
          </w:r>
          <w:r>
            <w:rPr>
              <w:noProof/>
            </w:rPr>
            <w:t>8</w:t>
          </w:r>
          <w:r w:rsidR="00A2062B">
            <w:rPr>
              <w:noProof/>
            </w:rPr>
            <w:fldChar w:fldCharType="end"/>
          </w:r>
        </w:p>
        <w:p w:rsidR="006962B3" w:rsidRDefault="006962B3">
          <w:pPr>
            <w:pStyle w:val="TDC2"/>
            <w:tabs>
              <w:tab w:val="right" w:leader="dot" w:pos="8828"/>
            </w:tabs>
            <w:rPr>
              <w:rFonts w:asciiTheme="minorHAnsi" w:eastAsiaTheme="minorEastAsia" w:hAnsiTheme="minorHAnsi" w:cstheme="minorBidi"/>
              <w:noProof/>
              <w:sz w:val="24"/>
              <w:szCs w:val="24"/>
              <w:lang w:val="es-MX" w:eastAsia="ja-JP"/>
            </w:rPr>
          </w:pPr>
          <w:r>
            <w:rPr>
              <w:noProof/>
            </w:rPr>
            <w:t>3. Efecto de la Yohimbina sobre parámetros farmacocinéticos, farmacodinámicos y de comportamiento farmacológico en caballos sedados con detomidina.</w:t>
          </w:r>
          <w:r>
            <w:rPr>
              <w:noProof/>
            </w:rPr>
            <w:tab/>
          </w:r>
          <w:r w:rsidR="00A2062B">
            <w:rPr>
              <w:noProof/>
            </w:rPr>
            <w:fldChar w:fldCharType="begin"/>
          </w:r>
          <w:r>
            <w:rPr>
              <w:noProof/>
            </w:rPr>
            <w:instrText xml:space="preserve"> PAGEREF _Toc325709839 \h </w:instrText>
          </w:r>
          <w:r w:rsidR="00A2062B">
            <w:rPr>
              <w:noProof/>
            </w:rPr>
          </w:r>
          <w:r w:rsidR="00A2062B">
            <w:rPr>
              <w:noProof/>
            </w:rPr>
            <w:fldChar w:fldCharType="separate"/>
          </w:r>
          <w:r>
            <w:rPr>
              <w:noProof/>
            </w:rPr>
            <w:t>11</w:t>
          </w:r>
          <w:r w:rsidR="00A2062B">
            <w:rPr>
              <w:noProof/>
            </w:rPr>
            <w:fldChar w:fldCharType="end"/>
          </w:r>
        </w:p>
        <w:p w:rsidR="006962B3" w:rsidRDefault="006962B3">
          <w:pPr>
            <w:pStyle w:val="TDC1"/>
            <w:tabs>
              <w:tab w:val="right" w:leader="dot" w:pos="8828"/>
            </w:tabs>
            <w:rPr>
              <w:rFonts w:asciiTheme="minorHAnsi" w:eastAsiaTheme="minorEastAsia" w:hAnsiTheme="minorHAnsi" w:cstheme="minorBidi"/>
              <w:noProof/>
              <w:sz w:val="24"/>
              <w:szCs w:val="24"/>
              <w:lang w:val="es-MX" w:eastAsia="ja-JP"/>
            </w:rPr>
          </w:pPr>
          <w:r>
            <w:rPr>
              <w:noProof/>
            </w:rPr>
            <w:t>JUSTIFICACIÓN</w:t>
          </w:r>
          <w:r>
            <w:rPr>
              <w:noProof/>
            </w:rPr>
            <w:tab/>
          </w:r>
          <w:r w:rsidR="00A2062B">
            <w:rPr>
              <w:noProof/>
            </w:rPr>
            <w:fldChar w:fldCharType="begin"/>
          </w:r>
          <w:r>
            <w:rPr>
              <w:noProof/>
            </w:rPr>
            <w:instrText xml:space="preserve"> PAGEREF _Toc325709840 \h </w:instrText>
          </w:r>
          <w:r w:rsidR="00A2062B">
            <w:rPr>
              <w:noProof/>
            </w:rPr>
          </w:r>
          <w:r w:rsidR="00A2062B">
            <w:rPr>
              <w:noProof/>
            </w:rPr>
            <w:fldChar w:fldCharType="separate"/>
          </w:r>
          <w:r>
            <w:rPr>
              <w:noProof/>
            </w:rPr>
            <w:t>14</w:t>
          </w:r>
          <w:r w:rsidR="00A2062B">
            <w:rPr>
              <w:noProof/>
            </w:rPr>
            <w:fldChar w:fldCharType="end"/>
          </w:r>
        </w:p>
        <w:p w:rsidR="006962B3" w:rsidRDefault="006962B3">
          <w:pPr>
            <w:pStyle w:val="TDC1"/>
            <w:tabs>
              <w:tab w:val="right" w:leader="dot" w:pos="8828"/>
            </w:tabs>
            <w:rPr>
              <w:rFonts w:asciiTheme="minorHAnsi" w:eastAsiaTheme="minorEastAsia" w:hAnsiTheme="minorHAnsi" w:cstheme="minorBidi"/>
              <w:noProof/>
              <w:sz w:val="24"/>
              <w:szCs w:val="24"/>
              <w:lang w:val="es-MX" w:eastAsia="ja-JP"/>
            </w:rPr>
          </w:pPr>
          <w:r>
            <w:rPr>
              <w:noProof/>
            </w:rPr>
            <w:t>HIPÓTESIS</w:t>
          </w:r>
          <w:r>
            <w:rPr>
              <w:noProof/>
            </w:rPr>
            <w:tab/>
          </w:r>
          <w:r w:rsidR="00A2062B">
            <w:rPr>
              <w:noProof/>
            </w:rPr>
            <w:fldChar w:fldCharType="begin"/>
          </w:r>
          <w:r>
            <w:rPr>
              <w:noProof/>
            </w:rPr>
            <w:instrText xml:space="preserve"> PAGEREF _Toc325709841 \h </w:instrText>
          </w:r>
          <w:r w:rsidR="00A2062B">
            <w:rPr>
              <w:noProof/>
            </w:rPr>
          </w:r>
          <w:r w:rsidR="00A2062B">
            <w:rPr>
              <w:noProof/>
            </w:rPr>
            <w:fldChar w:fldCharType="separate"/>
          </w:r>
          <w:r>
            <w:rPr>
              <w:noProof/>
            </w:rPr>
            <w:t>14</w:t>
          </w:r>
          <w:r w:rsidR="00A2062B">
            <w:rPr>
              <w:noProof/>
            </w:rPr>
            <w:fldChar w:fldCharType="end"/>
          </w:r>
        </w:p>
        <w:p w:rsidR="006962B3" w:rsidRDefault="006962B3">
          <w:pPr>
            <w:pStyle w:val="TDC1"/>
            <w:tabs>
              <w:tab w:val="right" w:leader="dot" w:pos="8828"/>
            </w:tabs>
            <w:rPr>
              <w:rFonts w:asciiTheme="minorHAnsi" w:eastAsiaTheme="minorEastAsia" w:hAnsiTheme="minorHAnsi" w:cstheme="minorBidi"/>
              <w:noProof/>
              <w:sz w:val="24"/>
              <w:szCs w:val="24"/>
              <w:lang w:val="es-MX" w:eastAsia="ja-JP"/>
            </w:rPr>
          </w:pPr>
          <w:r>
            <w:rPr>
              <w:noProof/>
            </w:rPr>
            <w:t>OBJETIVOS</w:t>
          </w:r>
          <w:r>
            <w:rPr>
              <w:noProof/>
            </w:rPr>
            <w:tab/>
          </w:r>
          <w:r w:rsidR="00A2062B">
            <w:rPr>
              <w:noProof/>
            </w:rPr>
            <w:fldChar w:fldCharType="begin"/>
          </w:r>
          <w:r>
            <w:rPr>
              <w:noProof/>
            </w:rPr>
            <w:instrText xml:space="preserve"> PAGEREF _Toc325709842 \h </w:instrText>
          </w:r>
          <w:r w:rsidR="00A2062B">
            <w:rPr>
              <w:noProof/>
            </w:rPr>
          </w:r>
          <w:r w:rsidR="00A2062B">
            <w:rPr>
              <w:noProof/>
            </w:rPr>
            <w:fldChar w:fldCharType="separate"/>
          </w:r>
          <w:r>
            <w:rPr>
              <w:noProof/>
            </w:rPr>
            <w:t>15</w:t>
          </w:r>
          <w:r w:rsidR="00A2062B">
            <w:rPr>
              <w:noProof/>
            </w:rPr>
            <w:fldChar w:fldCharType="end"/>
          </w:r>
        </w:p>
        <w:p w:rsidR="006962B3" w:rsidRDefault="006962B3">
          <w:pPr>
            <w:pStyle w:val="TDC2"/>
            <w:tabs>
              <w:tab w:val="right" w:leader="dot" w:pos="8828"/>
            </w:tabs>
            <w:rPr>
              <w:rFonts w:asciiTheme="minorHAnsi" w:eastAsiaTheme="minorEastAsia" w:hAnsiTheme="minorHAnsi" w:cstheme="minorBidi"/>
              <w:noProof/>
              <w:sz w:val="24"/>
              <w:szCs w:val="24"/>
              <w:lang w:val="es-MX" w:eastAsia="ja-JP"/>
            </w:rPr>
          </w:pPr>
          <w:r w:rsidRPr="00600969">
            <w:rPr>
              <w:noProof/>
              <w:lang w:val="es-MX"/>
            </w:rPr>
            <w:t>Específicos</w:t>
          </w:r>
          <w:r>
            <w:rPr>
              <w:noProof/>
            </w:rPr>
            <w:tab/>
          </w:r>
          <w:r w:rsidR="00A2062B">
            <w:rPr>
              <w:noProof/>
            </w:rPr>
            <w:fldChar w:fldCharType="begin"/>
          </w:r>
          <w:r>
            <w:rPr>
              <w:noProof/>
            </w:rPr>
            <w:instrText xml:space="preserve"> PAGEREF _Toc325709843 \h </w:instrText>
          </w:r>
          <w:r w:rsidR="00A2062B">
            <w:rPr>
              <w:noProof/>
            </w:rPr>
          </w:r>
          <w:r w:rsidR="00A2062B">
            <w:rPr>
              <w:noProof/>
            </w:rPr>
            <w:fldChar w:fldCharType="separate"/>
          </w:r>
          <w:r>
            <w:rPr>
              <w:noProof/>
            </w:rPr>
            <w:t>15</w:t>
          </w:r>
          <w:r w:rsidR="00A2062B">
            <w:rPr>
              <w:noProof/>
            </w:rPr>
            <w:fldChar w:fldCharType="end"/>
          </w:r>
        </w:p>
        <w:p w:rsidR="006962B3" w:rsidRDefault="006962B3">
          <w:pPr>
            <w:pStyle w:val="TDC1"/>
            <w:tabs>
              <w:tab w:val="right" w:leader="dot" w:pos="8828"/>
            </w:tabs>
            <w:rPr>
              <w:rFonts w:asciiTheme="minorHAnsi" w:eastAsiaTheme="minorEastAsia" w:hAnsiTheme="minorHAnsi" w:cstheme="minorBidi"/>
              <w:noProof/>
              <w:sz w:val="24"/>
              <w:szCs w:val="24"/>
              <w:lang w:val="es-MX" w:eastAsia="ja-JP"/>
            </w:rPr>
          </w:pPr>
          <w:r>
            <w:rPr>
              <w:noProof/>
            </w:rPr>
            <w:t>MATERIAL Y MÉTODO</w:t>
          </w:r>
          <w:r>
            <w:rPr>
              <w:noProof/>
            </w:rPr>
            <w:tab/>
          </w:r>
          <w:r w:rsidR="00A2062B">
            <w:rPr>
              <w:noProof/>
            </w:rPr>
            <w:fldChar w:fldCharType="begin"/>
          </w:r>
          <w:r>
            <w:rPr>
              <w:noProof/>
            </w:rPr>
            <w:instrText xml:space="preserve"> PAGEREF _Toc325709844 \h </w:instrText>
          </w:r>
          <w:r w:rsidR="00A2062B">
            <w:rPr>
              <w:noProof/>
            </w:rPr>
          </w:r>
          <w:r w:rsidR="00A2062B">
            <w:rPr>
              <w:noProof/>
            </w:rPr>
            <w:fldChar w:fldCharType="separate"/>
          </w:r>
          <w:r>
            <w:rPr>
              <w:noProof/>
            </w:rPr>
            <w:t>16</w:t>
          </w:r>
          <w:r w:rsidR="00A2062B">
            <w:rPr>
              <w:noProof/>
            </w:rPr>
            <w:fldChar w:fldCharType="end"/>
          </w:r>
        </w:p>
        <w:p w:rsidR="006962B3" w:rsidRDefault="006962B3">
          <w:pPr>
            <w:pStyle w:val="TDC2"/>
            <w:tabs>
              <w:tab w:val="right" w:leader="dot" w:pos="8828"/>
            </w:tabs>
            <w:rPr>
              <w:rFonts w:asciiTheme="minorHAnsi" w:eastAsiaTheme="minorEastAsia" w:hAnsiTheme="minorHAnsi" w:cstheme="minorBidi"/>
              <w:noProof/>
              <w:sz w:val="24"/>
              <w:szCs w:val="24"/>
              <w:lang w:val="es-MX" w:eastAsia="ja-JP"/>
            </w:rPr>
          </w:pPr>
          <w:r w:rsidRPr="00600969">
            <w:rPr>
              <w:noProof/>
              <w:lang w:val="es-MX"/>
            </w:rPr>
            <w:t>Diseño experimental.</w:t>
          </w:r>
          <w:r>
            <w:rPr>
              <w:noProof/>
            </w:rPr>
            <w:tab/>
          </w:r>
          <w:r w:rsidR="00A2062B">
            <w:rPr>
              <w:noProof/>
            </w:rPr>
            <w:fldChar w:fldCharType="begin"/>
          </w:r>
          <w:r>
            <w:rPr>
              <w:noProof/>
            </w:rPr>
            <w:instrText xml:space="preserve"> PAGEREF _Toc325709845 \h </w:instrText>
          </w:r>
          <w:r w:rsidR="00A2062B">
            <w:rPr>
              <w:noProof/>
            </w:rPr>
          </w:r>
          <w:r w:rsidR="00A2062B">
            <w:rPr>
              <w:noProof/>
            </w:rPr>
            <w:fldChar w:fldCharType="separate"/>
          </w:r>
          <w:r>
            <w:rPr>
              <w:noProof/>
            </w:rPr>
            <w:t>16</w:t>
          </w:r>
          <w:r w:rsidR="00A2062B">
            <w:rPr>
              <w:noProof/>
            </w:rPr>
            <w:fldChar w:fldCharType="end"/>
          </w:r>
        </w:p>
        <w:p w:rsidR="006962B3" w:rsidRDefault="006962B3">
          <w:pPr>
            <w:pStyle w:val="TDC1"/>
            <w:tabs>
              <w:tab w:val="right" w:leader="dot" w:pos="8828"/>
            </w:tabs>
            <w:rPr>
              <w:rFonts w:asciiTheme="minorHAnsi" w:eastAsiaTheme="minorEastAsia" w:hAnsiTheme="minorHAnsi" w:cstheme="minorBidi"/>
              <w:noProof/>
              <w:sz w:val="24"/>
              <w:szCs w:val="24"/>
              <w:lang w:val="es-MX" w:eastAsia="ja-JP"/>
            </w:rPr>
          </w:pPr>
          <w:r>
            <w:rPr>
              <w:noProof/>
            </w:rPr>
            <w:t>RESULTADOS</w:t>
          </w:r>
          <w:r>
            <w:rPr>
              <w:noProof/>
            </w:rPr>
            <w:tab/>
          </w:r>
          <w:r w:rsidR="00A2062B">
            <w:rPr>
              <w:noProof/>
            </w:rPr>
            <w:fldChar w:fldCharType="begin"/>
          </w:r>
          <w:r>
            <w:rPr>
              <w:noProof/>
            </w:rPr>
            <w:instrText xml:space="preserve"> PAGEREF _Toc325709846 \h </w:instrText>
          </w:r>
          <w:r w:rsidR="00A2062B">
            <w:rPr>
              <w:noProof/>
            </w:rPr>
          </w:r>
          <w:r w:rsidR="00A2062B">
            <w:rPr>
              <w:noProof/>
            </w:rPr>
            <w:fldChar w:fldCharType="separate"/>
          </w:r>
          <w:r>
            <w:rPr>
              <w:noProof/>
            </w:rPr>
            <w:t>21</w:t>
          </w:r>
          <w:r w:rsidR="00A2062B">
            <w:rPr>
              <w:noProof/>
            </w:rPr>
            <w:fldChar w:fldCharType="end"/>
          </w:r>
        </w:p>
        <w:p w:rsidR="006962B3" w:rsidRDefault="006962B3">
          <w:pPr>
            <w:pStyle w:val="TDC1"/>
            <w:tabs>
              <w:tab w:val="right" w:leader="dot" w:pos="8828"/>
            </w:tabs>
            <w:rPr>
              <w:rFonts w:asciiTheme="minorHAnsi" w:eastAsiaTheme="minorEastAsia" w:hAnsiTheme="minorHAnsi" w:cstheme="minorBidi"/>
              <w:noProof/>
              <w:sz w:val="24"/>
              <w:szCs w:val="24"/>
              <w:lang w:val="es-MX" w:eastAsia="ja-JP"/>
            </w:rPr>
          </w:pPr>
          <w:r>
            <w:rPr>
              <w:noProof/>
            </w:rPr>
            <w:t>CONCLUSIÓN</w:t>
          </w:r>
          <w:r>
            <w:rPr>
              <w:noProof/>
            </w:rPr>
            <w:tab/>
          </w:r>
          <w:r w:rsidR="00A2062B">
            <w:rPr>
              <w:noProof/>
            </w:rPr>
            <w:fldChar w:fldCharType="begin"/>
          </w:r>
          <w:r>
            <w:rPr>
              <w:noProof/>
            </w:rPr>
            <w:instrText xml:space="preserve"> PAGEREF _Toc325709847 \h </w:instrText>
          </w:r>
          <w:r w:rsidR="00A2062B">
            <w:rPr>
              <w:noProof/>
            </w:rPr>
          </w:r>
          <w:r w:rsidR="00A2062B">
            <w:rPr>
              <w:noProof/>
            </w:rPr>
            <w:fldChar w:fldCharType="separate"/>
          </w:r>
          <w:r>
            <w:rPr>
              <w:noProof/>
            </w:rPr>
            <w:t>48</w:t>
          </w:r>
          <w:r w:rsidR="00A2062B">
            <w:rPr>
              <w:noProof/>
            </w:rPr>
            <w:fldChar w:fldCharType="end"/>
          </w:r>
        </w:p>
        <w:p w:rsidR="006962B3" w:rsidRDefault="006962B3">
          <w:pPr>
            <w:pStyle w:val="TDC1"/>
            <w:tabs>
              <w:tab w:val="right" w:leader="dot" w:pos="8828"/>
            </w:tabs>
            <w:rPr>
              <w:rFonts w:asciiTheme="minorHAnsi" w:eastAsiaTheme="minorEastAsia" w:hAnsiTheme="minorHAnsi" w:cstheme="minorBidi"/>
              <w:noProof/>
              <w:sz w:val="24"/>
              <w:szCs w:val="24"/>
              <w:lang w:val="es-MX" w:eastAsia="ja-JP"/>
            </w:rPr>
          </w:pPr>
          <w:r>
            <w:rPr>
              <w:noProof/>
            </w:rPr>
            <w:t>LITERATURA CITADA</w:t>
          </w:r>
          <w:r>
            <w:rPr>
              <w:noProof/>
            </w:rPr>
            <w:tab/>
          </w:r>
          <w:r w:rsidR="00A2062B">
            <w:rPr>
              <w:noProof/>
            </w:rPr>
            <w:fldChar w:fldCharType="begin"/>
          </w:r>
          <w:r>
            <w:rPr>
              <w:noProof/>
            </w:rPr>
            <w:instrText xml:space="preserve"> PAGEREF _Toc325709848 \h </w:instrText>
          </w:r>
          <w:r w:rsidR="00A2062B">
            <w:rPr>
              <w:noProof/>
            </w:rPr>
          </w:r>
          <w:r w:rsidR="00A2062B">
            <w:rPr>
              <w:noProof/>
            </w:rPr>
            <w:fldChar w:fldCharType="separate"/>
          </w:r>
          <w:r>
            <w:rPr>
              <w:noProof/>
            </w:rPr>
            <w:t>49</w:t>
          </w:r>
          <w:r w:rsidR="00A2062B">
            <w:rPr>
              <w:noProof/>
            </w:rPr>
            <w:fldChar w:fldCharType="end"/>
          </w:r>
        </w:p>
        <w:p w:rsidR="00E84B19" w:rsidRDefault="00A2062B">
          <w:r>
            <w:rPr>
              <w:b/>
              <w:bCs/>
            </w:rPr>
            <w:fldChar w:fldCharType="end"/>
          </w:r>
          <w:r w:rsidR="006962B3">
            <w:t xml:space="preserve"> </w:t>
          </w:r>
        </w:p>
      </w:sdtContent>
    </w:sdt>
    <w:p w:rsidR="00EF427C" w:rsidRPr="00D82CE3" w:rsidRDefault="00EF427C">
      <w:pPr>
        <w:spacing w:line="360" w:lineRule="auto"/>
        <w:rPr>
          <w:rFonts w:eastAsia="Times New Roman" w:cs="Arial"/>
          <w:b/>
          <w:sz w:val="24"/>
          <w:szCs w:val="24"/>
          <w:lang w:val="es-MX"/>
        </w:rPr>
      </w:pPr>
    </w:p>
    <w:p w:rsidR="00EF427C" w:rsidRPr="00D82CE3" w:rsidRDefault="00EF427C">
      <w:pPr>
        <w:spacing w:line="360" w:lineRule="auto"/>
        <w:rPr>
          <w:rFonts w:eastAsia="Times New Roman" w:cs="Arial"/>
          <w:b/>
          <w:sz w:val="24"/>
          <w:szCs w:val="24"/>
          <w:lang w:val="es-MX"/>
        </w:rPr>
      </w:pPr>
    </w:p>
    <w:p w:rsidR="00EF427C" w:rsidRPr="003B76B8" w:rsidRDefault="00EF427C">
      <w:pPr>
        <w:spacing w:line="360" w:lineRule="auto"/>
        <w:rPr>
          <w:rFonts w:eastAsia="Times New Roman" w:cs="Arial"/>
          <w:b/>
          <w:sz w:val="24"/>
          <w:szCs w:val="24"/>
          <w:lang w:val="es-MX"/>
        </w:rPr>
      </w:pPr>
      <w:r w:rsidRPr="00D82CE3">
        <w:rPr>
          <w:rFonts w:eastAsia="Times New Roman" w:cs="Arial"/>
          <w:b/>
          <w:sz w:val="24"/>
          <w:szCs w:val="24"/>
          <w:lang w:val="es-MX"/>
        </w:rPr>
        <w:br w:type="page"/>
      </w:r>
    </w:p>
    <w:p w:rsidR="008273EB" w:rsidRPr="0050097F" w:rsidRDefault="00D82CE3" w:rsidP="0050097F">
      <w:pPr>
        <w:pStyle w:val="Ttulo1"/>
        <w:spacing w:line="360" w:lineRule="auto"/>
        <w:ind w:left="720" w:hanging="360"/>
        <w:jc w:val="center"/>
        <w:rPr>
          <w:sz w:val="24"/>
          <w:szCs w:val="24"/>
        </w:rPr>
      </w:pPr>
      <w:bookmarkStart w:id="0" w:name="_Toc235771664"/>
      <w:bookmarkStart w:id="1" w:name="_Toc349035335"/>
      <w:bookmarkStart w:id="2" w:name="_Toc325709835"/>
      <w:r w:rsidRPr="0050097F">
        <w:rPr>
          <w:sz w:val="24"/>
          <w:szCs w:val="24"/>
        </w:rPr>
        <w:lastRenderedPageBreak/>
        <w:t>INTRODUCCIÓN</w:t>
      </w:r>
      <w:bookmarkEnd w:id="0"/>
      <w:bookmarkEnd w:id="1"/>
      <w:bookmarkEnd w:id="2"/>
    </w:p>
    <w:p w:rsidR="00DA7D5B" w:rsidRPr="0050097F" w:rsidRDefault="00DA7D5B" w:rsidP="0050097F">
      <w:pPr>
        <w:spacing w:line="360" w:lineRule="auto"/>
        <w:rPr>
          <w:rFonts w:cs="Arial"/>
          <w:sz w:val="24"/>
          <w:szCs w:val="24"/>
        </w:rPr>
      </w:pPr>
    </w:p>
    <w:p w:rsidR="00CE65B8" w:rsidRPr="00AF1E1A" w:rsidRDefault="00CE65B8" w:rsidP="00CE65B8">
      <w:pPr>
        <w:spacing w:line="360" w:lineRule="auto"/>
        <w:rPr>
          <w:rFonts w:cs="Arial"/>
          <w:color w:val="000000" w:themeColor="text1"/>
          <w:sz w:val="24"/>
          <w:szCs w:val="24"/>
          <w:lang w:val="es-ES_tradnl"/>
        </w:rPr>
      </w:pPr>
      <w:r w:rsidRPr="00AF1E1A">
        <w:rPr>
          <w:rFonts w:cs="Arial"/>
          <w:color w:val="000000" w:themeColor="text1"/>
          <w:sz w:val="24"/>
          <w:szCs w:val="24"/>
        </w:rPr>
        <w:t xml:space="preserve">La </w:t>
      </w:r>
      <w:r w:rsidR="00B56224">
        <w:rPr>
          <w:rFonts w:cs="Arial"/>
          <w:color w:val="000000" w:themeColor="text1"/>
          <w:sz w:val="24"/>
          <w:szCs w:val="24"/>
          <w:lang w:val="es-ES_tradnl"/>
        </w:rPr>
        <w:t>detomidina (DET)</w:t>
      </w:r>
      <w:r w:rsidRPr="00AF1E1A">
        <w:rPr>
          <w:rFonts w:cs="Arial"/>
          <w:color w:val="000000" w:themeColor="text1"/>
          <w:sz w:val="24"/>
          <w:szCs w:val="24"/>
          <w:lang w:val="es-ES_tradnl"/>
        </w:rPr>
        <w:t xml:space="preserve"> 4-(2,3-Dimethylbenzyl)-1H-imidazole, es un </w:t>
      </w:r>
      <w:r w:rsidRPr="00997C3B">
        <w:rPr>
          <w:rFonts w:cs="Arial"/>
          <w:color w:val="000000" w:themeColor="text1"/>
          <w:sz w:val="24"/>
          <w:szCs w:val="24"/>
          <w:lang w:val="es-ES_tradnl"/>
        </w:rPr>
        <w:t xml:space="preserve">alfa-2 adrenérgico, </w:t>
      </w:r>
      <w:r w:rsidRPr="00AF1E1A">
        <w:rPr>
          <w:rFonts w:cs="Arial"/>
          <w:color w:val="000000" w:themeColor="text1"/>
          <w:sz w:val="24"/>
          <w:szCs w:val="24"/>
          <w:lang w:val="es-ES_tradnl"/>
        </w:rPr>
        <w:t>agonista potente y específico de uso común en el ámbito de la medicina veterinaria, utilizado como sedante a nivel clínico</w:t>
      </w:r>
      <w:r w:rsidR="00D5482C">
        <w:rPr>
          <w:rFonts w:cs="Arial"/>
          <w:color w:val="000000" w:themeColor="text1"/>
          <w:sz w:val="24"/>
          <w:szCs w:val="24"/>
          <w:lang w:val="es-ES_tradnl"/>
        </w:rPr>
        <w:t xml:space="preserve"> y de campo en la especie equina</w:t>
      </w:r>
      <w:r w:rsidRPr="00AF1E1A">
        <w:rPr>
          <w:rFonts w:cs="Arial"/>
          <w:color w:val="000000" w:themeColor="text1"/>
          <w:sz w:val="24"/>
          <w:szCs w:val="24"/>
          <w:lang w:val="es-ES_tradnl"/>
        </w:rPr>
        <w:t xml:space="preserve"> en procedimientos que requieren sedación, restricción </w:t>
      </w:r>
      <w:r w:rsidR="00642BC5" w:rsidRPr="00AF1E1A">
        <w:rPr>
          <w:rFonts w:cs="Arial"/>
          <w:color w:val="000000" w:themeColor="text1"/>
          <w:sz w:val="24"/>
          <w:szCs w:val="24"/>
          <w:lang w:val="es-ES_tradnl"/>
        </w:rPr>
        <w:t>o</w:t>
      </w:r>
      <w:r w:rsidRPr="00AF1E1A">
        <w:rPr>
          <w:rFonts w:cs="Arial"/>
          <w:color w:val="000000" w:themeColor="text1"/>
          <w:sz w:val="24"/>
          <w:szCs w:val="24"/>
          <w:lang w:val="es-ES_tradnl"/>
        </w:rPr>
        <w:t xml:space="preserve"> contención química e incluso analgesia (diMaio Knych y Stanley, 2011). Este fármaco ha sido administrado frecuentemente por vía parenteral (Kaukinen </w:t>
      </w:r>
      <w:r w:rsidRPr="00AF1E1A">
        <w:rPr>
          <w:rFonts w:cs="Arial"/>
          <w:i/>
          <w:color w:val="000000" w:themeColor="text1"/>
          <w:sz w:val="24"/>
          <w:szCs w:val="24"/>
          <w:lang w:val="es-ES_tradnl"/>
        </w:rPr>
        <w:t>et al</w:t>
      </w:r>
      <w:r w:rsidRPr="00AF1E1A">
        <w:rPr>
          <w:rFonts w:cs="Arial"/>
          <w:color w:val="000000" w:themeColor="text1"/>
          <w:sz w:val="24"/>
          <w:szCs w:val="24"/>
          <w:lang w:val="es-ES_tradnl"/>
        </w:rPr>
        <w:t xml:space="preserve">., 2011; Knych </w:t>
      </w:r>
      <w:r w:rsidRPr="00997C3B">
        <w:rPr>
          <w:rFonts w:cs="Arial"/>
          <w:i/>
          <w:color w:val="000000" w:themeColor="text1"/>
          <w:sz w:val="24"/>
          <w:szCs w:val="24"/>
          <w:lang w:val="es-ES_tradnl"/>
        </w:rPr>
        <w:t>et al</w:t>
      </w:r>
      <w:r w:rsidRPr="00997C3B">
        <w:rPr>
          <w:rFonts w:cs="Arial"/>
          <w:color w:val="000000" w:themeColor="text1"/>
          <w:sz w:val="24"/>
          <w:szCs w:val="24"/>
          <w:lang w:val="es-ES_tradnl"/>
        </w:rPr>
        <w:t xml:space="preserve">., 2012; </w:t>
      </w:r>
      <w:r w:rsidR="00D5482C" w:rsidRPr="00997C3B">
        <w:rPr>
          <w:rFonts w:cs="Arial"/>
          <w:color w:val="000000" w:themeColor="text1"/>
          <w:sz w:val="24"/>
          <w:szCs w:val="24"/>
          <w:lang w:val="es-ES_tradnl"/>
        </w:rPr>
        <w:t>Knych y</w:t>
      </w:r>
      <w:r w:rsidRPr="00997C3B">
        <w:rPr>
          <w:rFonts w:cs="Arial"/>
          <w:color w:val="000000" w:themeColor="text1"/>
          <w:sz w:val="24"/>
          <w:szCs w:val="24"/>
          <w:lang w:val="es-ES_tradnl"/>
        </w:rPr>
        <w:t xml:space="preserve"> Stanley, 2014) </w:t>
      </w:r>
      <w:r w:rsidRPr="00AF1E1A">
        <w:rPr>
          <w:rFonts w:cs="Arial"/>
          <w:color w:val="000000" w:themeColor="text1"/>
          <w:sz w:val="24"/>
          <w:szCs w:val="24"/>
          <w:lang w:val="es-ES_tradnl"/>
        </w:rPr>
        <w:t xml:space="preserve">y sus efectos sobre parámetros farmacocinéticos y farmacodinámicos en el caballo han sido descritos cuando son administrados por vía intravenosa (IV) o intramuscular (IM) (Hubbel </w:t>
      </w:r>
      <w:r w:rsidRPr="00AF1E1A">
        <w:rPr>
          <w:rFonts w:cs="Arial"/>
          <w:i/>
          <w:color w:val="000000" w:themeColor="text1"/>
          <w:sz w:val="24"/>
          <w:szCs w:val="24"/>
          <w:lang w:val="es-ES_tradnl"/>
        </w:rPr>
        <w:t>et al</w:t>
      </w:r>
      <w:r w:rsidRPr="00AF1E1A">
        <w:rPr>
          <w:rFonts w:cs="Arial"/>
          <w:color w:val="000000" w:themeColor="text1"/>
          <w:sz w:val="24"/>
          <w:szCs w:val="24"/>
          <w:lang w:val="es-ES_tradnl"/>
        </w:rPr>
        <w:t xml:space="preserve">., 2009; Knych </w:t>
      </w:r>
      <w:r w:rsidRPr="00AF1E1A">
        <w:rPr>
          <w:rFonts w:cs="Arial"/>
          <w:i/>
          <w:color w:val="000000" w:themeColor="text1"/>
          <w:sz w:val="24"/>
          <w:szCs w:val="24"/>
          <w:lang w:val="es-ES_tradnl"/>
        </w:rPr>
        <w:t>et al</w:t>
      </w:r>
      <w:r w:rsidRPr="00AF1E1A">
        <w:rPr>
          <w:rFonts w:cs="Arial"/>
          <w:color w:val="000000" w:themeColor="text1"/>
          <w:sz w:val="24"/>
          <w:szCs w:val="24"/>
          <w:lang w:val="es-ES_tradnl"/>
        </w:rPr>
        <w:t xml:space="preserve">., 2012). No obstante, la </w:t>
      </w:r>
      <w:r w:rsidR="00B56224">
        <w:rPr>
          <w:rFonts w:cs="Arial"/>
          <w:color w:val="000000" w:themeColor="text1"/>
          <w:sz w:val="24"/>
          <w:szCs w:val="24"/>
          <w:lang w:val="es-ES_tradnl"/>
        </w:rPr>
        <w:t>DET</w:t>
      </w:r>
      <w:r w:rsidRPr="00AF1E1A">
        <w:rPr>
          <w:rFonts w:cs="Arial"/>
          <w:color w:val="000000" w:themeColor="text1"/>
          <w:sz w:val="24"/>
          <w:szCs w:val="24"/>
          <w:lang w:val="es-ES_tradnl"/>
        </w:rPr>
        <w:t xml:space="preserve"> ha sido administrada recientemente por vía enteral,</w:t>
      </w:r>
      <w:r w:rsidR="00D5482C">
        <w:rPr>
          <w:rFonts w:cs="Arial"/>
          <w:color w:val="000000" w:themeColor="text1"/>
          <w:sz w:val="24"/>
          <w:szCs w:val="24"/>
          <w:lang w:val="es-ES_tradnl"/>
        </w:rPr>
        <w:t xml:space="preserve"> en una presentación</w:t>
      </w:r>
      <w:r w:rsidRPr="00AF1E1A">
        <w:rPr>
          <w:rFonts w:cs="Arial"/>
          <w:color w:val="000000" w:themeColor="text1"/>
          <w:sz w:val="24"/>
          <w:szCs w:val="24"/>
          <w:lang w:val="es-ES_tradnl"/>
        </w:rPr>
        <w:t xml:space="preserve"> </w:t>
      </w:r>
      <w:r w:rsidR="00D5482C">
        <w:rPr>
          <w:rFonts w:cs="Arial"/>
          <w:color w:val="000000" w:themeColor="text1"/>
          <w:sz w:val="24"/>
          <w:szCs w:val="24"/>
          <w:lang w:val="es-ES_tradnl"/>
        </w:rPr>
        <w:t xml:space="preserve">farmacéutica novedosa de gel. </w:t>
      </w:r>
      <w:proofErr w:type="gramStart"/>
      <w:r w:rsidRPr="00AF1E1A">
        <w:rPr>
          <w:rFonts w:cs="Arial"/>
          <w:color w:val="000000" w:themeColor="text1"/>
          <w:sz w:val="24"/>
          <w:szCs w:val="24"/>
          <w:lang w:val="es-ES_tradnl"/>
        </w:rPr>
        <w:t>cuyos</w:t>
      </w:r>
      <w:proofErr w:type="gramEnd"/>
      <w:r w:rsidRPr="00AF1E1A">
        <w:rPr>
          <w:rFonts w:cs="Arial"/>
          <w:color w:val="000000" w:themeColor="text1"/>
          <w:sz w:val="24"/>
          <w:szCs w:val="24"/>
          <w:lang w:val="es-ES_tradnl"/>
        </w:rPr>
        <w:t xml:space="preserve"> efectos sobre estos parámetros </w:t>
      </w:r>
      <w:r w:rsidR="00642BC5" w:rsidRPr="00AF1E1A">
        <w:rPr>
          <w:rFonts w:cs="Arial"/>
          <w:color w:val="000000" w:themeColor="text1"/>
          <w:sz w:val="24"/>
          <w:szCs w:val="24"/>
          <w:lang w:val="es-ES_tradnl"/>
        </w:rPr>
        <w:t>aún</w:t>
      </w:r>
      <w:r w:rsidRPr="00AF1E1A">
        <w:rPr>
          <w:rFonts w:cs="Arial"/>
          <w:color w:val="000000" w:themeColor="text1"/>
          <w:sz w:val="24"/>
          <w:szCs w:val="24"/>
          <w:lang w:val="es-ES_tradnl"/>
        </w:rPr>
        <w:t xml:space="preserve"> no han sido adecuadamente dilucidados.</w:t>
      </w:r>
    </w:p>
    <w:p w:rsidR="0087098A" w:rsidRPr="00AF1E1A" w:rsidRDefault="00376E8B" w:rsidP="00CE65B8">
      <w:pPr>
        <w:spacing w:line="360" w:lineRule="auto"/>
        <w:rPr>
          <w:rFonts w:cs="Arial"/>
          <w:color w:val="000000" w:themeColor="text1"/>
          <w:sz w:val="24"/>
          <w:szCs w:val="24"/>
          <w:lang w:val="es-MX"/>
        </w:rPr>
      </w:pPr>
      <w:r w:rsidRPr="00AF1E1A">
        <w:rPr>
          <w:rFonts w:cs="Arial"/>
          <w:color w:val="000000" w:themeColor="text1"/>
          <w:sz w:val="24"/>
          <w:szCs w:val="24"/>
          <w:lang w:val="es-MX"/>
        </w:rPr>
        <w:t xml:space="preserve">Los </w:t>
      </w:r>
      <w:r w:rsidR="00F10CE5" w:rsidRPr="00AF1E1A">
        <w:rPr>
          <w:rFonts w:cs="Arial"/>
          <w:color w:val="000000" w:themeColor="text1"/>
          <w:sz w:val="24"/>
          <w:szCs w:val="24"/>
          <w:lang w:val="es-MX"/>
        </w:rPr>
        <w:t xml:space="preserve">efectos </w:t>
      </w:r>
      <w:r w:rsidRPr="00AF1E1A">
        <w:rPr>
          <w:rFonts w:cs="Arial"/>
          <w:color w:val="000000" w:themeColor="text1"/>
          <w:sz w:val="24"/>
          <w:szCs w:val="24"/>
          <w:lang w:val="es-MX"/>
        </w:rPr>
        <w:t>sedantes y depresores cardiovascular</w:t>
      </w:r>
      <w:r w:rsidR="00F10CE5" w:rsidRPr="00AF1E1A">
        <w:rPr>
          <w:rFonts w:cs="Arial"/>
          <w:color w:val="000000" w:themeColor="text1"/>
          <w:sz w:val="24"/>
          <w:szCs w:val="24"/>
          <w:lang w:val="es-MX"/>
        </w:rPr>
        <w:t xml:space="preserve">es </w:t>
      </w:r>
      <w:r w:rsidR="00DE41E4" w:rsidRPr="00AF1E1A">
        <w:rPr>
          <w:rFonts w:cs="Arial"/>
          <w:color w:val="000000" w:themeColor="text1"/>
          <w:sz w:val="24"/>
          <w:szCs w:val="24"/>
          <w:lang w:val="es-MX"/>
        </w:rPr>
        <w:t>de los</w:t>
      </w:r>
      <w:r w:rsidRPr="00AF1E1A">
        <w:rPr>
          <w:rFonts w:cs="Arial"/>
          <w:color w:val="000000" w:themeColor="text1"/>
          <w:sz w:val="24"/>
          <w:szCs w:val="24"/>
          <w:lang w:val="es-MX"/>
        </w:rPr>
        <w:t xml:space="preserve"> </w:t>
      </w:r>
      <w:r w:rsidR="00F10CE5" w:rsidRPr="00AF1E1A">
        <w:rPr>
          <w:rFonts w:cs="Arial"/>
          <w:color w:val="000000" w:themeColor="text1"/>
          <w:sz w:val="24"/>
          <w:szCs w:val="24"/>
          <w:lang w:val="es-MX"/>
        </w:rPr>
        <w:t xml:space="preserve">fármacos </w:t>
      </w:r>
      <w:r w:rsidR="00FE494D" w:rsidRPr="00AF1E1A">
        <w:rPr>
          <w:rFonts w:cs="Arial"/>
          <w:color w:val="000000" w:themeColor="text1"/>
          <w:sz w:val="24"/>
          <w:szCs w:val="24"/>
          <w:lang w:val="es-MX"/>
        </w:rPr>
        <w:t xml:space="preserve">agonistas </w:t>
      </w:r>
      <w:r w:rsidRPr="00AF1E1A">
        <w:rPr>
          <w:rFonts w:cs="Arial"/>
          <w:color w:val="000000" w:themeColor="text1"/>
          <w:sz w:val="24"/>
          <w:szCs w:val="24"/>
          <w:lang w:val="es-MX"/>
        </w:rPr>
        <w:t>alfa-2</w:t>
      </w:r>
      <w:r w:rsidR="00F10CE5" w:rsidRPr="00AF1E1A">
        <w:rPr>
          <w:rFonts w:cs="Arial"/>
          <w:color w:val="000000" w:themeColor="text1"/>
          <w:sz w:val="24"/>
          <w:szCs w:val="24"/>
          <w:lang w:val="es-MX"/>
        </w:rPr>
        <w:t xml:space="preserve"> adrenérgicos</w:t>
      </w:r>
      <w:r w:rsidRPr="00AF1E1A">
        <w:rPr>
          <w:rFonts w:cs="Arial"/>
          <w:color w:val="000000" w:themeColor="text1"/>
          <w:sz w:val="24"/>
          <w:szCs w:val="24"/>
          <w:lang w:val="es-MX"/>
        </w:rPr>
        <w:t xml:space="preserve"> </w:t>
      </w:r>
      <w:r w:rsidR="00F10CE5" w:rsidRPr="00AF1E1A">
        <w:rPr>
          <w:rFonts w:cs="Arial"/>
          <w:color w:val="000000" w:themeColor="text1"/>
          <w:sz w:val="24"/>
          <w:szCs w:val="24"/>
          <w:lang w:val="es-MX"/>
        </w:rPr>
        <w:t xml:space="preserve">pueden ser revertidos </w:t>
      </w:r>
      <w:r w:rsidRPr="00AF1E1A">
        <w:rPr>
          <w:rFonts w:cs="Arial"/>
          <w:color w:val="000000" w:themeColor="text1"/>
          <w:sz w:val="24"/>
          <w:szCs w:val="24"/>
          <w:lang w:val="es-MX"/>
        </w:rPr>
        <w:t>efectiva</w:t>
      </w:r>
      <w:r w:rsidR="00F10CE5" w:rsidRPr="00AF1E1A">
        <w:rPr>
          <w:rFonts w:cs="Arial"/>
          <w:color w:val="000000" w:themeColor="text1"/>
          <w:sz w:val="24"/>
          <w:szCs w:val="24"/>
          <w:lang w:val="es-MX"/>
        </w:rPr>
        <w:t>mente</w:t>
      </w:r>
      <w:r w:rsidRPr="00AF1E1A">
        <w:rPr>
          <w:rFonts w:cs="Arial"/>
          <w:color w:val="000000" w:themeColor="text1"/>
          <w:sz w:val="24"/>
          <w:szCs w:val="24"/>
          <w:lang w:val="es-MX"/>
        </w:rPr>
        <w:t xml:space="preserve"> por el antagonista del receptor alfa-2 (Knych </w:t>
      </w:r>
      <w:r w:rsidRPr="00AF1E1A">
        <w:rPr>
          <w:rFonts w:cs="Arial"/>
          <w:i/>
          <w:color w:val="000000" w:themeColor="text1"/>
          <w:sz w:val="24"/>
          <w:szCs w:val="24"/>
          <w:lang w:val="es-MX"/>
        </w:rPr>
        <w:t>et al</w:t>
      </w:r>
      <w:r w:rsidRPr="00AF1E1A">
        <w:rPr>
          <w:rFonts w:cs="Arial"/>
          <w:color w:val="000000" w:themeColor="text1"/>
          <w:sz w:val="24"/>
          <w:szCs w:val="24"/>
          <w:lang w:val="es-MX"/>
        </w:rPr>
        <w:t>., 2012). Los tres antagonista</w:t>
      </w:r>
      <w:r w:rsidR="00D5482C">
        <w:rPr>
          <w:rFonts w:cs="Arial"/>
          <w:color w:val="000000" w:themeColor="text1"/>
          <w:sz w:val="24"/>
          <w:szCs w:val="24"/>
          <w:lang w:val="es-MX"/>
        </w:rPr>
        <w:t>s</w:t>
      </w:r>
      <w:r w:rsidRPr="00AF1E1A">
        <w:rPr>
          <w:rFonts w:cs="Arial"/>
          <w:color w:val="000000" w:themeColor="text1"/>
          <w:sz w:val="24"/>
          <w:szCs w:val="24"/>
          <w:lang w:val="es-MX"/>
        </w:rPr>
        <w:t xml:space="preserve"> comúnmente utilizado</w:t>
      </w:r>
      <w:r w:rsidR="0092051F" w:rsidRPr="00AF1E1A">
        <w:rPr>
          <w:rFonts w:cs="Arial"/>
          <w:color w:val="000000" w:themeColor="text1"/>
          <w:sz w:val="24"/>
          <w:szCs w:val="24"/>
          <w:lang w:val="es-MX"/>
        </w:rPr>
        <w:t>s</w:t>
      </w:r>
      <w:r w:rsidRPr="00AF1E1A">
        <w:rPr>
          <w:rFonts w:cs="Arial"/>
          <w:color w:val="000000" w:themeColor="text1"/>
          <w:sz w:val="24"/>
          <w:szCs w:val="24"/>
          <w:lang w:val="es-MX"/>
        </w:rPr>
        <w:t xml:space="preserve"> en </w:t>
      </w:r>
      <w:r w:rsidR="00F10CE5" w:rsidRPr="00AF1E1A">
        <w:rPr>
          <w:rFonts w:cs="Arial"/>
          <w:color w:val="000000" w:themeColor="text1"/>
          <w:sz w:val="24"/>
          <w:szCs w:val="24"/>
          <w:lang w:val="es-MX"/>
        </w:rPr>
        <w:t xml:space="preserve">el área de la </w:t>
      </w:r>
      <w:r w:rsidRPr="00AF1E1A">
        <w:rPr>
          <w:rFonts w:cs="Arial"/>
          <w:color w:val="000000" w:themeColor="text1"/>
          <w:sz w:val="24"/>
          <w:szCs w:val="24"/>
          <w:lang w:val="es-MX"/>
        </w:rPr>
        <w:t xml:space="preserve">medicina veterinaria son yohimbina (YOH), atipamezol y tolazolina. En </w:t>
      </w:r>
      <w:r w:rsidR="00F10CE5" w:rsidRPr="00AF1E1A">
        <w:rPr>
          <w:rFonts w:cs="Arial"/>
          <w:color w:val="000000" w:themeColor="text1"/>
          <w:sz w:val="24"/>
          <w:szCs w:val="24"/>
          <w:lang w:val="es-MX"/>
        </w:rPr>
        <w:t xml:space="preserve">el ámbito de </w:t>
      </w:r>
      <w:r w:rsidRPr="00AF1E1A">
        <w:rPr>
          <w:rFonts w:cs="Arial"/>
          <w:color w:val="000000" w:themeColor="text1"/>
          <w:sz w:val="24"/>
          <w:szCs w:val="24"/>
          <w:lang w:val="es-MX"/>
        </w:rPr>
        <w:t xml:space="preserve">la medicina equina, el único </w:t>
      </w:r>
      <w:r w:rsidR="00F10CE5" w:rsidRPr="00AF1E1A">
        <w:rPr>
          <w:rFonts w:cs="Arial"/>
          <w:color w:val="000000" w:themeColor="text1"/>
          <w:sz w:val="24"/>
          <w:szCs w:val="24"/>
          <w:lang w:val="es-MX"/>
        </w:rPr>
        <w:t xml:space="preserve">fármaco antagonista alfa-2 adrenérgico </w:t>
      </w:r>
      <w:r w:rsidRPr="00AF1E1A">
        <w:rPr>
          <w:rFonts w:cs="Arial"/>
          <w:color w:val="000000" w:themeColor="text1"/>
          <w:sz w:val="24"/>
          <w:szCs w:val="24"/>
          <w:lang w:val="es-MX"/>
        </w:rPr>
        <w:t>aprobado por la F</w:t>
      </w:r>
      <w:r w:rsidR="00FE494D">
        <w:rPr>
          <w:rFonts w:cs="Arial"/>
          <w:color w:val="000000" w:themeColor="text1"/>
          <w:sz w:val="24"/>
          <w:szCs w:val="24"/>
          <w:lang w:val="es-MX"/>
        </w:rPr>
        <w:t xml:space="preserve">ood and </w:t>
      </w:r>
      <w:r w:rsidRPr="00AF1E1A">
        <w:rPr>
          <w:rFonts w:cs="Arial"/>
          <w:color w:val="000000" w:themeColor="text1"/>
          <w:sz w:val="24"/>
          <w:szCs w:val="24"/>
          <w:lang w:val="es-MX"/>
        </w:rPr>
        <w:t>D</w:t>
      </w:r>
      <w:r w:rsidR="00FE494D">
        <w:rPr>
          <w:rFonts w:cs="Arial"/>
          <w:color w:val="000000" w:themeColor="text1"/>
          <w:sz w:val="24"/>
          <w:szCs w:val="24"/>
          <w:lang w:val="es-MX"/>
        </w:rPr>
        <w:t xml:space="preserve">rug </w:t>
      </w:r>
      <w:r w:rsidRPr="00AF1E1A">
        <w:rPr>
          <w:rFonts w:cs="Arial"/>
          <w:color w:val="000000" w:themeColor="text1"/>
          <w:sz w:val="24"/>
          <w:szCs w:val="24"/>
          <w:lang w:val="es-MX"/>
        </w:rPr>
        <w:t>A</w:t>
      </w:r>
      <w:r w:rsidR="00FE494D">
        <w:rPr>
          <w:rFonts w:cs="Arial"/>
          <w:color w:val="000000" w:themeColor="text1"/>
          <w:sz w:val="24"/>
          <w:szCs w:val="24"/>
          <w:lang w:val="es-MX"/>
        </w:rPr>
        <w:t>dministration</w:t>
      </w:r>
      <w:r w:rsidRPr="00AF1E1A">
        <w:rPr>
          <w:rFonts w:cs="Arial"/>
          <w:color w:val="000000" w:themeColor="text1"/>
          <w:sz w:val="24"/>
          <w:szCs w:val="24"/>
          <w:lang w:val="es-MX"/>
        </w:rPr>
        <w:t xml:space="preserve"> es tolazolina, aunque yohimbina y atipamezol </w:t>
      </w:r>
      <w:r w:rsidR="00FE494D">
        <w:rPr>
          <w:rFonts w:cs="Arial"/>
          <w:color w:val="000000" w:themeColor="text1"/>
          <w:sz w:val="24"/>
          <w:szCs w:val="24"/>
          <w:lang w:val="es-MX"/>
        </w:rPr>
        <w:t xml:space="preserve">también </w:t>
      </w:r>
      <w:r w:rsidRPr="00AF1E1A">
        <w:rPr>
          <w:rFonts w:cs="Arial"/>
          <w:color w:val="000000" w:themeColor="text1"/>
          <w:sz w:val="24"/>
          <w:szCs w:val="24"/>
          <w:lang w:val="es-MX"/>
        </w:rPr>
        <w:t xml:space="preserve">se han utilizado para revertir los </w:t>
      </w:r>
      <w:r w:rsidR="00F10CE5" w:rsidRPr="00AF1E1A">
        <w:rPr>
          <w:rFonts w:cs="Arial"/>
          <w:color w:val="000000" w:themeColor="text1"/>
          <w:sz w:val="24"/>
          <w:szCs w:val="24"/>
          <w:lang w:val="es-MX"/>
        </w:rPr>
        <w:t xml:space="preserve">efectos de los </w:t>
      </w:r>
      <w:r w:rsidR="00FE494D" w:rsidRPr="00AF1E1A">
        <w:rPr>
          <w:rFonts w:cs="Arial"/>
          <w:color w:val="000000" w:themeColor="text1"/>
          <w:sz w:val="24"/>
          <w:szCs w:val="24"/>
          <w:lang w:val="es-ES_tradnl"/>
        </w:rPr>
        <w:t xml:space="preserve">agonistas </w:t>
      </w:r>
      <w:r w:rsidR="00F10CE5" w:rsidRPr="00AF1E1A">
        <w:rPr>
          <w:rFonts w:cs="Arial"/>
          <w:color w:val="000000" w:themeColor="text1"/>
          <w:sz w:val="24"/>
          <w:szCs w:val="24"/>
          <w:lang w:val="es-ES_tradnl"/>
        </w:rPr>
        <w:t xml:space="preserve">alfa-2 </w:t>
      </w:r>
      <w:r w:rsidR="00FE494D" w:rsidRPr="00AF1E1A">
        <w:rPr>
          <w:rFonts w:cs="Arial"/>
          <w:color w:val="000000" w:themeColor="text1"/>
          <w:sz w:val="24"/>
          <w:szCs w:val="24"/>
          <w:lang w:val="es-ES_tradnl"/>
        </w:rPr>
        <w:t>adrenérgico</w:t>
      </w:r>
      <w:r w:rsidR="00FE494D">
        <w:rPr>
          <w:rFonts w:cs="Arial"/>
          <w:color w:val="000000" w:themeColor="text1"/>
          <w:sz w:val="24"/>
          <w:szCs w:val="24"/>
          <w:lang w:val="es-ES_tradnl"/>
        </w:rPr>
        <w:t>s</w:t>
      </w:r>
      <w:r w:rsidR="00FE494D" w:rsidRPr="00AF1E1A">
        <w:rPr>
          <w:rFonts w:cs="Arial"/>
          <w:color w:val="000000" w:themeColor="text1"/>
          <w:sz w:val="24"/>
          <w:szCs w:val="24"/>
          <w:lang w:val="es-ES_tradnl"/>
        </w:rPr>
        <w:t xml:space="preserve"> </w:t>
      </w:r>
      <w:r w:rsidRPr="00AF1E1A">
        <w:rPr>
          <w:rFonts w:cs="Arial"/>
          <w:color w:val="000000" w:themeColor="text1"/>
          <w:sz w:val="24"/>
          <w:szCs w:val="24"/>
          <w:lang w:val="es-MX"/>
        </w:rPr>
        <w:t xml:space="preserve">(Knych y Stanley 2014). </w:t>
      </w:r>
      <w:r w:rsidR="00CD79F2" w:rsidRPr="00AF1E1A">
        <w:rPr>
          <w:rFonts w:cs="Arial"/>
          <w:color w:val="000000" w:themeColor="text1"/>
          <w:sz w:val="24"/>
          <w:szCs w:val="24"/>
          <w:lang w:val="es-MX"/>
        </w:rPr>
        <w:t>Los a</w:t>
      </w:r>
      <w:r w:rsidRPr="00AF1E1A">
        <w:rPr>
          <w:rFonts w:cs="Arial"/>
          <w:color w:val="000000" w:themeColor="text1"/>
          <w:sz w:val="24"/>
          <w:szCs w:val="24"/>
          <w:lang w:val="es-MX"/>
        </w:rPr>
        <w:t xml:space="preserve">ntagonistas alfa-2 adrenérgicos se utilizan a menudo para revertir </w:t>
      </w:r>
      <w:r w:rsidR="00CD79F2" w:rsidRPr="00AF1E1A">
        <w:rPr>
          <w:rFonts w:cs="Arial"/>
          <w:color w:val="000000" w:themeColor="text1"/>
          <w:sz w:val="24"/>
          <w:szCs w:val="24"/>
          <w:lang w:val="es-MX"/>
        </w:rPr>
        <w:t xml:space="preserve">los efectos depresores en </w:t>
      </w:r>
      <w:r w:rsidRPr="00AF1E1A">
        <w:rPr>
          <w:rFonts w:cs="Arial"/>
          <w:color w:val="000000" w:themeColor="text1"/>
          <w:sz w:val="24"/>
          <w:szCs w:val="24"/>
          <w:lang w:val="es-MX"/>
        </w:rPr>
        <w:t xml:space="preserve">el sistema cardiovascular y </w:t>
      </w:r>
      <w:r w:rsidR="00CD79F2" w:rsidRPr="00AF1E1A">
        <w:rPr>
          <w:rFonts w:cs="Arial"/>
          <w:color w:val="000000" w:themeColor="text1"/>
          <w:sz w:val="24"/>
          <w:szCs w:val="24"/>
          <w:lang w:val="es-MX"/>
        </w:rPr>
        <w:t xml:space="preserve">sistema </w:t>
      </w:r>
      <w:r w:rsidRPr="00AF1E1A">
        <w:rPr>
          <w:rFonts w:cs="Arial"/>
          <w:color w:val="000000" w:themeColor="text1"/>
          <w:sz w:val="24"/>
          <w:szCs w:val="24"/>
          <w:lang w:val="es-MX"/>
        </w:rPr>
        <w:t xml:space="preserve">nervioso central (SNC) </w:t>
      </w:r>
      <w:r w:rsidR="00CD79F2" w:rsidRPr="00AF1E1A">
        <w:rPr>
          <w:rFonts w:cs="Arial"/>
          <w:color w:val="000000" w:themeColor="text1"/>
          <w:sz w:val="24"/>
          <w:szCs w:val="24"/>
          <w:lang w:val="es-MX"/>
        </w:rPr>
        <w:t>causados por</w:t>
      </w:r>
      <w:r w:rsidRPr="00AF1E1A">
        <w:rPr>
          <w:rFonts w:cs="Arial"/>
          <w:color w:val="000000" w:themeColor="text1"/>
          <w:sz w:val="24"/>
          <w:szCs w:val="24"/>
          <w:lang w:val="es-MX"/>
        </w:rPr>
        <w:t xml:space="preserve"> los </w:t>
      </w:r>
      <w:r w:rsidR="00FE494D" w:rsidRPr="00AF1E1A">
        <w:rPr>
          <w:rFonts w:cs="Arial"/>
          <w:color w:val="000000" w:themeColor="text1"/>
          <w:sz w:val="24"/>
          <w:szCs w:val="24"/>
          <w:lang w:val="es-MX"/>
        </w:rPr>
        <w:t xml:space="preserve">agonistas </w:t>
      </w:r>
      <w:r w:rsidR="00CD79F2" w:rsidRPr="00AF1E1A">
        <w:rPr>
          <w:rFonts w:cs="Arial"/>
          <w:color w:val="000000" w:themeColor="text1"/>
          <w:sz w:val="24"/>
          <w:szCs w:val="24"/>
          <w:lang w:val="es-MX"/>
        </w:rPr>
        <w:t xml:space="preserve">alfa-2 adrenérgicos cuando </w:t>
      </w:r>
      <w:r w:rsidR="00642BC5" w:rsidRPr="00AF1E1A">
        <w:rPr>
          <w:rFonts w:cs="Arial"/>
          <w:color w:val="000000" w:themeColor="text1"/>
          <w:sz w:val="24"/>
          <w:szCs w:val="24"/>
          <w:lang w:val="es-MX"/>
        </w:rPr>
        <w:t>estos</w:t>
      </w:r>
      <w:r w:rsidR="00CD79F2" w:rsidRPr="00AF1E1A">
        <w:rPr>
          <w:rFonts w:cs="Arial"/>
          <w:color w:val="000000" w:themeColor="text1"/>
          <w:sz w:val="24"/>
          <w:szCs w:val="24"/>
          <w:lang w:val="es-MX"/>
        </w:rPr>
        <w:t xml:space="preserve"> han sido administrados por vía </w:t>
      </w:r>
      <w:r w:rsidR="003A038F" w:rsidRPr="00AF1E1A">
        <w:rPr>
          <w:rFonts w:cs="Arial"/>
          <w:color w:val="000000" w:themeColor="text1"/>
          <w:sz w:val="24"/>
          <w:szCs w:val="24"/>
          <w:lang w:val="es-MX"/>
        </w:rPr>
        <w:t>IV,</w:t>
      </w:r>
      <w:r w:rsidR="0092051F" w:rsidRPr="00AF1E1A">
        <w:rPr>
          <w:rFonts w:cs="Arial"/>
          <w:color w:val="000000" w:themeColor="text1"/>
          <w:sz w:val="24"/>
          <w:szCs w:val="24"/>
          <w:lang w:val="es-MX"/>
        </w:rPr>
        <w:t xml:space="preserve"> IM</w:t>
      </w:r>
      <w:r w:rsidR="003A038F" w:rsidRPr="00AF1E1A">
        <w:rPr>
          <w:rFonts w:cs="Arial"/>
          <w:color w:val="000000" w:themeColor="text1"/>
          <w:sz w:val="24"/>
          <w:szCs w:val="24"/>
          <w:lang w:val="es-MX"/>
        </w:rPr>
        <w:t xml:space="preserve"> e incluso sublingual</w:t>
      </w:r>
      <w:r w:rsidR="0092051F" w:rsidRPr="00AF1E1A">
        <w:rPr>
          <w:rFonts w:cs="Arial"/>
          <w:color w:val="000000" w:themeColor="text1"/>
          <w:sz w:val="24"/>
          <w:szCs w:val="24"/>
          <w:lang w:val="es-MX"/>
        </w:rPr>
        <w:t xml:space="preserve">. </w:t>
      </w:r>
    </w:p>
    <w:p w:rsidR="00376E8B" w:rsidRPr="00BF1B18" w:rsidRDefault="0092051F" w:rsidP="00CE65B8">
      <w:pPr>
        <w:spacing w:line="360" w:lineRule="auto"/>
        <w:rPr>
          <w:rFonts w:cs="Arial"/>
          <w:color w:val="000000" w:themeColor="text1"/>
          <w:sz w:val="24"/>
          <w:szCs w:val="24"/>
          <w:lang w:val="es-MX"/>
        </w:rPr>
      </w:pPr>
      <w:r w:rsidRPr="00AF1E1A">
        <w:rPr>
          <w:rFonts w:cs="Arial"/>
          <w:color w:val="000000" w:themeColor="text1"/>
          <w:sz w:val="24"/>
          <w:szCs w:val="24"/>
          <w:lang w:val="es-MX"/>
        </w:rPr>
        <w:t xml:space="preserve">La </w:t>
      </w:r>
      <w:r w:rsidR="00E43E78">
        <w:rPr>
          <w:rFonts w:cs="Arial"/>
          <w:color w:val="000000" w:themeColor="text1"/>
          <w:sz w:val="24"/>
          <w:szCs w:val="24"/>
          <w:lang w:val="es-MX"/>
        </w:rPr>
        <w:t>YOH</w:t>
      </w:r>
      <w:r w:rsidR="00376E8B" w:rsidRPr="00AF1E1A">
        <w:rPr>
          <w:rFonts w:cs="Arial"/>
          <w:color w:val="000000" w:themeColor="text1"/>
          <w:sz w:val="24"/>
          <w:szCs w:val="24"/>
          <w:lang w:val="es-MX"/>
        </w:rPr>
        <w:t xml:space="preserve"> es un alcaloide indol derivado de </w:t>
      </w:r>
      <w:r w:rsidR="0087098A" w:rsidRPr="00AF1E1A">
        <w:rPr>
          <w:rFonts w:cs="Arial"/>
          <w:color w:val="000000" w:themeColor="text1"/>
          <w:sz w:val="24"/>
          <w:szCs w:val="24"/>
          <w:lang w:val="es-MX"/>
        </w:rPr>
        <w:t>diversas fuentes biológicas o botánica</w:t>
      </w:r>
      <w:r w:rsidR="002E635E">
        <w:rPr>
          <w:rFonts w:cs="Arial"/>
          <w:color w:val="000000" w:themeColor="text1"/>
          <w:sz w:val="24"/>
          <w:szCs w:val="24"/>
          <w:lang w:val="es-MX"/>
        </w:rPr>
        <w:t xml:space="preserve">s </w:t>
      </w:r>
      <w:r w:rsidR="0087098A" w:rsidRPr="00AF1E1A">
        <w:rPr>
          <w:rFonts w:cs="Arial"/>
          <w:color w:val="000000" w:themeColor="text1"/>
          <w:sz w:val="24"/>
          <w:szCs w:val="24"/>
          <w:lang w:val="es-MX"/>
        </w:rPr>
        <w:t xml:space="preserve">en las que se incluye a </w:t>
      </w:r>
      <w:r w:rsidR="00376E8B" w:rsidRPr="00AF1E1A">
        <w:rPr>
          <w:rFonts w:cs="Arial"/>
          <w:color w:val="000000" w:themeColor="text1"/>
          <w:sz w:val="24"/>
          <w:szCs w:val="24"/>
          <w:lang w:val="es-MX"/>
        </w:rPr>
        <w:t xml:space="preserve">la corteza del árbol de </w:t>
      </w:r>
      <w:r w:rsidR="0087098A" w:rsidRPr="00AF1E1A">
        <w:rPr>
          <w:rFonts w:cs="Arial"/>
          <w:i/>
          <w:color w:val="000000" w:themeColor="text1"/>
          <w:sz w:val="24"/>
          <w:szCs w:val="24"/>
          <w:lang w:val="es-MX"/>
        </w:rPr>
        <w:t xml:space="preserve">Pausinystalia </w:t>
      </w:r>
      <w:r w:rsidR="00E43E78">
        <w:rPr>
          <w:rFonts w:cs="Arial"/>
          <w:i/>
          <w:color w:val="000000" w:themeColor="text1"/>
          <w:sz w:val="24"/>
          <w:szCs w:val="24"/>
          <w:lang w:val="es-MX"/>
        </w:rPr>
        <w:t>YOH</w:t>
      </w:r>
      <w:r w:rsidR="00376E8B" w:rsidRPr="00AF1E1A">
        <w:rPr>
          <w:rFonts w:cs="Arial"/>
          <w:i/>
          <w:color w:val="000000" w:themeColor="text1"/>
          <w:sz w:val="24"/>
          <w:szCs w:val="24"/>
          <w:lang w:val="es-MX"/>
        </w:rPr>
        <w:t xml:space="preserve"> </w:t>
      </w:r>
      <w:r w:rsidR="00376E8B" w:rsidRPr="00AF1E1A">
        <w:rPr>
          <w:rFonts w:cs="Arial"/>
          <w:color w:val="000000" w:themeColor="text1"/>
          <w:sz w:val="24"/>
          <w:szCs w:val="24"/>
          <w:lang w:val="es-MX"/>
        </w:rPr>
        <w:t xml:space="preserve">y la raíz </w:t>
      </w:r>
      <w:r w:rsidR="0087098A" w:rsidRPr="00AF1E1A">
        <w:rPr>
          <w:rFonts w:cs="Arial"/>
          <w:color w:val="000000" w:themeColor="text1"/>
          <w:sz w:val="24"/>
          <w:szCs w:val="24"/>
          <w:lang w:val="es-MX"/>
        </w:rPr>
        <w:t xml:space="preserve">de </w:t>
      </w:r>
      <w:r w:rsidR="00376E8B" w:rsidRPr="00AF1E1A">
        <w:rPr>
          <w:rFonts w:cs="Arial"/>
          <w:i/>
          <w:color w:val="000000" w:themeColor="text1"/>
          <w:sz w:val="24"/>
          <w:szCs w:val="24"/>
          <w:lang w:val="es-MX"/>
        </w:rPr>
        <w:t xml:space="preserve">Rauwolfia </w:t>
      </w:r>
      <w:r w:rsidR="00376E8B" w:rsidRPr="00AF1E1A">
        <w:rPr>
          <w:rFonts w:cs="Arial"/>
          <w:color w:val="000000" w:themeColor="text1"/>
          <w:sz w:val="24"/>
          <w:szCs w:val="24"/>
          <w:lang w:val="es-MX"/>
        </w:rPr>
        <w:t xml:space="preserve">(Dimaio Knych </w:t>
      </w:r>
      <w:r w:rsidR="00376E8B" w:rsidRPr="00AF1E1A">
        <w:rPr>
          <w:rFonts w:cs="Arial"/>
          <w:i/>
          <w:color w:val="000000" w:themeColor="text1"/>
          <w:sz w:val="24"/>
          <w:szCs w:val="24"/>
          <w:lang w:val="es-MX"/>
        </w:rPr>
        <w:t>et al</w:t>
      </w:r>
      <w:r w:rsidR="0087098A" w:rsidRPr="00AF1E1A">
        <w:rPr>
          <w:rFonts w:cs="Arial"/>
          <w:i/>
          <w:color w:val="000000" w:themeColor="text1"/>
          <w:sz w:val="24"/>
          <w:szCs w:val="24"/>
          <w:lang w:val="es-MX"/>
        </w:rPr>
        <w:t>.</w:t>
      </w:r>
      <w:r w:rsidR="00B56224">
        <w:rPr>
          <w:rFonts w:cs="Arial"/>
          <w:color w:val="000000" w:themeColor="text1"/>
          <w:sz w:val="24"/>
          <w:szCs w:val="24"/>
          <w:lang w:val="es-MX"/>
        </w:rPr>
        <w:t>, 2011</w:t>
      </w:r>
      <w:r w:rsidR="00B3137A">
        <w:rPr>
          <w:rFonts w:cs="Arial"/>
          <w:color w:val="000000" w:themeColor="text1"/>
          <w:sz w:val="24"/>
          <w:szCs w:val="24"/>
          <w:lang w:val="es-MX"/>
        </w:rPr>
        <w:t>a</w:t>
      </w:r>
      <w:r w:rsidR="00B56224" w:rsidRPr="00B56224">
        <w:rPr>
          <w:rFonts w:cs="Arial"/>
          <w:color w:val="FF0000"/>
          <w:sz w:val="24"/>
          <w:szCs w:val="24"/>
          <w:lang w:val="es-MX"/>
        </w:rPr>
        <w:t>;</w:t>
      </w:r>
      <w:r w:rsidR="00376E8B" w:rsidRPr="00AF1E1A">
        <w:rPr>
          <w:rFonts w:cs="Arial"/>
          <w:color w:val="000000" w:themeColor="text1"/>
          <w:sz w:val="24"/>
          <w:szCs w:val="24"/>
          <w:lang w:val="es-MX"/>
        </w:rPr>
        <w:t xml:space="preserve"> Dimaio Knych y Stanley, 2011</w:t>
      </w:r>
      <w:r w:rsidR="00B3137A">
        <w:rPr>
          <w:rFonts w:cs="Arial"/>
          <w:color w:val="000000" w:themeColor="text1"/>
          <w:sz w:val="24"/>
          <w:szCs w:val="24"/>
          <w:lang w:val="es-MX"/>
        </w:rPr>
        <w:t>b</w:t>
      </w:r>
      <w:r w:rsidR="00376E8B" w:rsidRPr="00AF1E1A">
        <w:rPr>
          <w:rFonts w:cs="Arial"/>
          <w:color w:val="000000" w:themeColor="text1"/>
          <w:sz w:val="24"/>
          <w:szCs w:val="24"/>
          <w:lang w:val="es-MX"/>
        </w:rPr>
        <w:t xml:space="preserve">). </w:t>
      </w:r>
      <w:r w:rsidR="0087098A" w:rsidRPr="00AF1E1A">
        <w:rPr>
          <w:rFonts w:cs="Arial"/>
          <w:color w:val="000000" w:themeColor="text1"/>
          <w:sz w:val="24"/>
          <w:szCs w:val="24"/>
          <w:lang w:val="es-MX"/>
        </w:rPr>
        <w:t xml:space="preserve">Este fármaco incrementa </w:t>
      </w:r>
      <w:r w:rsidRPr="00AF1E1A">
        <w:rPr>
          <w:rFonts w:cs="Arial"/>
          <w:color w:val="000000" w:themeColor="text1"/>
          <w:sz w:val="24"/>
          <w:szCs w:val="24"/>
          <w:lang w:val="es-MX"/>
        </w:rPr>
        <w:t xml:space="preserve">el </w:t>
      </w:r>
      <w:r w:rsidR="0087098A" w:rsidRPr="00AF1E1A">
        <w:rPr>
          <w:rFonts w:cs="Arial"/>
          <w:color w:val="000000" w:themeColor="text1"/>
          <w:sz w:val="24"/>
          <w:szCs w:val="24"/>
          <w:lang w:val="es-MX"/>
        </w:rPr>
        <w:t xml:space="preserve">flujo del neurotransmisor noradrenalina a </w:t>
      </w:r>
      <w:r w:rsidR="00146395" w:rsidRPr="00AF1E1A">
        <w:rPr>
          <w:rFonts w:cs="Arial"/>
          <w:color w:val="000000" w:themeColor="text1"/>
          <w:sz w:val="24"/>
          <w:szCs w:val="24"/>
          <w:lang w:val="es-MX"/>
        </w:rPr>
        <w:t>través</w:t>
      </w:r>
      <w:r w:rsidR="0087098A" w:rsidRPr="00AF1E1A">
        <w:rPr>
          <w:rFonts w:cs="Arial"/>
          <w:color w:val="000000" w:themeColor="text1"/>
          <w:sz w:val="24"/>
          <w:szCs w:val="24"/>
          <w:lang w:val="es-MX"/>
        </w:rPr>
        <w:t xml:space="preserve"> de la vía simpática</w:t>
      </w:r>
      <w:r w:rsidR="00376E8B" w:rsidRPr="00AF1E1A">
        <w:rPr>
          <w:rFonts w:cs="Arial"/>
          <w:color w:val="000000" w:themeColor="text1"/>
          <w:sz w:val="24"/>
          <w:szCs w:val="24"/>
          <w:lang w:val="es-MX"/>
        </w:rPr>
        <w:t xml:space="preserve">. </w:t>
      </w:r>
      <w:r w:rsidR="002E635E">
        <w:rPr>
          <w:rFonts w:cs="Arial"/>
          <w:color w:val="000000" w:themeColor="text1"/>
          <w:sz w:val="24"/>
          <w:szCs w:val="24"/>
          <w:lang w:val="es-MX"/>
        </w:rPr>
        <w:t xml:space="preserve">Además de ser </w:t>
      </w:r>
      <w:r w:rsidR="00376E8B" w:rsidRPr="00AF1E1A">
        <w:rPr>
          <w:rFonts w:cs="Arial"/>
          <w:color w:val="000000" w:themeColor="text1"/>
          <w:sz w:val="24"/>
          <w:szCs w:val="24"/>
          <w:lang w:val="es-MX"/>
        </w:rPr>
        <w:t>un potente antagonista de los recepto</w:t>
      </w:r>
      <w:r w:rsidR="002E635E">
        <w:rPr>
          <w:rFonts w:cs="Arial"/>
          <w:color w:val="000000" w:themeColor="text1"/>
          <w:sz w:val="24"/>
          <w:szCs w:val="24"/>
          <w:lang w:val="es-MX"/>
        </w:rPr>
        <w:t>res alfa-</w:t>
      </w:r>
      <w:r w:rsidR="0087098A" w:rsidRPr="00AF1E1A">
        <w:rPr>
          <w:rFonts w:cs="Arial"/>
          <w:color w:val="000000" w:themeColor="text1"/>
          <w:sz w:val="24"/>
          <w:szCs w:val="24"/>
          <w:lang w:val="es-MX"/>
        </w:rPr>
        <w:t xml:space="preserve">2 </w:t>
      </w:r>
      <w:r w:rsidR="00B6300C" w:rsidRPr="00AF1E1A">
        <w:rPr>
          <w:rFonts w:cs="Arial"/>
          <w:color w:val="000000" w:themeColor="text1"/>
          <w:sz w:val="24"/>
          <w:szCs w:val="24"/>
          <w:lang w:val="es-MX"/>
        </w:rPr>
        <w:lastRenderedPageBreak/>
        <w:t xml:space="preserve">adrenérgicos </w:t>
      </w:r>
      <w:r w:rsidR="0087098A" w:rsidRPr="00AF1E1A">
        <w:rPr>
          <w:rFonts w:cs="Arial"/>
          <w:color w:val="000000" w:themeColor="text1"/>
          <w:sz w:val="24"/>
          <w:szCs w:val="24"/>
          <w:lang w:val="es-MX"/>
        </w:rPr>
        <w:t xml:space="preserve">situados </w:t>
      </w:r>
      <w:r w:rsidR="002E635E">
        <w:rPr>
          <w:rFonts w:cs="Arial"/>
          <w:color w:val="000000" w:themeColor="text1"/>
          <w:sz w:val="24"/>
          <w:szCs w:val="24"/>
          <w:lang w:val="es-MX"/>
        </w:rPr>
        <w:t xml:space="preserve">a nivel </w:t>
      </w:r>
      <w:r w:rsidR="0087098A" w:rsidRPr="00AF1E1A">
        <w:rPr>
          <w:rFonts w:cs="Arial"/>
          <w:color w:val="000000" w:themeColor="text1"/>
          <w:sz w:val="24"/>
          <w:szCs w:val="24"/>
          <w:lang w:val="es-MX"/>
        </w:rPr>
        <w:t>central</w:t>
      </w:r>
      <w:r w:rsidR="002E635E">
        <w:rPr>
          <w:rFonts w:cs="Arial"/>
          <w:color w:val="000000" w:themeColor="text1"/>
          <w:sz w:val="24"/>
          <w:szCs w:val="24"/>
          <w:lang w:val="es-MX"/>
        </w:rPr>
        <w:t xml:space="preserve"> y periférico </w:t>
      </w:r>
      <w:r w:rsidR="00376E8B" w:rsidRPr="00AF1E1A">
        <w:rPr>
          <w:rFonts w:cs="Arial"/>
          <w:color w:val="000000" w:themeColor="text1"/>
          <w:sz w:val="24"/>
          <w:szCs w:val="24"/>
          <w:lang w:val="es-MX"/>
        </w:rPr>
        <w:t>en los seres humanos y</w:t>
      </w:r>
      <w:r w:rsidRPr="00AF1E1A">
        <w:rPr>
          <w:rFonts w:cs="Arial"/>
          <w:color w:val="000000" w:themeColor="text1"/>
          <w:sz w:val="24"/>
          <w:szCs w:val="24"/>
          <w:lang w:val="es-MX"/>
        </w:rPr>
        <w:t xml:space="preserve"> en</w:t>
      </w:r>
      <w:r w:rsidR="00376E8B" w:rsidRPr="00AF1E1A">
        <w:rPr>
          <w:rFonts w:cs="Arial"/>
          <w:color w:val="000000" w:themeColor="text1"/>
          <w:sz w:val="24"/>
          <w:szCs w:val="24"/>
          <w:lang w:val="es-MX"/>
        </w:rPr>
        <w:t xml:space="preserve"> </w:t>
      </w:r>
      <w:r w:rsidR="0087098A" w:rsidRPr="00AF1E1A">
        <w:rPr>
          <w:rFonts w:cs="Arial"/>
          <w:color w:val="000000" w:themeColor="text1"/>
          <w:sz w:val="24"/>
          <w:szCs w:val="24"/>
          <w:lang w:val="es-MX"/>
        </w:rPr>
        <w:t xml:space="preserve">diversas especies </w:t>
      </w:r>
      <w:r w:rsidR="00376E8B" w:rsidRPr="00AF1E1A">
        <w:rPr>
          <w:rFonts w:cs="Arial"/>
          <w:color w:val="000000" w:themeColor="text1"/>
          <w:sz w:val="24"/>
          <w:szCs w:val="24"/>
          <w:lang w:val="es-MX"/>
        </w:rPr>
        <w:t xml:space="preserve">animales </w:t>
      </w:r>
      <w:r w:rsidR="00146395">
        <w:rPr>
          <w:rFonts w:cs="Arial"/>
          <w:color w:val="000000" w:themeColor="text1"/>
          <w:sz w:val="24"/>
          <w:szCs w:val="24"/>
          <w:lang w:val="es-MX"/>
        </w:rPr>
        <w:t>mamíferas</w:t>
      </w:r>
      <w:r w:rsidR="002E635E">
        <w:rPr>
          <w:rFonts w:cs="Arial"/>
          <w:color w:val="000000" w:themeColor="text1"/>
          <w:sz w:val="24"/>
          <w:szCs w:val="24"/>
          <w:lang w:val="es-MX"/>
        </w:rPr>
        <w:t xml:space="preserve"> (Kollias</w:t>
      </w:r>
      <w:r w:rsidR="00376E8B" w:rsidRPr="00AF1E1A">
        <w:rPr>
          <w:rFonts w:cs="Arial"/>
          <w:color w:val="000000" w:themeColor="text1"/>
          <w:sz w:val="24"/>
          <w:szCs w:val="24"/>
          <w:lang w:val="es-MX"/>
        </w:rPr>
        <w:t xml:space="preserve">-Baker </w:t>
      </w:r>
      <w:r w:rsidR="00376E8B" w:rsidRPr="00AF1E1A">
        <w:rPr>
          <w:rFonts w:cs="Arial"/>
          <w:i/>
          <w:color w:val="000000" w:themeColor="text1"/>
          <w:sz w:val="24"/>
          <w:szCs w:val="24"/>
          <w:lang w:val="es-MX"/>
        </w:rPr>
        <w:t>et al</w:t>
      </w:r>
      <w:r w:rsidR="0087098A" w:rsidRPr="00AF1E1A">
        <w:rPr>
          <w:rFonts w:cs="Arial"/>
          <w:i/>
          <w:color w:val="000000" w:themeColor="text1"/>
          <w:sz w:val="24"/>
          <w:szCs w:val="24"/>
          <w:lang w:val="es-MX"/>
        </w:rPr>
        <w:t>.,</w:t>
      </w:r>
      <w:r w:rsidR="00376E8B" w:rsidRPr="00AF1E1A">
        <w:rPr>
          <w:rFonts w:cs="Arial"/>
          <w:i/>
          <w:color w:val="000000" w:themeColor="text1"/>
          <w:sz w:val="24"/>
          <w:szCs w:val="24"/>
          <w:lang w:val="es-MX"/>
        </w:rPr>
        <w:t xml:space="preserve"> </w:t>
      </w:r>
      <w:r w:rsidR="002E635E">
        <w:rPr>
          <w:rFonts w:cs="Arial"/>
          <w:color w:val="000000" w:themeColor="text1"/>
          <w:sz w:val="24"/>
          <w:szCs w:val="24"/>
          <w:lang w:val="es-MX"/>
        </w:rPr>
        <w:t>1993;</w:t>
      </w:r>
      <w:r w:rsidR="00376E8B" w:rsidRPr="00AF1E1A">
        <w:rPr>
          <w:rFonts w:cs="Arial"/>
          <w:color w:val="000000" w:themeColor="text1"/>
          <w:sz w:val="24"/>
          <w:szCs w:val="24"/>
          <w:lang w:val="es-MX"/>
        </w:rPr>
        <w:t xml:space="preserve"> Ramseyer </w:t>
      </w:r>
      <w:r w:rsidR="00376E8B" w:rsidRPr="00AF1E1A">
        <w:rPr>
          <w:rFonts w:cs="Arial"/>
          <w:i/>
          <w:color w:val="000000" w:themeColor="text1"/>
          <w:sz w:val="24"/>
          <w:szCs w:val="24"/>
          <w:lang w:val="es-MX"/>
        </w:rPr>
        <w:t>et al</w:t>
      </w:r>
      <w:r w:rsidR="0087098A" w:rsidRPr="00AF1E1A">
        <w:rPr>
          <w:rFonts w:cs="Arial"/>
          <w:i/>
          <w:color w:val="000000" w:themeColor="text1"/>
          <w:sz w:val="24"/>
          <w:szCs w:val="24"/>
          <w:lang w:val="es-MX"/>
        </w:rPr>
        <w:t>.,</w:t>
      </w:r>
      <w:r w:rsidR="00376E8B" w:rsidRPr="00AF1E1A">
        <w:rPr>
          <w:rFonts w:cs="Arial"/>
          <w:i/>
          <w:color w:val="000000" w:themeColor="text1"/>
          <w:sz w:val="24"/>
          <w:szCs w:val="24"/>
          <w:lang w:val="es-MX"/>
        </w:rPr>
        <w:t xml:space="preserve"> </w:t>
      </w:r>
      <w:r w:rsidR="002E635E">
        <w:rPr>
          <w:rFonts w:cs="Arial"/>
          <w:color w:val="000000" w:themeColor="text1"/>
          <w:sz w:val="24"/>
          <w:szCs w:val="24"/>
          <w:lang w:val="es-MX"/>
        </w:rPr>
        <w:t xml:space="preserve">1998; </w:t>
      </w:r>
      <w:r w:rsidR="00376E8B" w:rsidRPr="00AF1E1A">
        <w:rPr>
          <w:rFonts w:cs="Arial"/>
          <w:color w:val="000000" w:themeColor="text1"/>
          <w:sz w:val="24"/>
          <w:szCs w:val="24"/>
          <w:lang w:val="es-MX"/>
        </w:rPr>
        <w:t>Hubell y Muir, 2006)</w:t>
      </w:r>
      <w:r w:rsidRPr="00AF1E1A">
        <w:rPr>
          <w:rFonts w:cs="Arial"/>
          <w:color w:val="000000" w:themeColor="text1"/>
          <w:sz w:val="24"/>
          <w:szCs w:val="24"/>
          <w:lang w:val="es-MX"/>
        </w:rPr>
        <w:t xml:space="preserve">. En </w:t>
      </w:r>
      <w:r w:rsidR="002E635E">
        <w:rPr>
          <w:rFonts w:cs="Arial"/>
          <w:color w:val="000000" w:themeColor="text1"/>
          <w:sz w:val="24"/>
          <w:szCs w:val="24"/>
          <w:lang w:val="es-MX"/>
        </w:rPr>
        <w:t>el</w:t>
      </w:r>
      <w:r w:rsidRPr="00AF1E1A">
        <w:rPr>
          <w:rFonts w:cs="Arial"/>
          <w:color w:val="000000" w:themeColor="text1"/>
          <w:sz w:val="24"/>
          <w:szCs w:val="24"/>
          <w:lang w:val="es-MX"/>
        </w:rPr>
        <w:t xml:space="preserve"> </w:t>
      </w:r>
      <w:r w:rsidR="0087098A" w:rsidRPr="00AF1E1A">
        <w:rPr>
          <w:rFonts w:cs="Arial"/>
          <w:color w:val="000000" w:themeColor="text1"/>
          <w:sz w:val="24"/>
          <w:szCs w:val="24"/>
          <w:lang w:val="es-MX"/>
        </w:rPr>
        <w:t xml:space="preserve">ámbito de la </w:t>
      </w:r>
      <w:r w:rsidRPr="00AF1E1A">
        <w:rPr>
          <w:rFonts w:cs="Arial"/>
          <w:color w:val="000000" w:themeColor="text1"/>
          <w:sz w:val="24"/>
          <w:szCs w:val="24"/>
          <w:lang w:val="es-MX"/>
        </w:rPr>
        <w:t>medicina veterinaria</w:t>
      </w:r>
      <w:r w:rsidR="0087098A" w:rsidRPr="00AF1E1A">
        <w:rPr>
          <w:rFonts w:cs="Arial"/>
          <w:color w:val="000000" w:themeColor="text1"/>
          <w:sz w:val="24"/>
          <w:szCs w:val="24"/>
          <w:lang w:val="es-MX"/>
        </w:rPr>
        <w:t>,</w:t>
      </w:r>
      <w:r w:rsidRPr="00AF1E1A">
        <w:rPr>
          <w:rFonts w:cs="Arial"/>
          <w:color w:val="000000" w:themeColor="text1"/>
          <w:sz w:val="24"/>
          <w:szCs w:val="24"/>
          <w:lang w:val="es-MX"/>
        </w:rPr>
        <w:t xml:space="preserve"> la </w:t>
      </w:r>
      <w:r w:rsidR="00E43E78">
        <w:rPr>
          <w:rFonts w:cs="Arial"/>
          <w:color w:val="000000" w:themeColor="text1"/>
          <w:sz w:val="24"/>
          <w:szCs w:val="24"/>
          <w:lang w:val="es-MX"/>
        </w:rPr>
        <w:t>YOH</w:t>
      </w:r>
      <w:r w:rsidR="00376E8B" w:rsidRPr="00AF1E1A">
        <w:rPr>
          <w:rFonts w:cs="Arial"/>
          <w:color w:val="000000" w:themeColor="text1"/>
          <w:sz w:val="24"/>
          <w:szCs w:val="24"/>
          <w:lang w:val="es-MX"/>
        </w:rPr>
        <w:t xml:space="preserve"> se utiliza casi exclusi</w:t>
      </w:r>
      <w:r w:rsidRPr="00AF1E1A">
        <w:rPr>
          <w:rFonts w:cs="Arial"/>
          <w:color w:val="000000" w:themeColor="text1"/>
          <w:sz w:val="24"/>
          <w:szCs w:val="24"/>
          <w:lang w:val="es-MX"/>
        </w:rPr>
        <w:t>vamente para revertir el efecto sedante</w:t>
      </w:r>
      <w:r w:rsidR="00376E8B" w:rsidRPr="00AF1E1A">
        <w:rPr>
          <w:rFonts w:cs="Arial"/>
          <w:color w:val="000000" w:themeColor="text1"/>
          <w:sz w:val="24"/>
          <w:szCs w:val="24"/>
          <w:lang w:val="es-MX"/>
        </w:rPr>
        <w:t xml:space="preserve"> o </w:t>
      </w:r>
      <w:r w:rsidR="0087098A" w:rsidRPr="00AF1E1A">
        <w:rPr>
          <w:rFonts w:cs="Arial"/>
          <w:color w:val="000000" w:themeColor="text1"/>
          <w:sz w:val="24"/>
          <w:szCs w:val="24"/>
          <w:lang w:val="es-MX"/>
        </w:rPr>
        <w:t xml:space="preserve">los </w:t>
      </w:r>
      <w:r w:rsidR="00376E8B" w:rsidRPr="00AF1E1A">
        <w:rPr>
          <w:rFonts w:cs="Arial"/>
          <w:color w:val="000000" w:themeColor="text1"/>
          <w:sz w:val="24"/>
          <w:szCs w:val="24"/>
          <w:lang w:val="es-MX"/>
        </w:rPr>
        <w:t xml:space="preserve">efectos cardiovasculares </w:t>
      </w:r>
      <w:r w:rsidR="0087098A" w:rsidRPr="00AF1E1A">
        <w:rPr>
          <w:rFonts w:cs="Arial"/>
          <w:color w:val="000000" w:themeColor="text1"/>
          <w:sz w:val="24"/>
          <w:szCs w:val="24"/>
          <w:lang w:val="es-MX"/>
        </w:rPr>
        <w:t xml:space="preserve">negativos generados por </w:t>
      </w:r>
      <w:r w:rsidR="00376E8B" w:rsidRPr="00AF1E1A">
        <w:rPr>
          <w:rFonts w:cs="Arial"/>
          <w:color w:val="000000" w:themeColor="text1"/>
          <w:sz w:val="24"/>
          <w:szCs w:val="24"/>
          <w:lang w:val="es-MX"/>
        </w:rPr>
        <w:t xml:space="preserve">los agonistas </w:t>
      </w:r>
      <w:r w:rsidR="0087098A" w:rsidRPr="00AF1E1A">
        <w:rPr>
          <w:rFonts w:cs="Arial"/>
          <w:color w:val="000000" w:themeColor="text1"/>
          <w:sz w:val="24"/>
          <w:szCs w:val="24"/>
          <w:lang w:val="es-ES_tradnl"/>
        </w:rPr>
        <w:t>alfa-2 adrenérgicos</w:t>
      </w:r>
      <w:r w:rsidRPr="00AF1E1A">
        <w:rPr>
          <w:rFonts w:cs="Arial"/>
          <w:color w:val="000000" w:themeColor="text1"/>
          <w:sz w:val="24"/>
          <w:szCs w:val="24"/>
          <w:lang w:val="es-MX"/>
        </w:rPr>
        <w:t xml:space="preserve">, especialmente de la </w:t>
      </w:r>
      <w:r w:rsidR="00B56224">
        <w:rPr>
          <w:rFonts w:cs="Arial"/>
          <w:color w:val="000000" w:themeColor="text1"/>
          <w:sz w:val="24"/>
          <w:szCs w:val="24"/>
          <w:lang w:val="es-MX"/>
        </w:rPr>
        <w:t>DET</w:t>
      </w:r>
      <w:r w:rsidR="00376E8B" w:rsidRPr="00AF1E1A">
        <w:rPr>
          <w:rFonts w:cs="Arial"/>
          <w:color w:val="000000" w:themeColor="text1"/>
          <w:sz w:val="24"/>
          <w:szCs w:val="24"/>
          <w:lang w:val="es-MX"/>
        </w:rPr>
        <w:t xml:space="preserve"> (Dimaio Knych </w:t>
      </w:r>
      <w:r w:rsidR="00376E8B" w:rsidRPr="00AF1E1A">
        <w:rPr>
          <w:rFonts w:cs="Arial"/>
          <w:i/>
          <w:color w:val="000000" w:themeColor="text1"/>
          <w:sz w:val="24"/>
          <w:szCs w:val="24"/>
          <w:lang w:val="es-MX"/>
        </w:rPr>
        <w:t>et</w:t>
      </w:r>
      <w:r w:rsidRPr="00AF1E1A">
        <w:rPr>
          <w:rFonts w:cs="Arial"/>
          <w:i/>
          <w:color w:val="000000" w:themeColor="text1"/>
          <w:sz w:val="24"/>
          <w:szCs w:val="24"/>
          <w:lang w:val="es-MX"/>
        </w:rPr>
        <w:t xml:space="preserve"> al</w:t>
      </w:r>
      <w:r w:rsidRPr="00AF1E1A">
        <w:rPr>
          <w:rFonts w:cs="Arial"/>
          <w:color w:val="000000" w:themeColor="text1"/>
          <w:sz w:val="24"/>
          <w:szCs w:val="24"/>
          <w:lang w:val="es-MX"/>
        </w:rPr>
        <w:t>.</w:t>
      </w:r>
      <w:r w:rsidR="0087098A" w:rsidRPr="00AF1E1A">
        <w:rPr>
          <w:rFonts w:cs="Arial"/>
          <w:color w:val="000000" w:themeColor="text1"/>
          <w:sz w:val="24"/>
          <w:szCs w:val="24"/>
          <w:lang w:val="es-MX"/>
        </w:rPr>
        <w:t>,</w:t>
      </w:r>
      <w:r w:rsidRPr="00AF1E1A">
        <w:rPr>
          <w:rFonts w:cs="Arial"/>
          <w:color w:val="000000" w:themeColor="text1"/>
          <w:sz w:val="24"/>
          <w:szCs w:val="24"/>
          <w:lang w:val="es-MX"/>
        </w:rPr>
        <w:t xml:space="preserve"> 2011</w:t>
      </w:r>
      <w:r w:rsidR="00B3137A">
        <w:rPr>
          <w:rFonts w:cs="Arial"/>
          <w:color w:val="000000" w:themeColor="text1"/>
          <w:sz w:val="24"/>
          <w:szCs w:val="24"/>
          <w:lang w:val="es-MX"/>
        </w:rPr>
        <w:t>a</w:t>
      </w:r>
      <w:r w:rsidRPr="00AF1E1A">
        <w:rPr>
          <w:rFonts w:cs="Arial"/>
          <w:color w:val="000000" w:themeColor="text1"/>
          <w:sz w:val="24"/>
          <w:szCs w:val="24"/>
          <w:lang w:val="es-MX"/>
        </w:rPr>
        <w:t xml:space="preserve">). </w:t>
      </w:r>
      <w:r w:rsidR="0087098A" w:rsidRPr="00AF1E1A">
        <w:rPr>
          <w:rFonts w:cs="Arial"/>
          <w:color w:val="000000" w:themeColor="text1"/>
          <w:sz w:val="24"/>
          <w:szCs w:val="24"/>
          <w:lang w:val="es-MX"/>
        </w:rPr>
        <w:t>Diversos experimentos han demostrado que e</w:t>
      </w:r>
      <w:r w:rsidRPr="00AF1E1A">
        <w:rPr>
          <w:rFonts w:cs="Arial"/>
          <w:color w:val="000000" w:themeColor="text1"/>
          <w:sz w:val="24"/>
          <w:szCs w:val="24"/>
          <w:lang w:val="es-MX"/>
        </w:rPr>
        <w:t xml:space="preserve">n los caballos, la </w:t>
      </w:r>
      <w:r w:rsidR="00E43E78">
        <w:rPr>
          <w:rFonts w:cs="Arial"/>
          <w:color w:val="000000" w:themeColor="text1"/>
          <w:sz w:val="24"/>
          <w:szCs w:val="24"/>
          <w:lang w:val="es-MX"/>
        </w:rPr>
        <w:t>YOH</w:t>
      </w:r>
      <w:r w:rsidR="00376E8B" w:rsidRPr="00AF1E1A">
        <w:rPr>
          <w:rFonts w:cs="Arial"/>
          <w:color w:val="000000" w:themeColor="text1"/>
          <w:sz w:val="24"/>
          <w:szCs w:val="24"/>
          <w:lang w:val="es-MX"/>
        </w:rPr>
        <w:t xml:space="preserve"> </w:t>
      </w:r>
      <w:r w:rsidRPr="00AF1E1A">
        <w:rPr>
          <w:rFonts w:cs="Arial"/>
          <w:color w:val="000000" w:themeColor="text1"/>
          <w:sz w:val="24"/>
          <w:szCs w:val="24"/>
          <w:lang w:val="es-MX"/>
        </w:rPr>
        <w:t>antagoniza</w:t>
      </w:r>
      <w:r w:rsidR="00376E8B" w:rsidRPr="00AF1E1A">
        <w:rPr>
          <w:rFonts w:cs="Arial"/>
          <w:color w:val="000000" w:themeColor="text1"/>
          <w:sz w:val="24"/>
          <w:szCs w:val="24"/>
          <w:lang w:val="es-MX"/>
        </w:rPr>
        <w:t xml:space="preserve"> la bradicardia </w:t>
      </w:r>
      <w:r w:rsidR="008415DD" w:rsidRPr="00AF1E1A">
        <w:rPr>
          <w:rFonts w:cs="Arial"/>
          <w:color w:val="000000" w:themeColor="text1"/>
          <w:sz w:val="24"/>
          <w:szCs w:val="24"/>
          <w:lang w:val="es-MX"/>
        </w:rPr>
        <w:t xml:space="preserve">ventricular y </w:t>
      </w:r>
      <w:r w:rsidR="00376E8B" w:rsidRPr="00AF1E1A">
        <w:rPr>
          <w:rFonts w:cs="Arial"/>
          <w:color w:val="000000" w:themeColor="text1"/>
          <w:sz w:val="24"/>
          <w:szCs w:val="24"/>
          <w:lang w:val="es-MX"/>
        </w:rPr>
        <w:t>aurículo-ventricular (AV)</w:t>
      </w:r>
      <w:r w:rsidR="0025708F" w:rsidRPr="00AF1E1A">
        <w:rPr>
          <w:rFonts w:cs="Arial"/>
          <w:color w:val="000000" w:themeColor="text1"/>
          <w:sz w:val="24"/>
          <w:szCs w:val="24"/>
          <w:lang w:val="es-MX"/>
        </w:rPr>
        <w:t>, las cuales han sido</w:t>
      </w:r>
      <w:r w:rsidR="00376E8B" w:rsidRPr="00AF1E1A">
        <w:rPr>
          <w:rFonts w:cs="Arial"/>
          <w:color w:val="000000" w:themeColor="text1"/>
          <w:sz w:val="24"/>
          <w:szCs w:val="24"/>
          <w:lang w:val="es-MX"/>
        </w:rPr>
        <w:t xml:space="preserve"> </w:t>
      </w:r>
      <w:r w:rsidR="002E635E">
        <w:rPr>
          <w:rFonts w:cs="Arial"/>
          <w:color w:val="000000" w:themeColor="text1"/>
          <w:sz w:val="24"/>
          <w:szCs w:val="24"/>
          <w:lang w:val="es-MX"/>
        </w:rPr>
        <w:t xml:space="preserve">reportadas </w:t>
      </w:r>
      <w:r w:rsidR="00146395">
        <w:rPr>
          <w:rFonts w:cs="Arial"/>
          <w:color w:val="000000" w:themeColor="text1"/>
          <w:sz w:val="24"/>
          <w:szCs w:val="24"/>
          <w:lang w:val="es-MX"/>
        </w:rPr>
        <w:t>despu</w:t>
      </w:r>
      <w:r w:rsidR="00146395" w:rsidRPr="00AF1E1A">
        <w:rPr>
          <w:rFonts w:cs="Arial"/>
          <w:color w:val="000000" w:themeColor="text1"/>
          <w:sz w:val="24"/>
          <w:szCs w:val="24"/>
          <w:lang w:val="es-MX"/>
        </w:rPr>
        <w:t>és</w:t>
      </w:r>
      <w:r w:rsidR="0025708F" w:rsidRPr="00AF1E1A">
        <w:rPr>
          <w:rFonts w:cs="Arial"/>
          <w:color w:val="000000" w:themeColor="text1"/>
          <w:sz w:val="24"/>
          <w:szCs w:val="24"/>
          <w:lang w:val="es-MX"/>
        </w:rPr>
        <w:t xml:space="preserve"> de la </w:t>
      </w:r>
      <w:r w:rsidRPr="00AF1E1A">
        <w:rPr>
          <w:rFonts w:cs="Arial"/>
          <w:color w:val="000000" w:themeColor="text1"/>
          <w:sz w:val="24"/>
          <w:szCs w:val="24"/>
          <w:lang w:val="es-MX"/>
        </w:rPr>
        <w:t xml:space="preserve">administración de </w:t>
      </w:r>
      <w:r w:rsidR="00B56224" w:rsidRPr="00BF1B18">
        <w:rPr>
          <w:rFonts w:cs="Arial"/>
          <w:color w:val="000000" w:themeColor="text1"/>
          <w:sz w:val="24"/>
          <w:szCs w:val="24"/>
          <w:lang w:val="es-MX"/>
        </w:rPr>
        <w:t>DET</w:t>
      </w:r>
      <w:r w:rsidRPr="00AF1E1A">
        <w:rPr>
          <w:rFonts w:cs="Arial"/>
          <w:color w:val="000000" w:themeColor="text1"/>
          <w:sz w:val="24"/>
          <w:szCs w:val="24"/>
          <w:lang w:val="es-MX"/>
        </w:rPr>
        <w:t xml:space="preserve"> </w:t>
      </w:r>
      <w:r w:rsidR="002E635E">
        <w:rPr>
          <w:rFonts w:cs="Arial"/>
          <w:color w:val="000000" w:themeColor="text1"/>
          <w:sz w:val="24"/>
          <w:szCs w:val="24"/>
          <w:lang w:val="es-MX"/>
        </w:rPr>
        <w:t xml:space="preserve">por vía enteral </w:t>
      </w:r>
      <w:r w:rsidRPr="00AF1E1A">
        <w:rPr>
          <w:rFonts w:cs="Arial"/>
          <w:color w:val="000000" w:themeColor="text1"/>
          <w:sz w:val="24"/>
          <w:szCs w:val="24"/>
          <w:lang w:val="es-MX"/>
        </w:rPr>
        <w:t xml:space="preserve">(Knych </w:t>
      </w:r>
      <w:r w:rsidRPr="00AF1E1A">
        <w:rPr>
          <w:rFonts w:cs="Arial"/>
          <w:i/>
          <w:color w:val="000000" w:themeColor="text1"/>
          <w:sz w:val="24"/>
          <w:szCs w:val="24"/>
          <w:lang w:val="es-MX"/>
        </w:rPr>
        <w:t>et al</w:t>
      </w:r>
      <w:r w:rsidRPr="00AF1E1A">
        <w:rPr>
          <w:rFonts w:cs="Arial"/>
          <w:color w:val="000000" w:themeColor="text1"/>
          <w:sz w:val="24"/>
          <w:szCs w:val="24"/>
          <w:lang w:val="es-MX"/>
        </w:rPr>
        <w:t xml:space="preserve">., 2012). </w:t>
      </w:r>
      <w:r w:rsidR="0025708F" w:rsidRPr="00AF1E1A">
        <w:rPr>
          <w:rFonts w:cs="Arial"/>
          <w:color w:val="000000" w:themeColor="text1"/>
          <w:sz w:val="24"/>
          <w:szCs w:val="24"/>
          <w:lang w:val="es-MX"/>
        </w:rPr>
        <w:t>Aparentemente, la</w:t>
      </w:r>
      <w:r w:rsidRPr="00AF1E1A">
        <w:rPr>
          <w:rFonts w:cs="Arial"/>
          <w:color w:val="000000" w:themeColor="text1"/>
          <w:sz w:val="24"/>
          <w:szCs w:val="24"/>
          <w:lang w:val="es-MX"/>
        </w:rPr>
        <w:t xml:space="preserve"> </w:t>
      </w:r>
      <w:r w:rsidR="00E43E78">
        <w:rPr>
          <w:rFonts w:cs="Arial"/>
          <w:color w:val="000000" w:themeColor="text1"/>
          <w:sz w:val="24"/>
          <w:szCs w:val="24"/>
          <w:lang w:val="es-MX"/>
        </w:rPr>
        <w:t>YOH</w:t>
      </w:r>
      <w:r w:rsidR="00376E8B" w:rsidRPr="00AF1E1A">
        <w:rPr>
          <w:rFonts w:cs="Arial"/>
          <w:color w:val="000000" w:themeColor="text1"/>
          <w:sz w:val="24"/>
          <w:szCs w:val="24"/>
          <w:lang w:val="es-MX"/>
        </w:rPr>
        <w:t xml:space="preserve"> </w:t>
      </w:r>
      <w:r w:rsidR="002E635E">
        <w:rPr>
          <w:rFonts w:cs="Arial"/>
          <w:color w:val="000000" w:themeColor="text1"/>
          <w:sz w:val="24"/>
          <w:szCs w:val="24"/>
          <w:lang w:val="es-MX"/>
        </w:rPr>
        <w:t>puede tener un ó</w:t>
      </w:r>
      <w:r w:rsidR="00456567" w:rsidRPr="00AF1E1A">
        <w:rPr>
          <w:rFonts w:cs="Arial"/>
          <w:color w:val="000000" w:themeColor="text1"/>
          <w:sz w:val="24"/>
          <w:szCs w:val="24"/>
          <w:lang w:val="es-MX"/>
        </w:rPr>
        <w:t xml:space="preserve">ptimo </w:t>
      </w:r>
      <w:r w:rsidR="00376E8B" w:rsidRPr="00AF1E1A">
        <w:rPr>
          <w:rFonts w:cs="Arial"/>
          <w:color w:val="000000" w:themeColor="text1"/>
          <w:sz w:val="24"/>
          <w:szCs w:val="24"/>
          <w:lang w:val="es-MX"/>
        </w:rPr>
        <w:t xml:space="preserve">volumen de distribución </w:t>
      </w:r>
      <w:r w:rsidR="002E635E">
        <w:rPr>
          <w:rFonts w:cs="Arial"/>
          <w:color w:val="000000" w:themeColor="text1"/>
          <w:sz w:val="24"/>
          <w:szCs w:val="24"/>
          <w:lang w:val="es-MX"/>
        </w:rPr>
        <w:t>en</w:t>
      </w:r>
      <w:r w:rsidR="00456567" w:rsidRPr="00AF1E1A">
        <w:rPr>
          <w:rFonts w:cs="Arial"/>
          <w:color w:val="000000" w:themeColor="text1"/>
          <w:sz w:val="24"/>
          <w:szCs w:val="24"/>
          <w:lang w:val="es-MX"/>
        </w:rPr>
        <w:t xml:space="preserve"> el organismo </w:t>
      </w:r>
      <w:r w:rsidR="00376E8B" w:rsidRPr="00AF1E1A">
        <w:rPr>
          <w:rFonts w:cs="Arial"/>
          <w:color w:val="000000" w:themeColor="text1"/>
          <w:sz w:val="24"/>
          <w:szCs w:val="24"/>
          <w:lang w:val="es-MX"/>
        </w:rPr>
        <w:t xml:space="preserve">y </w:t>
      </w:r>
      <w:r w:rsidR="00456567" w:rsidRPr="00AF1E1A">
        <w:rPr>
          <w:rFonts w:cs="Arial"/>
          <w:color w:val="000000" w:themeColor="text1"/>
          <w:sz w:val="24"/>
          <w:szCs w:val="24"/>
          <w:lang w:val="es-MX"/>
        </w:rPr>
        <w:t xml:space="preserve">puede aclararse </w:t>
      </w:r>
      <w:r w:rsidR="00376E8B" w:rsidRPr="00AF1E1A">
        <w:rPr>
          <w:rFonts w:cs="Arial"/>
          <w:color w:val="000000" w:themeColor="text1"/>
          <w:sz w:val="24"/>
          <w:szCs w:val="24"/>
          <w:lang w:val="es-MX"/>
        </w:rPr>
        <w:t xml:space="preserve">rápidamente tras </w:t>
      </w:r>
      <w:r w:rsidR="00456567" w:rsidRPr="00AF1E1A">
        <w:rPr>
          <w:rFonts w:cs="Arial"/>
          <w:color w:val="000000" w:themeColor="text1"/>
          <w:sz w:val="24"/>
          <w:szCs w:val="24"/>
          <w:lang w:val="es-MX"/>
        </w:rPr>
        <w:t xml:space="preserve">su </w:t>
      </w:r>
      <w:r w:rsidR="00376E8B" w:rsidRPr="00AF1E1A">
        <w:rPr>
          <w:rFonts w:cs="Arial"/>
          <w:color w:val="000000" w:themeColor="text1"/>
          <w:sz w:val="24"/>
          <w:szCs w:val="24"/>
          <w:lang w:val="es-MX"/>
        </w:rPr>
        <w:t xml:space="preserve">administración intravenosa </w:t>
      </w:r>
      <w:r w:rsidR="00456567" w:rsidRPr="00AF1E1A">
        <w:rPr>
          <w:rFonts w:cs="Arial"/>
          <w:color w:val="000000" w:themeColor="text1"/>
          <w:sz w:val="24"/>
          <w:szCs w:val="24"/>
          <w:lang w:val="es-MX"/>
        </w:rPr>
        <w:t xml:space="preserve">en </w:t>
      </w:r>
      <w:r w:rsidR="002E635E">
        <w:rPr>
          <w:rFonts w:cs="Arial"/>
          <w:color w:val="000000" w:themeColor="text1"/>
          <w:sz w:val="24"/>
          <w:szCs w:val="24"/>
          <w:lang w:val="es-MX"/>
        </w:rPr>
        <w:t xml:space="preserve">la especie equina </w:t>
      </w:r>
      <w:r w:rsidR="00376E8B" w:rsidRPr="00AF1E1A">
        <w:rPr>
          <w:rFonts w:cs="Arial"/>
          <w:color w:val="000000" w:themeColor="text1"/>
          <w:sz w:val="24"/>
          <w:szCs w:val="24"/>
          <w:lang w:val="es-MX"/>
        </w:rPr>
        <w:t>(DiMaio Knych</w:t>
      </w:r>
      <w:r w:rsidRPr="00AF1E1A">
        <w:rPr>
          <w:rFonts w:cs="Arial"/>
          <w:color w:val="000000" w:themeColor="text1"/>
          <w:sz w:val="24"/>
          <w:szCs w:val="24"/>
          <w:lang w:val="es-MX"/>
        </w:rPr>
        <w:t xml:space="preserve"> </w:t>
      </w:r>
      <w:r w:rsidRPr="00AF1E1A">
        <w:rPr>
          <w:rFonts w:cs="Arial"/>
          <w:i/>
          <w:color w:val="000000" w:themeColor="text1"/>
          <w:sz w:val="24"/>
          <w:szCs w:val="24"/>
          <w:lang w:val="es-MX"/>
        </w:rPr>
        <w:t>et al</w:t>
      </w:r>
      <w:r w:rsidRPr="00AF1E1A">
        <w:rPr>
          <w:rFonts w:cs="Arial"/>
          <w:color w:val="000000" w:themeColor="text1"/>
          <w:sz w:val="24"/>
          <w:szCs w:val="24"/>
          <w:lang w:val="es-MX"/>
        </w:rPr>
        <w:t>., 2011</w:t>
      </w:r>
      <w:r w:rsidR="00B3137A">
        <w:rPr>
          <w:rFonts w:cs="Arial"/>
          <w:color w:val="000000" w:themeColor="text1"/>
          <w:sz w:val="24"/>
          <w:szCs w:val="24"/>
          <w:lang w:val="es-MX"/>
        </w:rPr>
        <w:t>a</w:t>
      </w:r>
      <w:r w:rsidRPr="00AF1E1A">
        <w:rPr>
          <w:rFonts w:cs="Arial"/>
          <w:color w:val="000000" w:themeColor="text1"/>
          <w:sz w:val="24"/>
          <w:szCs w:val="24"/>
          <w:lang w:val="es-MX"/>
        </w:rPr>
        <w:t xml:space="preserve">). </w:t>
      </w:r>
      <w:r w:rsidR="002E635E">
        <w:rPr>
          <w:rFonts w:cs="Arial"/>
          <w:color w:val="000000" w:themeColor="text1"/>
          <w:sz w:val="24"/>
          <w:szCs w:val="24"/>
          <w:lang w:val="es-MX"/>
        </w:rPr>
        <w:t>Se ha demostrado que en</w:t>
      </w:r>
      <w:r w:rsidRPr="00AF1E1A">
        <w:rPr>
          <w:rFonts w:cs="Arial"/>
          <w:color w:val="000000" w:themeColor="text1"/>
          <w:sz w:val="24"/>
          <w:szCs w:val="24"/>
          <w:lang w:val="es-MX"/>
        </w:rPr>
        <w:t xml:space="preserve"> el </w:t>
      </w:r>
      <w:r w:rsidR="002E635E">
        <w:rPr>
          <w:rFonts w:cs="Arial"/>
          <w:color w:val="000000" w:themeColor="text1"/>
          <w:sz w:val="24"/>
          <w:szCs w:val="24"/>
          <w:lang w:val="es-MX"/>
        </w:rPr>
        <w:t xml:space="preserve">ser </w:t>
      </w:r>
      <w:r w:rsidRPr="00AF1E1A">
        <w:rPr>
          <w:rFonts w:cs="Arial"/>
          <w:color w:val="000000" w:themeColor="text1"/>
          <w:sz w:val="24"/>
          <w:szCs w:val="24"/>
          <w:lang w:val="es-MX"/>
        </w:rPr>
        <w:t>humano</w:t>
      </w:r>
      <w:r w:rsidR="00853A15" w:rsidRPr="00AF1E1A">
        <w:rPr>
          <w:rFonts w:cs="Arial"/>
          <w:color w:val="000000" w:themeColor="text1"/>
          <w:sz w:val="24"/>
          <w:szCs w:val="24"/>
          <w:lang w:val="es-MX"/>
        </w:rPr>
        <w:t>,</w:t>
      </w:r>
      <w:r w:rsidRPr="00AF1E1A">
        <w:rPr>
          <w:rFonts w:cs="Arial"/>
          <w:color w:val="000000" w:themeColor="text1"/>
          <w:sz w:val="24"/>
          <w:szCs w:val="24"/>
          <w:lang w:val="es-MX"/>
        </w:rPr>
        <w:t xml:space="preserve"> la </w:t>
      </w:r>
      <w:r w:rsidR="00E43E78">
        <w:rPr>
          <w:rFonts w:cs="Arial"/>
          <w:color w:val="000000" w:themeColor="text1"/>
          <w:sz w:val="24"/>
          <w:szCs w:val="24"/>
          <w:lang w:val="es-MX"/>
        </w:rPr>
        <w:t>YOH</w:t>
      </w:r>
      <w:r w:rsidR="00376E8B" w:rsidRPr="00AF1E1A">
        <w:rPr>
          <w:rFonts w:cs="Arial"/>
          <w:color w:val="000000" w:themeColor="text1"/>
          <w:sz w:val="24"/>
          <w:szCs w:val="24"/>
          <w:lang w:val="es-MX"/>
        </w:rPr>
        <w:t xml:space="preserve"> se metaboliza rápidamente </w:t>
      </w:r>
      <w:r w:rsidR="002E635E">
        <w:rPr>
          <w:rFonts w:cs="Arial"/>
          <w:color w:val="000000" w:themeColor="text1"/>
          <w:sz w:val="24"/>
          <w:szCs w:val="24"/>
          <w:lang w:val="es-MX"/>
        </w:rPr>
        <w:t xml:space="preserve">a tráves de </w:t>
      </w:r>
      <w:r w:rsidR="00376E8B" w:rsidRPr="00AF1E1A">
        <w:rPr>
          <w:rFonts w:cs="Arial"/>
          <w:color w:val="000000" w:themeColor="text1"/>
          <w:sz w:val="24"/>
          <w:szCs w:val="24"/>
          <w:lang w:val="es-MX"/>
        </w:rPr>
        <w:t xml:space="preserve">enzimas del citocromo </w:t>
      </w:r>
      <w:r w:rsidR="00FC7D05" w:rsidRPr="00AF1E1A">
        <w:rPr>
          <w:rFonts w:cs="Arial"/>
          <w:color w:val="000000" w:themeColor="text1"/>
          <w:sz w:val="24"/>
          <w:szCs w:val="24"/>
          <w:lang w:val="es-MX"/>
        </w:rPr>
        <w:t>CY</w:t>
      </w:r>
      <w:r w:rsidR="00376E8B" w:rsidRPr="00AF1E1A">
        <w:rPr>
          <w:rFonts w:cs="Arial"/>
          <w:color w:val="000000" w:themeColor="text1"/>
          <w:sz w:val="24"/>
          <w:szCs w:val="24"/>
          <w:lang w:val="es-MX"/>
        </w:rPr>
        <w:t>P450 a dos metabolitos</w:t>
      </w:r>
      <w:r w:rsidR="00853A15" w:rsidRPr="00AF1E1A">
        <w:rPr>
          <w:rFonts w:cs="Arial"/>
          <w:color w:val="000000" w:themeColor="text1"/>
          <w:sz w:val="24"/>
          <w:szCs w:val="24"/>
          <w:lang w:val="es-MX"/>
        </w:rPr>
        <w:t xml:space="preserve"> secundarios, siendo el </w:t>
      </w:r>
      <w:r w:rsidR="002E635E">
        <w:rPr>
          <w:rFonts w:cs="Arial"/>
          <w:color w:val="000000" w:themeColor="text1"/>
          <w:sz w:val="24"/>
          <w:szCs w:val="24"/>
          <w:lang w:val="es-MX"/>
        </w:rPr>
        <w:t>más importante</w:t>
      </w:r>
      <w:r w:rsidR="00853A15" w:rsidRPr="00AF1E1A">
        <w:rPr>
          <w:rFonts w:cs="Arial"/>
          <w:color w:val="000000" w:themeColor="text1"/>
          <w:sz w:val="24"/>
          <w:szCs w:val="24"/>
          <w:lang w:val="es-MX"/>
        </w:rPr>
        <w:t>, el hidroxil-yohimbina (Le</w:t>
      </w:r>
      <w:r w:rsidR="00376E8B" w:rsidRPr="00AF1E1A">
        <w:rPr>
          <w:rFonts w:cs="Arial"/>
          <w:color w:val="000000" w:themeColor="text1"/>
          <w:sz w:val="24"/>
          <w:szCs w:val="24"/>
          <w:lang w:val="es-MX"/>
        </w:rPr>
        <w:t xml:space="preserve">Corre </w:t>
      </w:r>
      <w:r w:rsidR="00376E8B" w:rsidRPr="00AF1E1A">
        <w:rPr>
          <w:rFonts w:cs="Arial"/>
          <w:i/>
          <w:color w:val="000000" w:themeColor="text1"/>
          <w:sz w:val="24"/>
          <w:szCs w:val="24"/>
          <w:lang w:val="es-MX"/>
        </w:rPr>
        <w:t>et al</w:t>
      </w:r>
      <w:r w:rsidR="002E635E">
        <w:rPr>
          <w:rFonts w:cs="Arial"/>
          <w:color w:val="000000" w:themeColor="text1"/>
          <w:sz w:val="24"/>
          <w:szCs w:val="24"/>
          <w:lang w:val="es-MX"/>
        </w:rPr>
        <w:t>., 1999). Hasta donde se sabe</w:t>
      </w:r>
      <w:r w:rsidR="00376E8B" w:rsidRPr="00AF1E1A">
        <w:rPr>
          <w:rFonts w:cs="Arial"/>
          <w:color w:val="000000" w:themeColor="text1"/>
          <w:sz w:val="24"/>
          <w:szCs w:val="24"/>
          <w:lang w:val="es-MX"/>
        </w:rPr>
        <w:t xml:space="preserve">, no hay informes en la literatura </w:t>
      </w:r>
      <w:r w:rsidR="00146395">
        <w:rPr>
          <w:rFonts w:cs="Arial"/>
          <w:color w:val="000000" w:themeColor="text1"/>
          <w:sz w:val="24"/>
          <w:szCs w:val="24"/>
          <w:lang w:val="es-MX"/>
        </w:rPr>
        <w:t>científica</w:t>
      </w:r>
      <w:r w:rsidR="002E635E">
        <w:rPr>
          <w:rFonts w:cs="Arial"/>
          <w:color w:val="000000" w:themeColor="text1"/>
          <w:sz w:val="24"/>
          <w:szCs w:val="24"/>
          <w:lang w:val="es-MX"/>
        </w:rPr>
        <w:t xml:space="preserve"> que indique </w:t>
      </w:r>
      <w:r w:rsidR="00146395">
        <w:rPr>
          <w:rFonts w:cs="Arial"/>
          <w:color w:val="000000" w:themeColor="text1"/>
          <w:sz w:val="24"/>
          <w:szCs w:val="24"/>
          <w:lang w:val="es-MX"/>
        </w:rPr>
        <w:t>cuántos</w:t>
      </w:r>
      <w:r w:rsidR="002E635E">
        <w:rPr>
          <w:rFonts w:cs="Arial"/>
          <w:color w:val="000000" w:themeColor="text1"/>
          <w:sz w:val="24"/>
          <w:szCs w:val="24"/>
          <w:lang w:val="es-MX"/>
        </w:rPr>
        <w:t xml:space="preserve"> y </w:t>
      </w:r>
      <w:r w:rsidR="00146395">
        <w:rPr>
          <w:rFonts w:cs="Arial"/>
          <w:color w:val="000000" w:themeColor="text1"/>
          <w:sz w:val="24"/>
          <w:szCs w:val="24"/>
          <w:lang w:val="es-MX"/>
        </w:rPr>
        <w:t>cuáles</w:t>
      </w:r>
      <w:r w:rsidR="002E635E">
        <w:rPr>
          <w:rFonts w:cs="Arial"/>
          <w:color w:val="000000" w:themeColor="text1"/>
          <w:sz w:val="24"/>
          <w:szCs w:val="24"/>
          <w:lang w:val="es-MX"/>
        </w:rPr>
        <w:t xml:space="preserve"> son </w:t>
      </w:r>
      <w:r w:rsidR="00376E8B" w:rsidRPr="00AF1E1A">
        <w:rPr>
          <w:rFonts w:cs="Arial"/>
          <w:color w:val="000000" w:themeColor="text1"/>
          <w:sz w:val="24"/>
          <w:szCs w:val="24"/>
          <w:lang w:val="es-MX"/>
        </w:rPr>
        <w:t>los met</w:t>
      </w:r>
      <w:r w:rsidRPr="00AF1E1A">
        <w:rPr>
          <w:rFonts w:cs="Arial"/>
          <w:color w:val="000000" w:themeColor="text1"/>
          <w:sz w:val="24"/>
          <w:szCs w:val="24"/>
          <w:lang w:val="es-MX"/>
        </w:rPr>
        <w:t xml:space="preserve">abolitos de la </w:t>
      </w:r>
      <w:r w:rsidR="00E43E78">
        <w:rPr>
          <w:rFonts w:cs="Arial"/>
          <w:color w:val="000000" w:themeColor="text1"/>
          <w:sz w:val="24"/>
          <w:szCs w:val="24"/>
          <w:lang w:val="es-MX"/>
        </w:rPr>
        <w:t>YOH</w:t>
      </w:r>
      <w:r w:rsidR="00376E8B" w:rsidRPr="00AF1E1A">
        <w:rPr>
          <w:rFonts w:cs="Arial"/>
          <w:color w:val="000000" w:themeColor="text1"/>
          <w:sz w:val="24"/>
          <w:szCs w:val="24"/>
          <w:lang w:val="es-MX"/>
        </w:rPr>
        <w:t xml:space="preserve"> </w:t>
      </w:r>
      <w:r w:rsidR="00FC7D05">
        <w:rPr>
          <w:rFonts w:cs="Arial"/>
          <w:color w:val="000000" w:themeColor="text1"/>
          <w:sz w:val="24"/>
          <w:szCs w:val="24"/>
          <w:lang w:val="es-MX"/>
        </w:rPr>
        <w:t xml:space="preserve">que intervienen en el </w:t>
      </w:r>
      <w:r w:rsidR="00146395">
        <w:rPr>
          <w:rFonts w:cs="Arial"/>
          <w:color w:val="000000" w:themeColor="text1"/>
          <w:sz w:val="24"/>
          <w:szCs w:val="24"/>
          <w:lang w:val="es-MX"/>
        </w:rPr>
        <w:t>metabolismo</w:t>
      </w:r>
      <w:r w:rsidR="00FC7D05">
        <w:rPr>
          <w:rFonts w:cs="Arial"/>
          <w:color w:val="000000" w:themeColor="text1"/>
          <w:sz w:val="24"/>
          <w:szCs w:val="24"/>
          <w:lang w:val="es-MX"/>
        </w:rPr>
        <w:t xml:space="preserve"> del fármaco </w:t>
      </w:r>
      <w:r w:rsidR="00376E8B" w:rsidRPr="00AF1E1A">
        <w:rPr>
          <w:rFonts w:cs="Arial"/>
          <w:color w:val="000000" w:themeColor="text1"/>
          <w:sz w:val="24"/>
          <w:szCs w:val="24"/>
          <w:lang w:val="es-MX"/>
        </w:rPr>
        <w:t xml:space="preserve">en el caballo (Dimaio Knych </w:t>
      </w:r>
      <w:r w:rsidR="00376E8B" w:rsidRPr="00AF1E1A">
        <w:rPr>
          <w:rFonts w:cs="Arial"/>
          <w:i/>
          <w:color w:val="000000" w:themeColor="text1"/>
          <w:sz w:val="24"/>
          <w:szCs w:val="24"/>
          <w:lang w:val="es-MX"/>
        </w:rPr>
        <w:t>et al.,</w:t>
      </w:r>
      <w:r w:rsidR="00376E8B" w:rsidRPr="00AF1E1A">
        <w:rPr>
          <w:rFonts w:cs="Arial"/>
          <w:color w:val="000000" w:themeColor="text1"/>
          <w:sz w:val="24"/>
          <w:szCs w:val="24"/>
          <w:lang w:val="es-MX"/>
        </w:rPr>
        <w:t xml:space="preserve"> 2011). </w:t>
      </w:r>
      <w:r w:rsidR="00853A15" w:rsidRPr="00AF1E1A">
        <w:rPr>
          <w:rFonts w:cs="Arial"/>
          <w:color w:val="000000" w:themeColor="text1"/>
          <w:sz w:val="24"/>
          <w:szCs w:val="24"/>
          <w:lang w:val="es-MX"/>
        </w:rPr>
        <w:t>No obstante, se sabe que l</w:t>
      </w:r>
      <w:r w:rsidR="00376E8B" w:rsidRPr="00AF1E1A">
        <w:rPr>
          <w:rFonts w:cs="Arial"/>
          <w:color w:val="000000" w:themeColor="text1"/>
          <w:sz w:val="24"/>
          <w:szCs w:val="24"/>
          <w:lang w:val="es-MX"/>
        </w:rPr>
        <w:t>a hidroxilación es la pri</w:t>
      </w:r>
      <w:r w:rsidRPr="00AF1E1A">
        <w:rPr>
          <w:rFonts w:cs="Arial"/>
          <w:color w:val="000000" w:themeColor="text1"/>
          <w:sz w:val="24"/>
          <w:szCs w:val="24"/>
          <w:lang w:val="es-MX"/>
        </w:rPr>
        <w:t xml:space="preserve">ncipal vía de eliminación de la </w:t>
      </w:r>
      <w:r w:rsidR="00E43E78">
        <w:rPr>
          <w:rFonts w:cs="Arial"/>
          <w:color w:val="000000" w:themeColor="text1"/>
          <w:sz w:val="24"/>
          <w:szCs w:val="24"/>
          <w:lang w:val="es-MX"/>
        </w:rPr>
        <w:t>YOH</w:t>
      </w:r>
      <w:r w:rsidR="00376E8B" w:rsidRPr="00AF1E1A">
        <w:rPr>
          <w:rFonts w:cs="Arial"/>
          <w:color w:val="000000" w:themeColor="text1"/>
          <w:sz w:val="24"/>
          <w:szCs w:val="24"/>
          <w:lang w:val="es-MX"/>
        </w:rPr>
        <w:t xml:space="preserve"> en el caballo. Sin embargo, mien</w:t>
      </w:r>
      <w:r w:rsidRPr="00AF1E1A">
        <w:rPr>
          <w:rFonts w:cs="Arial"/>
          <w:color w:val="000000" w:themeColor="text1"/>
          <w:sz w:val="24"/>
          <w:szCs w:val="24"/>
          <w:lang w:val="es-MX"/>
        </w:rPr>
        <w:t xml:space="preserve">tras que la hidroxilación de la </w:t>
      </w:r>
      <w:r w:rsidR="00E43E78">
        <w:rPr>
          <w:rFonts w:cs="Arial"/>
          <w:color w:val="000000" w:themeColor="text1"/>
          <w:sz w:val="24"/>
          <w:szCs w:val="24"/>
          <w:lang w:val="es-MX"/>
        </w:rPr>
        <w:t>YOH</w:t>
      </w:r>
      <w:r w:rsidR="00376E8B" w:rsidRPr="00AF1E1A">
        <w:rPr>
          <w:rFonts w:cs="Arial"/>
          <w:color w:val="000000" w:themeColor="text1"/>
          <w:sz w:val="24"/>
          <w:szCs w:val="24"/>
          <w:lang w:val="es-MX"/>
        </w:rPr>
        <w:t xml:space="preserve"> en los seres humanos se ha atribuido a las enzimas CYP450, </w:t>
      </w:r>
      <w:r w:rsidR="00FC7D05">
        <w:rPr>
          <w:rFonts w:cs="Arial"/>
          <w:color w:val="000000" w:themeColor="text1"/>
          <w:sz w:val="24"/>
          <w:szCs w:val="24"/>
          <w:lang w:val="es-MX"/>
        </w:rPr>
        <w:t>hay evidencia de que</w:t>
      </w:r>
      <w:r w:rsidR="00853A15" w:rsidRPr="00AF1E1A">
        <w:rPr>
          <w:rFonts w:cs="Arial"/>
          <w:color w:val="000000" w:themeColor="text1"/>
          <w:sz w:val="24"/>
          <w:szCs w:val="24"/>
          <w:lang w:val="es-MX"/>
        </w:rPr>
        <w:t xml:space="preserve"> las enzimas </w:t>
      </w:r>
      <w:r w:rsidR="00376E8B" w:rsidRPr="00AF1E1A">
        <w:rPr>
          <w:rFonts w:cs="Arial"/>
          <w:color w:val="000000" w:themeColor="text1"/>
          <w:sz w:val="24"/>
          <w:szCs w:val="24"/>
          <w:lang w:val="es-MX"/>
        </w:rPr>
        <w:t xml:space="preserve"> CYP3A4 y CYP2D6</w:t>
      </w:r>
      <w:r w:rsidR="00853A15" w:rsidRPr="00AF1E1A">
        <w:rPr>
          <w:rFonts w:cs="Arial"/>
          <w:color w:val="000000" w:themeColor="text1"/>
          <w:sz w:val="24"/>
          <w:szCs w:val="24"/>
          <w:lang w:val="es-MX"/>
        </w:rPr>
        <w:t xml:space="preserve"> han sido identificadas como </w:t>
      </w:r>
      <w:r w:rsidR="00376E8B" w:rsidRPr="00AF1E1A">
        <w:rPr>
          <w:rFonts w:cs="Arial"/>
          <w:color w:val="000000" w:themeColor="text1"/>
          <w:sz w:val="24"/>
          <w:szCs w:val="24"/>
          <w:lang w:val="es-MX"/>
        </w:rPr>
        <w:t xml:space="preserve"> res</w:t>
      </w:r>
      <w:r w:rsidRPr="00AF1E1A">
        <w:rPr>
          <w:rFonts w:cs="Arial"/>
          <w:color w:val="000000" w:themeColor="text1"/>
          <w:sz w:val="24"/>
          <w:szCs w:val="24"/>
          <w:lang w:val="es-MX"/>
        </w:rPr>
        <w:t xml:space="preserve">ponsables del metabolismo de la </w:t>
      </w:r>
      <w:r w:rsidR="00E43E78">
        <w:rPr>
          <w:rFonts w:cs="Arial"/>
          <w:color w:val="000000" w:themeColor="text1"/>
          <w:sz w:val="24"/>
          <w:szCs w:val="24"/>
          <w:lang w:val="es-MX"/>
        </w:rPr>
        <w:t>YOH</w:t>
      </w:r>
      <w:r w:rsidR="00376E8B" w:rsidRPr="00AF1E1A">
        <w:rPr>
          <w:rFonts w:cs="Arial"/>
          <w:color w:val="000000" w:themeColor="text1"/>
          <w:sz w:val="24"/>
          <w:szCs w:val="24"/>
          <w:lang w:val="es-MX"/>
        </w:rPr>
        <w:t xml:space="preserve"> en el caballo (</w:t>
      </w:r>
      <w:r w:rsidR="00376E8B" w:rsidRPr="00AF1E1A">
        <w:rPr>
          <w:rFonts w:cs="Arial"/>
          <w:i/>
          <w:color w:val="000000" w:themeColor="text1"/>
          <w:sz w:val="24"/>
          <w:szCs w:val="24"/>
          <w:lang w:val="es-MX"/>
        </w:rPr>
        <w:t>Knych et al</w:t>
      </w:r>
      <w:r w:rsidR="00376E8B" w:rsidRPr="00AF1E1A">
        <w:rPr>
          <w:rFonts w:cs="Arial"/>
          <w:color w:val="000000" w:themeColor="text1"/>
          <w:sz w:val="24"/>
          <w:szCs w:val="24"/>
          <w:lang w:val="es-MX"/>
        </w:rPr>
        <w:t xml:space="preserve">., 2012). Con base en la evidencia de estudios experimentales sobre </w:t>
      </w:r>
      <w:r w:rsidR="00853A15" w:rsidRPr="00AF1E1A">
        <w:rPr>
          <w:rFonts w:cs="Arial"/>
          <w:color w:val="000000" w:themeColor="text1"/>
          <w:sz w:val="24"/>
          <w:szCs w:val="24"/>
          <w:lang w:val="es-MX"/>
        </w:rPr>
        <w:t xml:space="preserve">la eficacia de la </w:t>
      </w:r>
      <w:r w:rsidR="00E43E78">
        <w:rPr>
          <w:rFonts w:cs="Arial"/>
          <w:color w:val="000000" w:themeColor="text1"/>
          <w:sz w:val="24"/>
          <w:szCs w:val="24"/>
          <w:lang w:val="es-MX"/>
        </w:rPr>
        <w:t>YOH</w:t>
      </w:r>
      <w:r w:rsidR="00376E8B" w:rsidRPr="00AF1E1A">
        <w:rPr>
          <w:rFonts w:cs="Arial"/>
          <w:color w:val="000000" w:themeColor="text1"/>
          <w:sz w:val="24"/>
          <w:szCs w:val="24"/>
          <w:lang w:val="es-MX"/>
        </w:rPr>
        <w:t xml:space="preserve">, el objetivo de este estudio </w:t>
      </w:r>
      <w:r w:rsidR="00853A15" w:rsidRPr="00AF1E1A">
        <w:rPr>
          <w:rFonts w:cs="Arial"/>
          <w:color w:val="000000" w:themeColor="text1"/>
          <w:sz w:val="24"/>
          <w:szCs w:val="24"/>
          <w:lang w:val="es-MX"/>
        </w:rPr>
        <w:t>consiste en</w:t>
      </w:r>
      <w:r w:rsidR="00376E8B" w:rsidRPr="00AF1E1A">
        <w:rPr>
          <w:rFonts w:cs="Arial"/>
          <w:color w:val="000000" w:themeColor="text1"/>
          <w:sz w:val="24"/>
          <w:szCs w:val="24"/>
          <w:lang w:val="es-MX"/>
        </w:rPr>
        <w:t xml:space="preserve"> revisar sistemáticamente la seguridad de la drog</w:t>
      </w:r>
      <w:r w:rsidRPr="00AF1E1A">
        <w:rPr>
          <w:rFonts w:cs="Arial"/>
          <w:color w:val="000000" w:themeColor="text1"/>
          <w:sz w:val="24"/>
          <w:szCs w:val="24"/>
          <w:lang w:val="es-MX"/>
        </w:rPr>
        <w:t xml:space="preserve">a en los caballos, </w:t>
      </w:r>
      <w:r w:rsidR="00853A15" w:rsidRPr="00AF1E1A">
        <w:rPr>
          <w:rFonts w:cs="Arial"/>
          <w:color w:val="000000" w:themeColor="text1"/>
          <w:sz w:val="24"/>
          <w:szCs w:val="24"/>
          <w:lang w:val="es-MX"/>
        </w:rPr>
        <w:t xml:space="preserve">sus </w:t>
      </w:r>
      <w:r w:rsidR="00146395" w:rsidRPr="00AF1E1A">
        <w:rPr>
          <w:rFonts w:cs="Arial"/>
          <w:color w:val="000000" w:themeColor="text1"/>
          <w:sz w:val="24"/>
          <w:szCs w:val="24"/>
          <w:lang w:val="es-MX"/>
        </w:rPr>
        <w:t>parámetros</w:t>
      </w:r>
      <w:r w:rsidR="00853A15" w:rsidRPr="00AF1E1A">
        <w:rPr>
          <w:rFonts w:cs="Arial"/>
          <w:color w:val="000000" w:themeColor="text1"/>
          <w:sz w:val="24"/>
          <w:szCs w:val="24"/>
          <w:lang w:val="es-MX"/>
        </w:rPr>
        <w:t xml:space="preserve"> farmacocinéticos, farmacodinámicos</w:t>
      </w:r>
      <w:r w:rsidR="00376E8B" w:rsidRPr="00AF1E1A">
        <w:rPr>
          <w:rFonts w:cs="Arial"/>
          <w:color w:val="000000" w:themeColor="text1"/>
          <w:sz w:val="24"/>
          <w:szCs w:val="24"/>
          <w:lang w:val="es-MX"/>
        </w:rPr>
        <w:t xml:space="preserve"> y los parámetros de comportamie</w:t>
      </w:r>
      <w:r w:rsidRPr="00AF1E1A">
        <w:rPr>
          <w:rFonts w:cs="Arial"/>
          <w:color w:val="000000" w:themeColor="text1"/>
          <w:sz w:val="24"/>
          <w:szCs w:val="24"/>
          <w:lang w:val="es-MX"/>
        </w:rPr>
        <w:t xml:space="preserve">nto </w:t>
      </w:r>
      <w:r w:rsidR="00853A15" w:rsidRPr="00AF1E1A">
        <w:rPr>
          <w:rFonts w:cs="Arial"/>
          <w:color w:val="000000" w:themeColor="text1"/>
          <w:sz w:val="24"/>
          <w:szCs w:val="24"/>
          <w:lang w:val="es-MX"/>
        </w:rPr>
        <w:t>farmac</w:t>
      </w:r>
      <w:r w:rsidR="00146395">
        <w:rPr>
          <w:rFonts w:cs="Arial"/>
          <w:color w:val="000000" w:themeColor="text1"/>
          <w:sz w:val="24"/>
          <w:szCs w:val="24"/>
          <w:lang w:val="es-MX"/>
        </w:rPr>
        <w:t>o</w:t>
      </w:r>
      <w:r w:rsidR="00853A15" w:rsidRPr="00AF1E1A">
        <w:rPr>
          <w:rFonts w:cs="Arial"/>
          <w:color w:val="000000" w:themeColor="text1"/>
          <w:sz w:val="24"/>
          <w:szCs w:val="24"/>
          <w:lang w:val="es-MX"/>
        </w:rPr>
        <w:t xml:space="preserve">lógico </w:t>
      </w:r>
      <w:r w:rsidRPr="00AF1E1A">
        <w:rPr>
          <w:rFonts w:cs="Arial"/>
          <w:color w:val="000000" w:themeColor="text1"/>
          <w:sz w:val="24"/>
          <w:szCs w:val="24"/>
          <w:lang w:val="es-MX"/>
        </w:rPr>
        <w:t xml:space="preserve">en caballos sedados </w:t>
      </w:r>
      <w:r w:rsidR="00853A15" w:rsidRPr="00AF1E1A">
        <w:rPr>
          <w:rFonts w:cs="Arial"/>
          <w:color w:val="000000" w:themeColor="text1"/>
          <w:sz w:val="24"/>
          <w:szCs w:val="24"/>
          <w:lang w:val="es-MX"/>
        </w:rPr>
        <w:t xml:space="preserve">previamente con </w:t>
      </w:r>
      <w:r w:rsidR="00B56224" w:rsidRPr="00BF1B18">
        <w:rPr>
          <w:rFonts w:cs="Arial"/>
          <w:color w:val="000000" w:themeColor="text1"/>
          <w:sz w:val="24"/>
          <w:szCs w:val="24"/>
          <w:lang w:val="es-MX"/>
        </w:rPr>
        <w:t>DET</w:t>
      </w:r>
      <w:r w:rsidRPr="00BF1B18">
        <w:rPr>
          <w:rFonts w:cs="Arial"/>
          <w:color w:val="000000" w:themeColor="text1"/>
          <w:sz w:val="24"/>
          <w:szCs w:val="24"/>
          <w:lang w:val="es-MX"/>
        </w:rPr>
        <w:t>.</w:t>
      </w:r>
    </w:p>
    <w:p w:rsidR="00853A15" w:rsidRPr="00A72E14" w:rsidRDefault="00853A15" w:rsidP="00F10CE5">
      <w:pPr>
        <w:spacing w:line="360" w:lineRule="auto"/>
        <w:rPr>
          <w:rFonts w:cs="Arial"/>
          <w:b/>
          <w:color w:val="404040" w:themeColor="text1" w:themeTint="BF"/>
          <w:sz w:val="24"/>
          <w:szCs w:val="24"/>
          <w:lang w:val="es-MX"/>
        </w:rPr>
      </w:pPr>
    </w:p>
    <w:p w:rsidR="00376E8B" w:rsidRDefault="00376E8B" w:rsidP="00CE65B8">
      <w:pPr>
        <w:spacing w:line="360" w:lineRule="auto"/>
        <w:rPr>
          <w:rFonts w:ascii="Times New Roman" w:hAnsi="Times New Roman"/>
          <w:color w:val="404040" w:themeColor="text1" w:themeTint="BF"/>
          <w:sz w:val="24"/>
          <w:szCs w:val="24"/>
          <w:lang w:val="es-MX"/>
        </w:rPr>
      </w:pPr>
    </w:p>
    <w:p w:rsidR="00984095" w:rsidRPr="00F3070F" w:rsidRDefault="00984095">
      <w:pPr>
        <w:spacing w:line="360" w:lineRule="auto"/>
        <w:rPr>
          <w:rStyle w:val="hps"/>
          <w:rFonts w:cs="Arial"/>
          <w:sz w:val="24"/>
          <w:szCs w:val="24"/>
          <w:lang w:val="es-MX"/>
        </w:rPr>
      </w:pPr>
      <w:r w:rsidRPr="00F3070F">
        <w:rPr>
          <w:rStyle w:val="hps"/>
          <w:rFonts w:cs="Arial"/>
          <w:sz w:val="24"/>
          <w:szCs w:val="24"/>
          <w:lang w:val="es-MX"/>
        </w:rPr>
        <w:br w:type="page"/>
      </w:r>
    </w:p>
    <w:p w:rsidR="009A4AF5" w:rsidRPr="007C61CD" w:rsidRDefault="00E84B19" w:rsidP="007C61CD">
      <w:pPr>
        <w:pStyle w:val="Ttulo1"/>
        <w:spacing w:line="360" w:lineRule="auto"/>
        <w:ind w:left="720" w:hanging="360"/>
        <w:jc w:val="center"/>
        <w:rPr>
          <w:sz w:val="24"/>
          <w:szCs w:val="24"/>
        </w:rPr>
      </w:pPr>
      <w:bookmarkStart w:id="3" w:name="_Toc325709836"/>
      <w:r w:rsidRPr="007C61CD">
        <w:rPr>
          <w:sz w:val="24"/>
          <w:szCs w:val="24"/>
        </w:rPr>
        <w:lastRenderedPageBreak/>
        <w:t>REVISIÓN DE LITERATURA</w:t>
      </w:r>
      <w:bookmarkEnd w:id="3"/>
    </w:p>
    <w:p w:rsidR="00D13E9E" w:rsidRPr="007C61CD" w:rsidRDefault="00D13E9E" w:rsidP="007C61CD">
      <w:pPr>
        <w:spacing w:line="360" w:lineRule="auto"/>
        <w:rPr>
          <w:rFonts w:cs="Arial"/>
          <w:sz w:val="24"/>
          <w:szCs w:val="24"/>
        </w:rPr>
      </w:pPr>
    </w:p>
    <w:p w:rsidR="00850617" w:rsidRDefault="009C43ED" w:rsidP="00943E79">
      <w:pPr>
        <w:pStyle w:val="Ttulo2"/>
        <w:spacing w:line="360" w:lineRule="auto"/>
        <w:jc w:val="both"/>
        <w:rPr>
          <w:sz w:val="24"/>
          <w:szCs w:val="24"/>
        </w:rPr>
      </w:pPr>
      <w:bookmarkStart w:id="4" w:name="_Toc325709837"/>
      <w:r>
        <w:rPr>
          <w:sz w:val="24"/>
          <w:szCs w:val="24"/>
        </w:rPr>
        <w:t>1</w:t>
      </w:r>
      <w:r w:rsidR="00850617" w:rsidRPr="007C61CD">
        <w:rPr>
          <w:sz w:val="24"/>
          <w:szCs w:val="24"/>
        </w:rPr>
        <w:t xml:space="preserve">.- </w:t>
      </w:r>
      <w:r w:rsidR="00850617">
        <w:rPr>
          <w:sz w:val="24"/>
          <w:szCs w:val="24"/>
        </w:rPr>
        <w:t xml:space="preserve">Efecto de la </w:t>
      </w:r>
      <w:r w:rsidR="004D67F3">
        <w:rPr>
          <w:sz w:val="24"/>
          <w:szCs w:val="24"/>
        </w:rPr>
        <w:t>detomidina</w:t>
      </w:r>
      <w:r w:rsidR="00850617">
        <w:rPr>
          <w:sz w:val="24"/>
          <w:szCs w:val="24"/>
        </w:rPr>
        <w:t xml:space="preserve"> sobre parámetros </w:t>
      </w:r>
      <w:r w:rsidR="00943E79">
        <w:rPr>
          <w:sz w:val="24"/>
          <w:szCs w:val="24"/>
        </w:rPr>
        <w:t xml:space="preserve">farmacocinéticos, farmacodinámicos </w:t>
      </w:r>
      <w:r w:rsidR="00850617">
        <w:rPr>
          <w:sz w:val="24"/>
          <w:szCs w:val="24"/>
        </w:rPr>
        <w:t>y de comportamiento farmacológico en caballos.</w:t>
      </w:r>
      <w:bookmarkEnd w:id="4"/>
      <w:r w:rsidR="00850617">
        <w:rPr>
          <w:sz w:val="24"/>
          <w:szCs w:val="24"/>
        </w:rPr>
        <w:t xml:space="preserve"> </w:t>
      </w:r>
    </w:p>
    <w:p w:rsidR="006B2B88" w:rsidRPr="00B97952" w:rsidRDefault="006B2B88" w:rsidP="004E0078">
      <w:pPr>
        <w:spacing w:line="360" w:lineRule="auto"/>
        <w:rPr>
          <w:rFonts w:ascii="Times New Roman" w:hAnsi="Times New Roman"/>
          <w:color w:val="404040" w:themeColor="text1" w:themeTint="BF"/>
          <w:sz w:val="24"/>
          <w:szCs w:val="24"/>
          <w:lang w:val="es-MX"/>
        </w:rPr>
      </w:pPr>
    </w:p>
    <w:p w:rsidR="00D353D7" w:rsidRPr="00BF1B18" w:rsidRDefault="006B2B88" w:rsidP="00D353D7">
      <w:pPr>
        <w:spacing w:line="360" w:lineRule="auto"/>
        <w:rPr>
          <w:rFonts w:cs="Arial"/>
          <w:color w:val="000000" w:themeColor="text1"/>
          <w:sz w:val="24"/>
          <w:szCs w:val="24"/>
          <w:lang w:val="es-MX"/>
        </w:rPr>
      </w:pPr>
      <w:r w:rsidRPr="00065198">
        <w:rPr>
          <w:rFonts w:cs="Arial"/>
          <w:sz w:val="24"/>
          <w:szCs w:val="24"/>
          <w:lang w:val="es-MX"/>
        </w:rPr>
        <w:t>Son contados los</w:t>
      </w:r>
      <w:r w:rsidR="00D7709C" w:rsidRPr="00065198">
        <w:rPr>
          <w:rFonts w:cs="Arial"/>
          <w:sz w:val="24"/>
          <w:szCs w:val="24"/>
          <w:lang w:val="es-MX"/>
        </w:rPr>
        <w:t xml:space="preserve"> artículos científicos especializados </w:t>
      </w:r>
      <w:r w:rsidRPr="00065198">
        <w:rPr>
          <w:rFonts w:cs="Arial"/>
          <w:sz w:val="24"/>
          <w:szCs w:val="24"/>
          <w:lang w:val="es-MX"/>
        </w:rPr>
        <w:t>que se han</w:t>
      </w:r>
      <w:r w:rsidR="00D7709C" w:rsidRPr="00065198">
        <w:rPr>
          <w:rFonts w:cs="Arial"/>
          <w:sz w:val="24"/>
          <w:szCs w:val="24"/>
          <w:lang w:val="es-MX"/>
        </w:rPr>
        <w:t xml:space="preserve"> </w:t>
      </w:r>
      <w:r w:rsidRPr="00065198">
        <w:rPr>
          <w:rFonts w:cs="Arial"/>
          <w:sz w:val="24"/>
          <w:szCs w:val="24"/>
          <w:lang w:val="es-MX"/>
        </w:rPr>
        <w:t xml:space="preserve">enfocado a </w:t>
      </w:r>
      <w:r w:rsidR="00D7709C" w:rsidRPr="00065198">
        <w:rPr>
          <w:rFonts w:cs="Arial"/>
          <w:sz w:val="24"/>
          <w:szCs w:val="24"/>
          <w:lang w:val="es-MX"/>
        </w:rPr>
        <w:t>la caracterización d</w:t>
      </w:r>
      <w:r w:rsidR="001A6FD0">
        <w:rPr>
          <w:rFonts w:cs="Arial"/>
          <w:sz w:val="24"/>
          <w:szCs w:val="24"/>
          <w:lang w:val="es-MX"/>
        </w:rPr>
        <w:t>e los parámetros farmacocinético</w:t>
      </w:r>
      <w:r w:rsidR="00D7709C" w:rsidRPr="00065198">
        <w:rPr>
          <w:rFonts w:cs="Arial"/>
          <w:sz w:val="24"/>
          <w:szCs w:val="24"/>
          <w:lang w:val="es-MX"/>
        </w:rPr>
        <w:t xml:space="preserve">s y farmacodinámicos de </w:t>
      </w:r>
      <w:r w:rsidR="00D7709C" w:rsidRPr="00BF1B18">
        <w:rPr>
          <w:rFonts w:cs="Arial"/>
          <w:color w:val="000000" w:themeColor="text1"/>
          <w:sz w:val="24"/>
          <w:szCs w:val="24"/>
          <w:lang w:val="es-MX"/>
        </w:rPr>
        <w:t xml:space="preserve">la </w:t>
      </w:r>
      <w:r w:rsidR="00B56224" w:rsidRPr="00BF1B18">
        <w:rPr>
          <w:rFonts w:cs="Arial"/>
          <w:color w:val="000000" w:themeColor="text1"/>
          <w:sz w:val="24"/>
          <w:szCs w:val="24"/>
          <w:lang w:val="es-MX"/>
        </w:rPr>
        <w:t>DET</w:t>
      </w:r>
      <w:r w:rsidR="001A6FD0" w:rsidRPr="00BF1B18">
        <w:rPr>
          <w:rFonts w:cs="Arial"/>
          <w:color w:val="000000" w:themeColor="text1"/>
          <w:sz w:val="24"/>
          <w:szCs w:val="24"/>
          <w:lang w:val="es-MX"/>
        </w:rPr>
        <w:t xml:space="preserve"> </w:t>
      </w:r>
      <w:r w:rsidR="00D7709C" w:rsidRPr="00BF1B18">
        <w:rPr>
          <w:rFonts w:cs="Arial"/>
          <w:color w:val="000000" w:themeColor="text1"/>
          <w:sz w:val="24"/>
          <w:szCs w:val="24"/>
          <w:lang w:val="es-MX"/>
        </w:rPr>
        <w:t xml:space="preserve">cuando ha sido administrada </w:t>
      </w:r>
      <w:r w:rsidR="001A6FD0" w:rsidRPr="00BF1B18">
        <w:rPr>
          <w:rFonts w:cs="Arial"/>
          <w:color w:val="000000" w:themeColor="text1"/>
          <w:sz w:val="24"/>
          <w:szCs w:val="24"/>
          <w:lang w:val="es-MX"/>
        </w:rPr>
        <w:t>por ví</w:t>
      </w:r>
      <w:r w:rsidRPr="00BF1B18">
        <w:rPr>
          <w:rFonts w:cs="Arial"/>
          <w:color w:val="000000" w:themeColor="text1"/>
          <w:sz w:val="24"/>
          <w:szCs w:val="24"/>
          <w:lang w:val="es-MX"/>
        </w:rPr>
        <w:t xml:space="preserve">a enteral o parenteral. </w:t>
      </w:r>
      <w:r w:rsidR="00D7709C" w:rsidRPr="00BF1B18">
        <w:rPr>
          <w:rFonts w:cs="Arial"/>
          <w:color w:val="000000" w:themeColor="text1"/>
          <w:sz w:val="24"/>
          <w:szCs w:val="24"/>
          <w:lang w:val="es-MX"/>
        </w:rPr>
        <w:t xml:space="preserve">Uno de los estudios más importantes fue realizado por </w:t>
      </w:r>
      <w:r w:rsidR="00A2062B" w:rsidRPr="00BF1B18">
        <w:rPr>
          <w:rFonts w:cs="Arial"/>
          <w:color w:val="000000" w:themeColor="text1"/>
          <w:sz w:val="24"/>
          <w:szCs w:val="24"/>
          <w:lang w:val="en-GB"/>
        </w:rPr>
        <w:fldChar w:fldCharType="begin" w:fldLock="1"/>
      </w:r>
      <w:r w:rsidR="004E0078" w:rsidRPr="00BF1B18">
        <w:rPr>
          <w:rFonts w:cs="Arial"/>
          <w:color w:val="000000" w:themeColor="text1"/>
          <w:sz w:val="24"/>
          <w:szCs w:val="24"/>
          <w:lang w:val="es-MX"/>
        </w:rPr>
        <w:instrText>ADDIN CSL_CITATION { "citationItems" : [ { "id" : "ITEM-1", "itemData" : { "DOI" : "10.2460/ajvr.72.10.1378", "ISSN" : "00029645", "PMID" : "21962281", "abstract" : "OBJECTIVE: To characterize pharmacokinetics and pharmacodynamics of detomidine gel administered sublingually in accordance with label instructions to establish appropriate withdrawal guidelines for horses before competition. ANIMALS: 12 adult racehorses. PROCEDURES: Horses received a single sublingual administration of 0.04 mg of detomidine/kg. Blood samples were collected before and up to 72 hours after drug administration. Urine samples were collected for 5 days after detomidine administration. Plasma and urine samples were analyzed via liquid chromatography-mass spectrometry, and resulting data were analyzed by use of noncompartmental analysis. Chin-to-ground distance, heart rate and rhythm, glucose concentration, PCV, and plasma protein concentration were also assessed following detomidine administration. RESULTS: Mean \u00b1 SD terminal elimination half-life of detomidine was 1.5 \u00b1 1 hours. Metabolite concentrations were below the limit of detection (0.02, 0.1, and 0.5 ng/mL for detomidine, carboxydetomidine, and hydroxydetomidine, respectively) in plasma by 24 hours. Concentrations of detomidine and its metabolites were below the limit of detection (0.05 ng/mL for detomidine and 0.10 ng/mL for carboxydetomidine and hydroxydetomidine) in urine by 3 days. All horses had various degrees of sedation after detomidine administration. Time of onset was \u2264 40 minutes, and duration of sedation was approximately 2 hours. Significant decreases, relative to values at time 0, were detected for chin-to-ground distance and heart rate. There was an increased incidence and exacerbation of preexisting atrioventricular blocks after detomidine administration. CONCLUSIONS AND CLINICAL RELEVANCE: A 48-hour and 3-day withdrawal period for detection in plasma and urine samples, respectively, should be adopted for sublingual administration of detomidine gel.", "author" : [ { "dropping-particle" : "", "family" : "Maio Knych", "given" : "Heather K.", "non-dropping-particle" : "di", "parse-names" : false, "suffix" : "" }, { "dropping-particle" : "", "family" : "Stanley", "given" : "Scott D.", "non-dropping-particle" : "", "parse-names" : false, "suffix" : "" } ], "container-title" : "American Journal of Veterinary Research", "id" : "ITEM-1", "issue" : "10", "issued" : { "date-parts" : [ [ "2011" ] ] }, "page" : "1378-1385", "title" : "Pharmacokinetics and pharmacodynamics of detomidine following sublingual administration to horses", "type" : "article-journal", "volume" : "72" }, "uris" : [ "http://www.mendeley.com/documents/?uuid=e5f10679-ce62-4a44-a1cc-fd136dd0b220" ] } ], "mendeley" : { "formattedCitation" : "(di Maio Knych and Stanley 2011)", "plainTextFormattedCitation" : "(di Maio Knych and Stanley 2011)", "previouslyFormattedCitation" : "(di Maio Knych and Stanley 2011)" }, "properties" : { "noteIndex" : 0 }, "schema" : "https://github.com/citation-style-language/schema/raw/master/csl-citation.json" }</w:instrText>
      </w:r>
      <w:r w:rsidR="00A2062B" w:rsidRPr="00BF1B18">
        <w:rPr>
          <w:rFonts w:cs="Arial"/>
          <w:color w:val="000000" w:themeColor="text1"/>
          <w:sz w:val="24"/>
          <w:szCs w:val="24"/>
          <w:lang w:val="en-GB"/>
        </w:rPr>
        <w:fldChar w:fldCharType="separate"/>
      </w:r>
      <w:r w:rsidR="005941EE" w:rsidRPr="00BF1B18">
        <w:rPr>
          <w:rFonts w:cs="Arial"/>
          <w:noProof/>
          <w:color w:val="000000" w:themeColor="text1"/>
          <w:sz w:val="24"/>
          <w:szCs w:val="24"/>
          <w:lang w:val="es-MX"/>
        </w:rPr>
        <w:t>D</w:t>
      </w:r>
      <w:r w:rsidR="00B56224" w:rsidRPr="00BF1B18">
        <w:rPr>
          <w:rFonts w:cs="Arial"/>
          <w:noProof/>
          <w:color w:val="000000" w:themeColor="text1"/>
          <w:sz w:val="24"/>
          <w:szCs w:val="24"/>
          <w:lang w:val="es-MX"/>
        </w:rPr>
        <w:t>i</w:t>
      </w:r>
      <w:r w:rsidRPr="00BF1B18">
        <w:rPr>
          <w:rFonts w:cs="Arial"/>
          <w:noProof/>
          <w:color w:val="000000" w:themeColor="text1"/>
          <w:sz w:val="24"/>
          <w:szCs w:val="24"/>
          <w:lang w:val="es-MX"/>
        </w:rPr>
        <w:t>Maio Knych y Stanley</w:t>
      </w:r>
      <w:r w:rsidR="004E0078" w:rsidRPr="00BF1B18">
        <w:rPr>
          <w:rFonts w:cs="Arial"/>
          <w:noProof/>
          <w:color w:val="000000" w:themeColor="text1"/>
          <w:sz w:val="24"/>
          <w:szCs w:val="24"/>
          <w:lang w:val="es-MX"/>
        </w:rPr>
        <w:t xml:space="preserve"> </w:t>
      </w:r>
      <w:r w:rsidRPr="00BF1B18">
        <w:rPr>
          <w:rFonts w:cs="Arial"/>
          <w:noProof/>
          <w:color w:val="000000" w:themeColor="text1"/>
          <w:sz w:val="24"/>
          <w:szCs w:val="24"/>
          <w:lang w:val="es-MX"/>
        </w:rPr>
        <w:t>(</w:t>
      </w:r>
      <w:r w:rsidR="004E0078" w:rsidRPr="00BF1B18">
        <w:rPr>
          <w:rFonts w:cs="Arial"/>
          <w:noProof/>
          <w:color w:val="000000" w:themeColor="text1"/>
          <w:sz w:val="24"/>
          <w:szCs w:val="24"/>
          <w:lang w:val="es-MX"/>
        </w:rPr>
        <w:t>2011</w:t>
      </w:r>
      <w:r w:rsidR="00B3137A">
        <w:rPr>
          <w:rFonts w:cs="Arial"/>
          <w:noProof/>
          <w:color w:val="000000" w:themeColor="text1"/>
          <w:sz w:val="24"/>
          <w:szCs w:val="24"/>
          <w:lang w:val="es-MX"/>
        </w:rPr>
        <w:t>b</w:t>
      </w:r>
      <w:r w:rsidR="004E0078" w:rsidRPr="00BF1B18">
        <w:rPr>
          <w:rFonts w:cs="Arial"/>
          <w:noProof/>
          <w:color w:val="000000" w:themeColor="text1"/>
          <w:sz w:val="24"/>
          <w:szCs w:val="24"/>
          <w:lang w:val="es-MX"/>
        </w:rPr>
        <w:t>)</w:t>
      </w:r>
      <w:r w:rsidR="00A2062B" w:rsidRPr="00BF1B18">
        <w:rPr>
          <w:rFonts w:cs="Arial"/>
          <w:color w:val="000000" w:themeColor="text1"/>
          <w:sz w:val="24"/>
          <w:szCs w:val="24"/>
          <w:lang w:val="en-GB"/>
        </w:rPr>
        <w:fldChar w:fldCharType="end"/>
      </w:r>
      <w:r w:rsidRPr="00BF1B18">
        <w:rPr>
          <w:rFonts w:cs="Arial"/>
          <w:color w:val="000000" w:themeColor="text1"/>
          <w:sz w:val="24"/>
          <w:szCs w:val="24"/>
          <w:lang w:val="es-MX"/>
        </w:rPr>
        <w:t>,</w:t>
      </w:r>
      <w:r w:rsidR="00D7709C" w:rsidRPr="00BF1B18">
        <w:rPr>
          <w:rFonts w:cs="Arial"/>
          <w:color w:val="000000" w:themeColor="text1"/>
          <w:sz w:val="24"/>
          <w:szCs w:val="24"/>
          <w:lang w:val="es-MX"/>
        </w:rPr>
        <w:t xml:space="preserve"> </w:t>
      </w:r>
      <w:r w:rsidR="005941EE" w:rsidRPr="00BF1B18">
        <w:rPr>
          <w:rFonts w:cs="Arial"/>
          <w:color w:val="000000" w:themeColor="text1"/>
          <w:sz w:val="24"/>
          <w:szCs w:val="24"/>
          <w:lang w:val="es-MX"/>
        </w:rPr>
        <w:t>quie</w:t>
      </w:r>
      <w:r w:rsidRPr="00BF1B18">
        <w:rPr>
          <w:rFonts w:cs="Arial"/>
          <w:color w:val="000000" w:themeColor="text1"/>
          <w:sz w:val="24"/>
          <w:szCs w:val="24"/>
          <w:lang w:val="es-MX"/>
        </w:rPr>
        <w:t xml:space="preserve">nes </w:t>
      </w:r>
      <w:r w:rsidR="00D7709C" w:rsidRPr="00BF1B18">
        <w:rPr>
          <w:rStyle w:val="hps"/>
          <w:rFonts w:cs="Arial"/>
          <w:color w:val="000000" w:themeColor="text1"/>
          <w:sz w:val="24"/>
          <w:szCs w:val="24"/>
          <w:lang w:val="es-MX"/>
        </w:rPr>
        <w:t>c</w:t>
      </w:r>
      <w:r w:rsidR="004E0078" w:rsidRPr="00BF1B18">
        <w:rPr>
          <w:rStyle w:val="hps"/>
          <w:rFonts w:cs="Arial"/>
          <w:color w:val="000000" w:themeColor="text1"/>
          <w:sz w:val="24"/>
          <w:szCs w:val="24"/>
          <w:lang w:val="es-MX"/>
        </w:rPr>
        <w:t>aracterizar</w:t>
      </w:r>
      <w:r w:rsidRPr="00BF1B18">
        <w:rPr>
          <w:rStyle w:val="hps"/>
          <w:rFonts w:cs="Arial"/>
          <w:color w:val="000000" w:themeColor="text1"/>
          <w:sz w:val="24"/>
          <w:szCs w:val="24"/>
          <w:lang w:val="es-MX"/>
        </w:rPr>
        <w:t>on</w:t>
      </w:r>
      <w:r w:rsidR="004E0078" w:rsidRPr="00BF1B18">
        <w:rPr>
          <w:rFonts w:cs="Arial"/>
          <w:color w:val="000000" w:themeColor="text1"/>
          <w:sz w:val="24"/>
          <w:szCs w:val="24"/>
          <w:lang w:val="es-MX"/>
        </w:rPr>
        <w:t xml:space="preserve"> </w:t>
      </w:r>
      <w:r w:rsidR="004E0078" w:rsidRPr="00BF1B18">
        <w:rPr>
          <w:rStyle w:val="hps"/>
          <w:rFonts w:cs="Arial"/>
          <w:color w:val="000000" w:themeColor="text1"/>
          <w:sz w:val="24"/>
          <w:szCs w:val="24"/>
          <w:lang w:val="es-MX"/>
        </w:rPr>
        <w:t>la farmacocinética y</w:t>
      </w:r>
      <w:r w:rsidR="004E0078" w:rsidRPr="00BF1B18">
        <w:rPr>
          <w:rFonts w:cs="Arial"/>
          <w:color w:val="000000" w:themeColor="text1"/>
          <w:sz w:val="24"/>
          <w:szCs w:val="24"/>
          <w:lang w:val="es-MX"/>
        </w:rPr>
        <w:t xml:space="preserve"> </w:t>
      </w:r>
      <w:r w:rsidR="00785557" w:rsidRPr="00BF1B18">
        <w:rPr>
          <w:rStyle w:val="hps"/>
          <w:rFonts w:cs="Arial"/>
          <w:color w:val="000000" w:themeColor="text1"/>
          <w:sz w:val="24"/>
          <w:szCs w:val="24"/>
          <w:lang w:val="es-MX"/>
        </w:rPr>
        <w:t>farmacodiná</w:t>
      </w:r>
      <w:r w:rsidR="004E0078" w:rsidRPr="00BF1B18">
        <w:rPr>
          <w:rStyle w:val="hps"/>
          <w:rFonts w:cs="Arial"/>
          <w:color w:val="000000" w:themeColor="text1"/>
          <w:sz w:val="24"/>
          <w:szCs w:val="24"/>
          <w:lang w:val="es-MX"/>
        </w:rPr>
        <w:t>mia de</w:t>
      </w:r>
      <w:r w:rsidR="004E0078" w:rsidRPr="00BF1B18">
        <w:rPr>
          <w:rFonts w:cs="Arial"/>
          <w:color w:val="000000" w:themeColor="text1"/>
          <w:sz w:val="24"/>
          <w:szCs w:val="24"/>
          <w:lang w:val="es-MX"/>
        </w:rPr>
        <w:t xml:space="preserve"> </w:t>
      </w:r>
      <w:r w:rsidR="00D7709C" w:rsidRPr="00BF1B18">
        <w:rPr>
          <w:rStyle w:val="hps"/>
          <w:rFonts w:cs="Arial"/>
          <w:color w:val="000000" w:themeColor="text1"/>
          <w:sz w:val="24"/>
          <w:szCs w:val="24"/>
          <w:lang w:val="es-MX"/>
        </w:rPr>
        <w:t xml:space="preserve">la </w:t>
      </w:r>
      <w:r w:rsidR="00B56224" w:rsidRPr="00BF1B18">
        <w:rPr>
          <w:rFonts w:cs="Arial"/>
          <w:color w:val="000000" w:themeColor="text1"/>
          <w:sz w:val="24"/>
          <w:szCs w:val="24"/>
          <w:lang w:val="es-MX"/>
        </w:rPr>
        <w:t>DET</w:t>
      </w:r>
      <w:r w:rsidR="00B56224" w:rsidRPr="00BF1B18">
        <w:rPr>
          <w:rStyle w:val="hps"/>
          <w:rFonts w:cs="Arial"/>
          <w:color w:val="000000" w:themeColor="text1"/>
          <w:sz w:val="24"/>
          <w:szCs w:val="24"/>
          <w:lang w:val="es-MX"/>
        </w:rPr>
        <w:t xml:space="preserve"> </w:t>
      </w:r>
      <w:r w:rsidRPr="00BF1B18">
        <w:rPr>
          <w:rStyle w:val="hps"/>
          <w:rFonts w:cs="Arial"/>
          <w:color w:val="000000" w:themeColor="text1"/>
          <w:sz w:val="24"/>
          <w:szCs w:val="24"/>
          <w:lang w:val="es-MX"/>
        </w:rPr>
        <w:t xml:space="preserve">cuya presentación </w:t>
      </w:r>
      <w:r w:rsidR="00146395" w:rsidRPr="00BF1B18">
        <w:rPr>
          <w:rStyle w:val="hps"/>
          <w:rFonts w:cs="Arial"/>
          <w:color w:val="000000" w:themeColor="text1"/>
          <w:sz w:val="24"/>
          <w:szCs w:val="24"/>
          <w:lang w:val="es-MX"/>
        </w:rPr>
        <w:t>farmacéutica</w:t>
      </w:r>
      <w:r w:rsidRPr="00BF1B18">
        <w:rPr>
          <w:rStyle w:val="hps"/>
          <w:rFonts w:cs="Arial"/>
          <w:color w:val="000000" w:themeColor="text1"/>
          <w:sz w:val="24"/>
          <w:szCs w:val="24"/>
          <w:lang w:val="es-MX"/>
        </w:rPr>
        <w:t xml:space="preserve"> fue </w:t>
      </w:r>
      <w:r w:rsidR="00D7709C" w:rsidRPr="00BF1B18">
        <w:rPr>
          <w:rStyle w:val="hps"/>
          <w:rFonts w:cs="Arial"/>
          <w:color w:val="000000" w:themeColor="text1"/>
          <w:sz w:val="24"/>
          <w:szCs w:val="24"/>
          <w:lang w:val="es-MX"/>
        </w:rPr>
        <w:t>en</w:t>
      </w:r>
      <w:r w:rsidR="004E0078" w:rsidRPr="00BF1B18">
        <w:rPr>
          <w:rFonts w:cs="Arial"/>
          <w:color w:val="000000" w:themeColor="text1"/>
          <w:sz w:val="24"/>
          <w:szCs w:val="24"/>
          <w:lang w:val="es-MX"/>
        </w:rPr>
        <w:t xml:space="preserve"> </w:t>
      </w:r>
      <w:r w:rsidR="004E0078" w:rsidRPr="00BF1B18">
        <w:rPr>
          <w:rStyle w:val="hps"/>
          <w:rFonts w:cs="Arial"/>
          <w:color w:val="000000" w:themeColor="text1"/>
          <w:sz w:val="24"/>
          <w:szCs w:val="24"/>
          <w:lang w:val="es-MX"/>
        </w:rPr>
        <w:t>gel</w:t>
      </w:r>
      <w:r w:rsidR="004E0078" w:rsidRPr="00BF1B18">
        <w:rPr>
          <w:rFonts w:cs="Arial"/>
          <w:color w:val="000000" w:themeColor="text1"/>
          <w:sz w:val="24"/>
          <w:szCs w:val="24"/>
          <w:lang w:val="es-MX"/>
        </w:rPr>
        <w:t xml:space="preserve"> </w:t>
      </w:r>
      <w:r w:rsidRPr="00BF1B18">
        <w:rPr>
          <w:rFonts w:cs="Arial"/>
          <w:color w:val="000000" w:themeColor="text1"/>
          <w:sz w:val="24"/>
          <w:szCs w:val="24"/>
          <w:lang w:val="es-MX"/>
        </w:rPr>
        <w:t xml:space="preserve">y se </w:t>
      </w:r>
      <w:r w:rsidRPr="00BF1B18">
        <w:rPr>
          <w:rStyle w:val="hps"/>
          <w:rFonts w:cs="Arial"/>
          <w:color w:val="000000" w:themeColor="text1"/>
          <w:sz w:val="24"/>
          <w:szCs w:val="24"/>
          <w:lang w:val="es-MX"/>
        </w:rPr>
        <w:t xml:space="preserve">administró </w:t>
      </w:r>
      <w:r w:rsidRPr="00BF1B18">
        <w:rPr>
          <w:rFonts w:cs="Arial"/>
          <w:color w:val="000000" w:themeColor="text1"/>
          <w:sz w:val="24"/>
          <w:szCs w:val="24"/>
          <w:lang w:val="es-MX"/>
        </w:rPr>
        <w:t xml:space="preserve">vía sublingual en </w:t>
      </w:r>
      <w:r w:rsidR="004E0078" w:rsidRPr="00BF1B18">
        <w:rPr>
          <w:rStyle w:val="hps"/>
          <w:rFonts w:cs="Arial"/>
          <w:color w:val="000000" w:themeColor="text1"/>
          <w:sz w:val="24"/>
          <w:szCs w:val="24"/>
          <w:lang w:val="es-MX"/>
        </w:rPr>
        <w:t>caballos</w:t>
      </w:r>
      <w:r w:rsidR="004E0078" w:rsidRPr="00BF1B18">
        <w:rPr>
          <w:rFonts w:cs="Arial"/>
          <w:color w:val="000000" w:themeColor="text1"/>
          <w:sz w:val="24"/>
          <w:szCs w:val="24"/>
          <w:lang w:val="es-MX"/>
        </w:rPr>
        <w:t xml:space="preserve"> </w:t>
      </w:r>
      <w:r w:rsidRPr="00BF1B18">
        <w:rPr>
          <w:rStyle w:val="hps"/>
          <w:rFonts w:cs="Arial"/>
          <w:color w:val="000000" w:themeColor="text1"/>
          <w:sz w:val="24"/>
          <w:szCs w:val="24"/>
          <w:lang w:val="es-MX"/>
        </w:rPr>
        <w:t>previo a una competencia</w:t>
      </w:r>
      <w:r w:rsidR="004E0078" w:rsidRPr="00BF1B18">
        <w:rPr>
          <w:rFonts w:cs="Arial"/>
          <w:color w:val="000000" w:themeColor="text1"/>
          <w:sz w:val="24"/>
          <w:szCs w:val="24"/>
          <w:lang w:val="es-MX"/>
        </w:rPr>
        <w:t>.</w:t>
      </w:r>
      <w:r w:rsidRPr="00BF1B18">
        <w:rPr>
          <w:rFonts w:cs="Arial"/>
          <w:color w:val="000000" w:themeColor="text1"/>
          <w:sz w:val="24"/>
          <w:szCs w:val="24"/>
          <w:lang w:val="es-MX"/>
        </w:rPr>
        <w:t xml:space="preserve"> En dicho estudio, s</w:t>
      </w:r>
      <w:r w:rsidR="00D7709C" w:rsidRPr="00BF1B18">
        <w:rPr>
          <w:rFonts w:cs="Arial"/>
          <w:color w:val="000000" w:themeColor="text1"/>
          <w:sz w:val="24"/>
          <w:szCs w:val="24"/>
          <w:lang w:val="es-MX"/>
        </w:rPr>
        <w:t xml:space="preserve">e incluyeron </w:t>
      </w:r>
      <w:r w:rsidR="00785557" w:rsidRPr="00BF1B18">
        <w:rPr>
          <w:rFonts w:cs="Arial"/>
          <w:color w:val="000000" w:themeColor="text1"/>
          <w:sz w:val="24"/>
          <w:szCs w:val="24"/>
          <w:lang w:val="es-MX"/>
        </w:rPr>
        <w:t>12</w:t>
      </w:r>
      <w:r w:rsidR="00D7709C" w:rsidRPr="00BF1B18">
        <w:rPr>
          <w:rFonts w:cs="Arial"/>
          <w:color w:val="000000" w:themeColor="text1"/>
          <w:sz w:val="24"/>
          <w:szCs w:val="24"/>
          <w:lang w:val="es-MX"/>
        </w:rPr>
        <w:t xml:space="preserve"> caballos</w:t>
      </w:r>
      <w:r w:rsidR="00D353D7" w:rsidRPr="00BF1B18">
        <w:rPr>
          <w:rFonts w:cs="Arial"/>
          <w:color w:val="000000" w:themeColor="text1"/>
          <w:sz w:val="24"/>
          <w:szCs w:val="24"/>
          <w:lang w:val="es-MX"/>
        </w:rPr>
        <w:t xml:space="preserve"> </w:t>
      </w:r>
      <w:r w:rsidR="00547403" w:rsidRPr="00BF1B18">
        <w:rPr>
          <w:rFonts w:cs="Arial"/>
          <w:color w:val="000000" w:themeColor="text1"/>
          <w:sz w:val="24"/>
          <w:szCs w:val="24"/>
          <w:lang w:val="es-MX"/>
        </w:rPr>
        <w:t xml:space="preserve">adultos pura sangre clinicamente </w:t>
      </w:r>
      <w:r w:rsidR="00D353D7" w:rsidRPr="00BF1B18">
        <w:rPr>
          <w:rFonts w:cs="Arial"/>
          <w:color w:val="000000" w:themeColor="text1"/>
          <w:sz w:val="24"/>
          <w:szCs w:val="24"/>
          <w:lang w:val="es-MX"/>
        </w:rPr>
        <w:t>saludable</w:t>
      </w:r>
      <w:r w:rsidR="00547403" w:rsidRPr="00BF1B18">
        <w:rPr>
          <w:rFonts w:cs="Arial"/>
          <w:color w:val="000000" w:themeColor="text1"/>
          <w:sz w:val="24"/>
          <w:szCs w:val="24"/>
          <w:lang w:val="es-MX"/>
        </w:rPr>
        <w:t xml:space="preserve">s </w:t>
      </w:r>
      <w:r w:rsidR="00784EC8" w:rsidRPr="00BF1B18">
        <w:rPr>
          <w:rFonts w:cs="Arial"/>
          <w:color w:val="000000" w:themeColor="text1"/>
          <w:sz w:val="24"/>
          <w:szCs w:val="24"/>
          <w:lang w:val="es-MX"/>
        </w:rPr>
        <w:t>en competencia activa.</w:t>
      </w:r>
      <w:r w:rsidR="00D353D7" w:rsidRPr="00BF1B18">
        <w:rPr>
          <w:rFonts w:cs="Arial"/>
          <w:color w:val="000000" w:themeColor="text1"/>
          <w:sz w:val="24"/>
          <w:szCs w:val="24"/>
          <w:lang w:val="es-MX"/>
        </w:rPr>
        <w:t xml:space="preserve"> </w:t>
      </w:r>
      <w:r w:rsidR="00F1328A" w:rsidRPr="00BF1B18">
        <w:rPr>
          <w:rFonts w:cs="Arial"/>
          <w:color w:val="000000" w:themeColor="text1"/>
          <w:sz w:val="24"/>
          <w:szCs w:val="24"/>
          <w:lang w:val="es-MX"/>
        </w:rPr>
        <w:t>En este estudio se dem</w:t>
      </w:r>
      <w:r w:rsidR="00547403" w:rsidRPr="00BF1B18">
        <w:rPr>
          <w:rFonts w:cs="Arial"/>
          <w:color w:val="000000" w:themeColor="text1"/>
          <w:sz w:val="24"/>
          <w:szCs w:val="24"/>
          <w:lang w:val="es-MX"/>
        </w:rPr>
        <w:t>ostraron cambios farmacocinético</w:t>
      </w:r>
      <w:r w:rsidR="00785557" w:rsidRPr="00BF1B18">
        <w:rPr>
          <w:rFonts w:cs="Arial"/>
          <w:color w:val="000000" w:themeColor="text1"/>
          <w:sz w:val="24"/>
          <w:szCs w:val="24"/>
          <w:lang w:val="es-MX"/>
        </w:rPr>
        <w:t>s y farmacodiná</w:t>
      </w:r>
      <w:r w:rsidR="00F1328A" w:rsidRPr="00BF1B18">
        <w:rPr>
          <w:rFonts w:cs="Arial"/>
          <w:color w:val="000000" w:themeColor="text1"/>
          <w:sz w:val="24"/>
          <w:szCs w:val="24"/>
          <w:lang w:val="es-MX"/>
        </w:rPr>
        <w:t>micos</w:t>
      </w:r>
      <w:r w:rsidR="00547403" w:rsidRPr="00BF1B18">
        <w:rPr>
          <w:rFonts w:cs="Arial"/>
          <w:color w:val="000000" w:themeColor="text1"/>
          <w:sz w:val="24"/>
          <w:szCs w:val="24"/>
          <w:lang w:val="es-MX"/>
        </w:rPr>
        <w:t>,</w:t>
      </w:r>
      <w:r w:rsidR="00F1328A" w:rsidRPr="00BF1B18">
        <w:rPr>
          <w:rFonts w:cs="Arial"/>
          <w:color w:val="000000" w:themeColor="text1"/>
          <w:sz w:val="24"/>
          <w:szCs w:val="24"/>
          <w:lang w:val="es-MX"/>
        </w:rPr>
        <w:t xml:space="preserve"> los cuales se vieron reflejados en </w:t>
      </w:r>
      <w:r w:rsidR="00F1328A" w:rsidRPr="00BF1B18">
        <w:rPr>
          <w:rStyle w:val="hps"/>
          <w:rFonts w:cs="Arial"/>
          <w:color w:val="000000" w:themeColor="text1"/>
          <w:sz w:val="24"/>
          <w:szCs w:val="24"/>
          <w:lang w:val="es-MX"/>
        </w:rPr>
        <w:t>la</w:t>
      </w:r>
      <w:r w:rsidR="00D353D7" w:rsidRPr="00BF1B18">
        <w:rPr>
          <w:rStyle w:val="hps"/>
          <w:rFonts w:cs="Arial"/>
          <w:color w:val="000000" w:themeColor="text1"/>
          <w:sz w:val="24"/>
          <w:szCs w:val="24"/>
        </w:rPr>
        <w:t xml:space="preserve"> concentración </w:t>
      </w:r>
      <w:r w:rsidR="00F1328A" w:rsidRPr="00BF1B18">
        <w:rPr>
          <w:rStyle w:val="hps"/>
          <w:rFonts w:cs="Arial"/>
          <w:color w:val="000000" w:themeColor="text1"/>
          <w:sz w:val="24"/>
          <w:szCs w:val="24"/>
        </w:rPr>
        <w:t xml:space="preserve">de </w:t>
      </w:r>
      <w:r w:rsidR="00B56224" w:rsidRPr="00BF1B18">
        <w:rPr>
          <w:rFonts w:cs="Arial"/>
          <w:color w:val="000000" w:themeColor="text1"/>
          <w:sz w:val="24"/>
          <w:szCs w:val="24"/>
          <w:lang w:val="es-MX"/>
        </w:rPr>
        <w:t>DET</w:t>
      </w:r>
      <w:r w:rsidR="00B56224" w:rsidRPr="00BF1B18">
        <w:rPr>
          <w:rFonts w:cs="Arial"/>
          <w:color w:val="000000" w:themeColor="text1"/>
          <w:sz w:val="24"/>
          <w:szCs w:val="24"/>
        </w:rPr>
        <w:t xml:space="preserve"> </w:t>
      </w:r>
      <w:r w:rsidR="00547403" w:rsidRPr="00BF1B18">
        <w:rPr>
          <w:rFonts w:cs="Arial"/>
          <w:color w:val="000000" w:themeColor="text1"/>
          <w:sz w:val="24"/>
          <w:szCs w:val="24"/>
        </w:rPr>
        <w:t xml:space="preserve">en </w:t>
      </w:r>
      <w:r w:rsidR="00D353D7" w:rsidRPr="00BF1B18">
        <w:rPr>
          <w:rStyle w:val="hps"/>
          <w:rFonts w:cs="Arial"/>
          <w:color w:val="000000" w:themeColor="text1"/>
          <w:sz w:val="24"/>
          <w:szCs w:val="24"/>
        </w:rPr>
        <w:t xml:space="preserve">plasma </w:t>
      </w:r>
      <w:r w:rsidR="00547403" w:rsidRPr="00BF1B18">
        <w:rPr>
          <w:rStyle w:val="hps"/>
          <w:rFonts w:cs="Arial"/>
          <w:color w:val="000000" w:themeColor="text1"/>
          <w:sz w:val="24"/>
          <w:szCs w:val="24"/>
        </w:rPr>
        <w:t xml:space="preserve">que </w:t>
      </w:r>
      <w:r w:rsidR="00D353D7" w:rsidRPr="00BF1B18">
        <w:rPr>
          <w:rStyle w:val="hps"/>
          <w:rFonts w:cs="Arial"/>
          <w:color w:val="000000" w:themeColor="text1"/>
          <w:sz w:val="24"/>
          <w:szCs w:val="24"/>
        </w:rPr>
        <w:t>fue de</w:t>
      </w:r>
      <w:r w:rsidR="00D353D7" w:rsidRPr="00BF1B18">
        <w:rPr>
          <w:rFonts w:cs="Arial"/>
          <w:color w:val="000000" w:themeColor="text1"/>
          <w:sz w:val="24"/>
          <w:szCs w:val="24"/>
        </w:rPr>
        <w:t xml:space="preserve"> </w:t>
      </w:r>
      <w:r w:rsidR="00784EC8" w:rsidRPr="00BF1B18">
        <w:rPr>
          <w:rStyle w:val="hps"/>
          <w:rFonts w:cs="Arial"/>
          <w:color w:val="000000" w:themeColor="text1"/>
          <w:sz w:val="24"/>
          <w:szCs w:val="24"/>
        </w:rPr>
        <w:t>168±83.</w:t>
      </w:r>
      <w:r w:rsidR="00D353D7" w:rsidRPr="00BF1B18">
        <w:rPr>
          <w:rStyle w:val="hps"/>
          <w:rFonts w:cs="Arial"/>
          <w:color w:val="000000" w:themeColor="text1"/>
          <w:sz w:val="24"/>
          <w:szCs w:val="24"/>
        </w:rPr>
        <w:t>7</w:t>
      </w:r>
      <w:r w:rsidR="00D353D7" w:rsidRPr="00BF1B18">
        <w:rPr>
          <w:rFonts w:cs="Arial"/>
          <w:color w:val="000000" w:themeColor="text1"/>
          <w:sz w:val="24"/>
          <w:szCs w:val="24"/>
        </w:rPr>
        <w:t xml:space="preserve"> </w:t>
      </w:r>
      <w:r w:rsidR="00785557" w:rsidRPr="00BF1B18">
        <w:rPr>
          <w:rStyle w:val="hps"/>
          <w:rFonts w:cs="Arial"/>
          <w:color w:val="000000" w:themeColor="text1"/>
          <w:sz w:val="24"/>
          <w:szCs w:val="24"/>
        </w:rPr>
        <w:t>ng</w:t>
      </w:r>
      <w:r w:rsidR="00D353D7" w:rsidRPr="00BF1B18">
        <w:rPr>
          <w:rStyle w:val="hps"/>
          <w:rFonts w:cs="Arial"/>
          <w:color w:val="000000" w:themeColor="text1"/>
          <w:sz w:val="24"/>
          <w:szCs w:val="24"/>
        </w:rPr>
        <w:t>/</w:t>
      </w:r>
      <w:r w:rsidR="00547403" w:rsidRPr="00BF1B18">
        <w:rPr>
          <w:rStyle w:val="hps"/>
          <w:rFonts w:cs="Arial"/>
          <w:color w:val="000000" w:themeColor="text1"/>
          <w:sz w:val="24"/>
          <w:szCs w:val="24"/>
        </w:rPr>
        <w:t xml:space="preserve">mL. Esta concentración es considerada como elevada, pues es señal </w:t>
      </w:r>
      <w:r w:rsidR="00F1328A" w:rsidRPr="00BF1B18">
        <w:rPr>
          <w:rStyle w:val="hps"/>
          <w:rFonts w:cs="Arial"/>
          <w:color w:val="000000" w:themeColor="text1"/>
          <w:sz w:val="24"/>
          <w:szCs w:val="24"/>
        </w:rPr>
        <w:t>que la</w:t>
      </w:r>
      <w:r w:rsidR="00D353D7" w:rsidRPr="00BF1B18">
        <w:rPr>
          <w:rFonts w:cs="Arial"/>
          <w:color w:val="000000" w:themeColor="text1"/>
          <w:sz w:val="24"/>
          <w:szCs w:val="24"/>
        </w:rPr>
        <w:t xml:space="preserve"> </w:t>
      </w:r>
      <w:r w:rsidR="00B56224" w:rsidRPr="00BF1B18">
        <w:rPr>
          <w:rFonts w:cs="Arial"/>
          <w:color w:val="000000" w:themeColor="text1"/>
          <w:sz w:val="24"/>
          <w:szCs w:val="24"/>
          <w:lang w:val="es-MX"/>
        </w:rPr>
        <w:t>DET</w:t>
      </w:r>
      <w:r w:rsidR="00B56224" w:rsidRPr="00BF1B18">
        <w:rPr>
          <w:rStyle w:val="hps"/>
          <w:rFonts w:cs="Arial"/>
          <w:color w:val="000000" w:themeColor="text1"/>
          <w:sz w:val="24"/>
          <w:szCs w:val="24"/>
        </w:rPr>
        <w:t xml:space="preserve"> </w:t>
      </w:r>
      <w:r w:rsidR="00547403" w:rsidRPr="00BF1B18">
        <w:rPr>
          <w:rStyle w:val="hps"/>
          <w:rFonts w:cs="Arial"/>
          <w:color w:val="000000" w:themeColor="text1"/>
          <w:sz w:val="24"/>
          <w:szCs w:val="24"/>
        </w:rPr>
        <w:t>se absorbe</w:t>
      </w:r>
      <w:r w:rsidR="00D353D7" w:rsidRPr="00BF1B18">
        <w:rPr>
          <w:rFonts w:cs="Arial"/>
          <w:color w:val="000000" w:themeColor="text1"/>
          <w:sz w:val="24"/>
          <w:szCs w:val="24"/>
        </w:rPr>
        <w:t xml:space="preserve"> </w:t>
      </w:r>
      <w:r w:rsidR="00D353D7" w:rsidRPr="00BF1B18">
        <w:rPr>
          <w:rStyle w:val="hps"/>
          <w:rFonts w:cs="Arial"/>
          <w:color w:val="000000" w:themeColor="text1"/>
          <w:sz w:val="24"/>
          <w:szCs w:val="24"/>
        </w:rPr>
        <w:t>bien</w:t>
      </w:r>
      <w:r w:rsidR="00D353D7" w:rsidRPr="00BF1B18">
        <w:rPr>
          <w:rFonts w:cs="Arial"/>
          <w:color w:val="000000" w:themeColor="text1"/>
          <w:sz w:val="24"/>
          <w:szCs w:val="24"/>
        </w:rPr>
        <w:t xml:space="preserve"> </w:t>
      </w:r>
      <w:r w:rsidR="00547403" w:rsidRPr="00BF1B18">
        <w:rPr>
          <w:rStyle w:val="hps"/>
          <w:rFonts w:cs="Arial"/>
          <w:color w:val="000000" w:themeColor="text1"/>
          <w:sz w:val="24"/>
          <w:szCs w:val="24"/>
        </w:rPr>
        <w:t xml:space="preserve">en </w:t>
      </w:r>
      <w:r w:rsidR="00D353D7" w:rsidRPr="00BF1B18">
        <w:rPr>
          <w:rStyle w:val="hps"/>
          <w:rFonts w:cs="Arial"/>
          <w:color w:val="000000" w:themeColor="text1"/>
          <w:sz w:val="24"/>
          <w:szCs w:val="24"/>
        </w:rPr>
        <w:t>la mucosa</w:t>
      </w:r>
      <w:r w:rsidR="00D353D7" w:rsidRPr="00BF1B18">
        <w:rPr>
          <w:rFonts w:cs="Arial"/>
          <w:color w:val="000000" w:themeColor="text1"/>
          <w:sz w:val="24"/>
          <w:szCs w:val="24"/>
        </w:rPr>
        <w:t xml:space="preserve"> </w:t>
      </w:r>
      <w:r w:rsidR="00D353D7" w:rsidRPr="00BF1B18">
        <w:rPr>
          <w:rStyle w:val="hps"/>
          <w:rFonts w:cs="Arial"/>
          <w:color w:val="000000" w:themeColor="text1"/>
          <w:sz w:val="24"/>
          <w:szCs w:val="24"/>
        </w:rPr>
        <w:t>sublingual</w:t>
      </w:r>
      <w:r w:rsidR="00D353D7" w:rsidRPr="00BF1B18">
        <w:rPr>
          <w:rFonts w:cs="Arial"/>
          <w:color w:val="000000" w:themeColor="text1"/>
          <w:sz w:val="24"/>
          <w:szCs w:val="24"/>
        </w:rPr>
        <w:t xml:space="preserve"> </w:t>
      </w:r>
      <w:r w:rsidR="00547403" w:rsidRPr="00BF1B18">
        <w:rPr>
          <w:rStyle w:val="hps"/>
          <w:rFonts w:cs="Arial"/>
          <w:color w:val="000000" w:themeColor="text1"/>
          <w:sz w:val="24"/>
          <w:szCs w:val="24"/>
        </w:rPr>
        <w:t xml:space="preserve">hacia </w:t>
      </w:r>
      <w:r w:rsidR="00D353D7" w:rsidRPr="00BF1B18">
        <w:rPr>
          <w:rStyle w:val="hps"/>
          <w:rFonts w:cs="Arial"/>
          <w:color w:val="000000" w:themeColor="text1"/>
          <w:sz w:val="24"/>
          <w:szCs w:val="24"/>
        </w:rPr>
        <w:t>la circulación sistémica</w:t>
      </w:r>
      <w:r w:rsidR="00D353D7" w:rsidRPr="00BF1B18">
        <w:rPr>
          <w:rFonts w:cs="Arial"/>
          <w:color w:val="000000" w:themeColor="text1"/>
          <w:sz w:val="24"/>
          <w:szCs w:val="24"/>
        </w:rPr>
        <w:t>.</w:t>
      </w:r>
      <w:r w:rsidR="00547403" w:rsidRPr="00BF1B18">
        <w:rPr>
          <w:rFonts w:cs="Arial"/>
          <w:color w:val="000000" w:themeColor="text1"/>
          <w:sz w:val="24"/>
          <w:szCs w:val="24"/>
        </w:rPr>
        <w:t xml:space="preserve"> La </w:t>
      </w:r>
      <w:r w:rsidR="00547403" w:rsidRPr="00BF1B18">
        <w:rPr>
          <w:rStyle w:val="hps"/>
          <w:rFonts w:cs="Arial"/>
          <w:color w:val="000000" w:themeColor="text1"/>
          <w:sz w:val="24"/>
          <w:szCs w:val="24"/>
        </w:rPr>
        <w:t>c</w:t>
      </w:r>
      <w:r w:rsidR="00D353D7" w:rsidRPr="00BF1B18">
        <w:rPr>
          <w:rStyle w:val="hps"/>
          <w:rFonts w:cs="Arial"/>
          <w:color w:val="000000" w:themeColor="text1"/>
          <w:sz w:val="24"/>
          <w:szCs w:val="24"/>
        </w:rPr>
        <w:t>oncentración plasmática</w:t>
      </w:r>
      <w:r w:rsidR="00D353D7" w:rsidRPr="00BF1B18">
        <w:rPr>
          <w:rFonts w:cs="Arial"/>
          <w:color w:val="000000" w:themeColor="text1"/>
          <w:sz w:val="24"/>
          <w:szCs w:val="24"/>
        </w:rPr>
        <w:t xml:space="preserve"> </w:t>
      </w:r>
      <w:r w:rsidR="00F1328A" w:rsidRPr="00BF1B18">
        <w:rPr>
          <w:rStyle w:val="hps"/>
          <w:rFonts w:cs="Arial"/>
          <w:color w:val="000000" w:themeColor="text1"/>
          <w:sz w:val="24"/>
          <w:szCs w:val="24"/>
        </w:rPr>
        <w:t xml:space="preserve">de la </w:t>
      </w:r>
      <w:r w:rsidR="00B56224" w:rsidRPr="00BF1B18">
        <w:rPr>
          <w:rFonts w:cs="Arial"/>
          <w:color w:val="000000" w:themeColor="text1"/>
          <w:sz w:val="24"/>
          <w:szCs w:val="24"/>
          <w:lang w:val="es-MX"/>
        </w:rPr>
        <w:t>DET</w:t>
      </w:r>
      <w:r w:rsidR="00B56224" w:rsidRPr="00BF1B18">
        <w:rPr>
          <w:rStyle w:val="hps"/>
          <w:rFonts w:cs="Arial"/>
          <w:color w:val="000000" w:themeColor="text1"/>
          <w:sz w:val="24"/>
          <w:szCs w:val="24"/>
        </w:rPr>
        <w:t xml:space="preserve"> </w:t>
      </w:r>
      <w:r w:rsidR="005941EE" w:rsidRPr="00BF1B18">
        <w:rPr>
          <w:rStyle w:val="hps"/>
          <w:rFonts w:cs="Arial"/>
          <w:color w:val="000000" w:themeColor="text1"/>
          <w:sz w:val="24"/>
          <w:szCs w:val="24"/>
        </w:rPr>
        <w:t>más alta se logró</w:t>
      </w:r>
      <w:r w:rsidR="00547403" w:rsidRPr="00BF1B18">
        <w:rPr>
          <w:rStyle w:val="hps"/>
          <w:rFonts w:cs="Arial"/>
          <w:color w:val="000000" w:themeColor="text1"/>
          <w:sz w:val="24"/>
          <w:szCs w:val="24"/>
        </w:rPr>
        <w:t xml:space="preserve"> </w:t>
      </w:r>
      <w:r w:rsidR="00D353D7" w:rsidRPr="00BF1B18">
        <w:rPr>
          <w:rStyle w:val="hps"/>
          <w:rFonts w:cs="Arial"/>
          <w:color w:val="000000" w:themeColor="text1"/>
          <w:sz w:val="24"/>
          <w:szCs w:val="24"/>
        </w:rPr>
        <w:t xml:space="preserve">rápidamente tras </w:t>
      </w:r>
      <w:r w:rsidR="00547403" w:rsidRPr="00BF1B18">
        <w:rPr>
          <w:rStyle w:val="hps"/>
          <w:rFonts w:cs="Arial"/>
          <w:color w:val="000000" w:themeColor="text1"/>
          <w:sz w:val="24"/>
          <w:szCs w:val="24"/>
        </w:rPr>
        <w:t xml:space="preserve">su </w:t>
      </w:r>
      <w:r w:rsidR="00D353D7" w:rsidRPr="00BF1B18">
        <w:rPr>
          <w:rStyle w:val="hps"/>
          <w:rFonts w:cs="Arial"/>
          <w:color w:val="000000" w:themeColor="text1"/>
          <w:sz w:val="24"/>
          <w:szCs w:val="24"/>
        </w:rPr>
        <w:t>administración</w:t>
      </w:r>
      <w:r w:rsidR="00D353D7" w:rsidRPr="00BF1B18">
        <w:rPr>
          <w:rFonts w:cs="Arial"/>
          <w:color w:val="000000" w:themeColor="text1"/>
          <w:sz w:val="24"/>
          <w:szCs w:val="24"/>
        </w:rPr>
        <w:t xml:space="preserve"> </w:t>
      </w:r>
      <w:r w:rsidR="00D353D7" w:rsidRPr="00BF1B18">
        <w:rPr>
          <w:rStyle w:val="hps"/>
          <w:rFonts w:cs="Arial"/>
          <w:color w:val="000000" w:themeColor="text1"/>
          <w:sz w:val="24"/>
          <w:szCs w:val="24"/>
        </w:rPr>
        <w:t>sublingual</w:t>
      </w:r>
      <w:r w:rsidR="00547403" w:rsidRPr="00BF1B18">
        <w:rPr>
          <w:rFonts w:cs="Arial"/>
          <w:color w:val="000000" w:themeColor="text1"/>
          <w:sz w:val="24"/>
          <w:szCs w:val="24"/>
        </w:rPr>
        <w:t xml:space="preserve"> en un </w:t>
      </w:r>
      <w:r w:rsidR="00547403" w:rsidRPr="00BF1B18">
        <w:rPr>
          <w:rStyle w:val="hps"/>
          <w:rFonts w:cs="Arial"/>
          <w:color w:val="000000" w:themeColor="text1"/>
          <w:sz w:val="24"/>
          <w:szCs w:val="24"/>
        </w:rPr>
        <w:t xml:space="preserve">tiempo </w:t>
      </w:r>
      <w:r w:rsidR="00D353D7" w:rsidRPr="00BF1B18">
        <w:rPr>
          <w:rStyle w:val="hps"/>
          <w:rFonts w:cs="Arial"/>
          <w:color w:val="000000" w:themeColor="text1"/>
          <w:sz w:val="24"/>
          <w:szCs w:val="24"/>
        </w:rPr>
        <w:t>máx</w:t>
      </w:r>
      <w:r w:rsidR="00547403" w:rsidRPr="00BF1B18">
        <w:rPr>
          <w:rStyle w:val="hps"/>
          <w:rFonts w:cs="Arial"/>
          <w:color w:val="000000" w:themeColor="text1"/>
          <w:sz w:val="24"/>
          <w:szCs w:val="24"/>
        </w:rPr>
        <w:t>imo de 36</w:t>
      </w:r>
      <w:r w:rsidR="00D353D7" w:rsidRPr="00BF1B18">
        <w:rPr>
          <w:rStyle w:val="hps"/>
          <w:rFonts w:cs="Arial"/>
          <w:color w:val="000000" w:themeColor="text1"/>
          <w:sz w:val="24"/>
          <w:szCs w:val="24"/>
        </w:rPr>
        <w:t xml:space="preserve">±10 minutos </w:t>
      </w:r>
      <w:r w:rsidR="00547403" w:rsidRPr="00BF1B18">
        <w:rPr>
          <w:rStyle w:val="hps"/>
          <w:rFonts w:cs="Arial"/>
          <w:color w:val="000000" w:themeColor="text1"/>
          <w:sz w:val="24"/>
          <w:szCs w:val="24"/>
        </w:rPr>
        <w:t>posteriores a</w:t>
      </w:r>
      <w:r w:rsidR="00D353D7" w:rsidRPr="00BF1B18">
        <w:rPr>
          <w:rFonts w:cs="Arial"/>
          <w:color w:val="000000" w:themeColor="text1"/>
          <w:sz w:val="24"/>
          <w:szCs w:val="24"/>
        </w:rPr>
        <w:t xml:space="preserve"> </w:t>
      </w:r>
      <w:r w:rsidR="00D353D7" w:rsidRPr="00BF1B18">
        <w:rPr>
          <w:rStyle w:val="hps"/>
          <w:rFonts w:cs="Arial"/>
          <w:color w:val="000000" w:themeColor="text1"/>
          <w:sz w:val="24"/>
          <w:szCs w:val="24"/>
        </w:rPr>
        <w:t>la administración del fármaco</w:t>
      </w:r>
      <w:r w:rsidR="00D353D7" w:rsidRPr="00BF1B18">
        <w:rPr>
          <w:rFonts w:cs="Arial"/>
          <w:color w:val="000000" w:themeColor="text1"/>
          <w:sz w:val="24"/>
          <w:szCs w:val="24"/>
        </w:rPr>
        <w:t xml:space="preserve">. </w:t>
      </w:r>
      <w:r w:rsidR="00547403" w:rsidRPr="00BF1B18">
        <w:rPr>
          <w:rStyle w:val="hps"/>
          <w:rFonts w:cs="Arial"/>
          <w:color w:val="000000" w:themeColor="text1"/>
          <w:sz w:val="24"/>
          <w:szCs w:val="24"/>
        </w:rPr>
        <w:t xml:space="preserve">Su </w:t>
      </w:r>
      <w:r w:rsidR="00D353D7" w:rsidRPr="00BF1B18">
        <w:rPr>
          <w:rStyle w:val="hps"/>
          <w:rFonts w:cs="Arial"/>
          <w:color w:val="000000" w:themeColor="text1"/>
          <w:sz w:val="24"/>
          <w:szCs w:val="24"/>
        </w:rPr>
        <w:t>vida media</w:t>
      </w:r>
      <w:r w:rsidR="00D353D7" w:rsidRPr="00BF1B18">
        <w:rPr>
          <w:rFonts w:cs="Arial"/>
          <w:color w:val="000000" w:themeColor="text1"/>
          <w:sz w:val="24"/>
          <w:szCs w:val="24"/>
        </w:rPr>
        <w:t xml:space="preserve"> </w:t>
      </w:r>
      <w:r w:rsidR="00D353D7" w:rsidRPr="00BF1B18">
        <w:rPr>
          <w:rStyle w:val="hps"/>
          <w:rFonts w:cs="Arial"/>
          <w:color w:val="000000" w:themeColor="text1"/>
          <w:sz w:val="24"/>
          <w:szCs w:val="24"/>
        </w:rPr>
        <w:t>de</w:t>
      </w:r>
      <w:r w:rsidR="00D353D7" w:rsidRPr="00BF1B18">
        <w:rPr>
          <w:rFonts w:cs="Arial"/>
          <w:color w:val="000000" w:themeColor="text1"/>
          <w:sz w:val="24"/>
          <w:szCs w:val="24"/>
        </w:rPr>
        <w:t xml:space="preserve"> </w:t>
      </w:r>
      <w:r w:rsidR="00D353D7" w:rsidRPr="00BF1B18">
        <w:rPr>
          <w:rStyle w:val="hps"/>
          <w:rFonts w:cs="Arial"/>
          <w:color w:val="000000" w:themeColor="text1"/>
          <w:sz w:val="24"/>
          <w:szCs w:val="24"/>
        </w:rPr>
        <w:t xml:space="preserve">eliminación </w:t>
      </w:r>
      <w:r w:rsidR="00547403" w:rsidRPr="00BF1B18">
        <w:rPr>
          <w:rStyle w:val="hps"/>
          <w:rFonts w:cs="Arial"/>
          <w:color w:val="000000" w:themeColor="text1"/>
          <w:sz w:val="24"/>
          <w:szCs w:val="24"/>
        </w:rPr>
        <w:t>fue de 1.</w:t>
      </w:r>
      <w:r w:rsidR="00D353D7" w:rsidRPr="00BF1B18">
        <w:rPr>
          <w:rStyle w:val="hps"/>
          <w:rFonts w:cs="Arial"/>
          <w:color w:val="000000" w:themeColor="text1"/>
          <w:sz w:val="24"/>
          <w:szCs w:val="24"/>
        </w:rPr>
        <w:t>5</w:t>
      </w:r>
      <w:r w:rsidR="00F1328A" w:rsidRPr="00BF1B18">
        <w:rPr>
          <w:rStyle w:val="hps"/>
          <w:rFonts w:cs="Arial"/>
          <w:color w:val="000000" w:themeColor="text1"/>
          <w:sz w:val="24"/>
          <w:szCs w:val="24"/>
        </w:rPr>
        <w:t>±</w:t>
      </w:r>
      <w:r w:rsidR="00547403" w:rsidRPr="00BF1B18">
        <w:rPr>
          <w:rStyle w:val="hps"/>
          <w:rFonts w:cs="Arial"/>
          <w:color w:val="000000" w:themeColor="text1"/>
          <w:sz w:val="24"/>
          <w:szCs w:val="24"/>
        </w:rPr>
        <w:t>1</w:t>
      </w:r>
      <w:r w:rsidR="00784EC8" w:rsidRPr="00BF1B18">
        <w:rPr>
          <w:rStyle w:val="hps"/>
          <w:rFonts w:cs="Arial"/>
          <w:color w:val="000000" w:themeColor="text1"/>
          <w:sz w:val="24"/>
          <w:szCs w:val="24"/>
        </w:rPr>
        <w:t>.0</w:t>
      </w:r>
      <w:r w:rsidR="006E5273" w:rsidRPr="00BF1B18">
        <w:rPr>
          <w:rStyle w:val="hps"/>
          <w:rFonts w:cs="Arial"/>
          <w:color w:val="000000" w:themeColor="text1"/>
          <w:sz w:val="24"/>
          <w:szCs w:val="24"/>
        </w:rPr>
        <w:t xml:space="preserve"> </w:t>
      </w:r>
      <w:r w:rsidR="00547403" w:rsidRPr="00BF1B18">
        <w:rPr>
          <w:rStyle w:val="hps"/>
          <w:rFonts w:cs="Arial"/>
          <w:color w:val="000000" w:themeColor="text1"/>
          <w:sz w:val="24"/>
          <w:szCs w:val="24"/>
        </w:rPr>
        <w:t>hora</w:t>
      </w:r>
      <w:r w:rsidR="006E5273" w:rsidRPr="00BF1B18">
        <w:rPr>
          <w:rStyle w:val="hps"/>
          <w:rFonts w:cs="Arial"/>
          <w:color w:val="000000" w:themeColor="text1"/>
          <w:sz w:val="24"/>
          <w:szCs w:val="24"/>
        </w:rPr>
        <w:t xml:space="preserve">s, lo cual puede constatarse con las </w:t>
      </w:r>
      <w:r w:rsidR="00D353D7" w:rsidRPr="00BF1B18">
        <w:rPr>
          <w:rStyle w:val="hps"/>
          <w:rFonts w:cs="Arial"/>
          <w:color w:val="000000" w:themeColor="text1"/>
          <w:sz w:val="24"/>
          <w:szCs w:val="24"/>
        </w:rPr>
        <w:t>concentraciones de</w:t>
      </w:r>
      <w:r w:rsidR="00D353D7" w:rsidRPr="00BF1B18">
        <w:rPr>
          <w:rFonts w:cs="Arial"/>
          <w:color w:val="000000" w:themeColor="text1"/>
          <w:sz w:val="24"/>
          <w:szCs w:val="24"/>
        </w:rPr>
        <w:t xml:space="preserve"> </w:t>
      </w:r>
      <w:r w:rsidR="00F1328A" w:rsidRPr="00BF1B18">
        <w:rPr>
          <w:rStyle w:val="hps"/>
          <w:rFonts w:cs="Arial"/>
          <w:color w:val="000000" w:themeColor="text1"/>
          <w:sz w:val="24"/>
          <w:szCs w:val="24"/>
        </w:rPr>
        <w:t xml:space="preserve">la </w:t>
      </w:r>
      <w:r w:rsidR="00B56224" w:rsidRPr="00BF1B18">
        <w:rPr>
          <w:rFonts w:cs="Arial"/>
          <w:color w:val="000000" w:themeColor="text1"/>
          <w:sz w:val="24"/>
          <w:szCs w:val="24"/>
          <w:lang w:val="es-MX"/>
        </w:rPr>
        <w:t>DET</w:t>
      </w:r>
      <w:r w:rsidR="00B56224" w:rsidRPr="00BF1B18">
        <w:rPr>
          <w:rStyle w:val="hps"/>
          <w:rFonts w:cs="Arial"/>
          <w:color w:val="000000" w:themeColor="text1"/>
          <w:sz w:val="24"/>
          <w:szCs w:val="24"/>
        </w:rPr>
        <w:t xml:space="preserve"> </w:t>
      </w:r>
      <w:r w:rsidR="006E5273" w:rsidRPr="00BF1B18">
        <w:rPr>
          <w:rStyle w:val="hps"/>
          <w:rFonts w:cs="Arial"/>
          <w:color w:val="000000" w:themeColor="text1"/>
          <w:sz w:val="24"/>
          <w:szCs w:val="24"/>
        </w:rPr>
        <w:t>a nivel urinario</w:t>
      </w:r>
      <w:r w:rsidR="00D353D7" w:rsidRPr="00BF1B18">
        <w:rPr>
          <w:rFonts w:cs="Arial"/>
          <w:color w:val="000000" w:themeColor="text1"/>
          <w:sz w:val="24"/>
          <w:szCs w:val="24"/>
        </w:rPr>
        <w:t xml:space="preserve">, </w:t>
      </w:r>
      <w:r w:rsidR="006E5273" w:rsidRPr="00BF1B18">
        <w:rPr>
          <w:rFonts w:cs="Arial"/>
          <w:color w:val="000000" w:themeColor="text1"/>
          <w:sz w:val="24"/>
          <w:szCs w:val="24"/>
        </w:rPr>
        <w:t xml:space="preserve">ya que </w:t>
      </w:r>
      <w:r w:rsidR="00D353D7" w:rsidRPr="00BF1B18">
        <w:rPr>
          <w:rStyle w:val="hps"/>
          <w:rFonts w:cs="Arial"/>
          <w:color w:val="000000" w:themeColor="text1"/>
          <w:sz w:val="24"/>
          <w:szCs w:val="24"/>
        </w:rPr>
        <w:t xml:space="preserve">sus </w:t>
      </w:r>
      <w:r w:rsidR="006E5273" w:rsidRPr="00BF1B18">
        <w:rPr>
          <w:rStyle w:val="hps"/>
          <w:rFonts w:cs="Arial"/>
          <w:color w:val="000000" w:themeColor="text1"/>
          <w:sz w:val="24"/>
          <w:szCs w:val="24"/>
        </w:rPr>
        <w:t xml:space="preserve">niveles de </w:t>
      </w:r>
      <w:r w:rsidR="00D353D7" w:rsidRPr="00BF1B18">
        <w:rPr>
          <w:rStyle w:val="hps"/>
          <w:rFonts w:cs="Arial"/>
          <w:color w:val="000000" w:themeColor="text1"/>
          <w:sz w:val="24"/>
          <w:szCs w:val="24"/>
        </w:rPr>
        <w:t>metabolitos en</w:t>
      </w:r>
      <w:r w:rsidR="00D353D7" w:rsidRPr="00BF1B18">
        <w:rPr>
          <w:rFonts w:cs="Arial"/>
          <w:color w:val="000000" w:themeColor="text1"/>
          <w:sz w:val="24"/>
          <w:szCs w:val="24"/>
        </w:rPr>
        <w:t xml:space="preserve"> </w:t>
      </w:r>
      <w:r w:rsidR="00D353D7" w:rsidRPr="00BF1B18">
        <w:rPr>
          <w:rStyle w:val="hps"/>
          <w:rFonts w:cs="Arial"/>
          <w:color w:val="000000" w:themeColor="text1"/>
          <w:sz w:val="24"/>
          <w:szCs w:val="24"/>
        </w:rPr>
        <w:t>muestras de orina</w:t>
      </w:r>
      <w:r w:rsidR="00D353D7" w:rsidRPr="00BF1B18">
        <w:rPr>
          <w:rFonts w:cs="Arial"/>
          <w:color w:val="000000" w:themeColor="text1"/>
          <w:sz w:val="24"/>
          <w:szCs w:val="24"/>
        </w:rPr>
        <w:t xml:space="preserve"> </w:t>
      </w:r>
      <w:r w:rsidR="006E5273" w:rsidRPr="00BF1B18">
        <w:rPr>
          <w:rStyle w:val="hps"/>
          <w:rFonts w:cs="Arial"/>
          <w:color w:val="000000" w:themeColor="text1"/>
          <w:sz w:val="24"/>
          <w:szCs w:val="24"/>
        </w:rPr>
        <w:t xml:space="preserve">estuvieron </w:t>
      </w:r>
      <w:r w:rsidR="00D353D7" w:rsidRPr="00BF1B18">
        <w:rPr>
          <w:rStyle w:val="hps"/>
          <w:rFonts w:cs="Arial"/>
          <w:color w:val="000000" w:themeColor="text1"/>
          <w:sz w:val="24"/>
          <w:szCs w:val="24"/>
        </w:rPr>
        <w:t>por debajo</w:t>
      </w:r>
      <w:r w:rsidR="00D353D7" w:rsidRPr="00BF1B18">
        <w:rPr>
          <w:rFonts w:cs="Arial"/>
          <w:color w:val="000000" w:themeColor="text1"/>
          <w:sz w:val="24"/>
          <w:szCs w:val="24"/>
        </w:rPr>
        <w:t xml:space="preserve"> </w:t>
      </w:r>
      <w:r w:rsidR="00D353D7" w:rsidRPr="00BF1B18">
        <w:rPr>
          <w:rStyle w:val="hps"/>
          <w:rFonts w:cs="Arial"/>
          <w:color w:val="000000" w:themeColor="text1"/>
          <w:sz w:val="24"/>
          <w:szCs w:val="24"/>
        </w:rPr>
        <w:t>del límite de detección</w:t>
      </w:r>
      <w:r w:rsidR="00D353D7" w:rsidRPr="00BF1B18">
        <w:rPr>
          <w:rFonts w:cs="Arial"/>
          <w:color w:val="000000" w:themeColor="text1"/>
          <w:sz w:val="24"/>
          <w:szCs w:val="24"/>
        </w:rPr>
        <w:t xml:space="preserve"> </w:t>
      </w:r>
      <w:r w:rsidR="00D353D7" w:rsidRPr="00BF1B18">
        <w:rPr>
          <w:rStyle w:val="hps"/>
          <w:rFonts w:cs="Arial"/>
          <w:color w:val="000000" w:themeColor="text1"/>
          <w:sz w:val="24"/>
          <w:szCs w:val="24"/>
        </w:rPr>
        <w:t>por</w:t>
      </w:r>
      <w:r w:rsidR="00D353D7" w:rsidRPr="00BF1B18">
        <w:rPr>
          <w:rFonts w:cs="Arial"/>
          <w:color w:val="000000" w:themeColor="text1"/>
          <w:sz w:val="24"/>
          <w:szCs w:val="24"/>
        </w:rPr>
        <w:t xml:space="preserve"> </w:t>
      </w:r>
      <w:r w:rsidR="00D353D7" w:rsidRPr="00BF1B18">
        <w:rPr>
          <w:rStyle w:val="hps"/>
          <w:rFonts w:cs="Arial"/>
          <w:color w:val="000000" w:themeColor="text1"/>
          <w:sz w:val="24"/>
          <w:szCs w:val="24"/>
        </w:rPr>
        <w:t>3</w:t>
      </w:r>
      <w:r w:rsidR="00D353D7" w:rsidRPr="00BF1B18">
        <w:rPr>
          <w:rFonts w:cs="Arial"/>
          <w:color w:val="000000" w:themeColor="text1"/>
          <w:sz w:val="24"/>
          <w:szCs w:val="24"/>
        </w:rPr>
        <w:t xml:space="preserve"> </w:t>
      </w:r>
      <w:r w:rsidR="00D353D7" w:rsidRPr="00BF1B18">
        <w:rPr>
          <w:rStyle w:val="hps"/>
          <w:rFonts w:cs="Arial"/>
          <w:color w:val="000000" w:themeColor="text1"/>
          <w:sz w:val="24"/>
          <w:szCs w:val="24"/>
        </w:rPr>
        <w:t>días</w:t>
      </w:r>
      <w:r w:rsidR="00D353D7" w:rsidRPr="00BF1B18">
        <w:rPr>
          <w:rFonts w:cs="Arial"/>
          <w:color w:val="000000" w:themeColor="text1"/>
          <w:sz w:val="24"/>
          <w:szCs w:val="24"/>
        </w:rPr>
        <w:t xml:space="preserve"> </w:t>
      </w:r>
      <w:r w:rsidR="00D353D7" w:rsidRPr="00BF1B18">
        <w:rPr>
          <w:rStyle w:val="hps"/>
          <w:rFonts w:cs="Arial"/>
          <w:color w:val="000000" w:themeColor="text1"/>
          <w:sz w:val="24"/>
          <w:szCs w:val="24"/>
        </w:rPr>
        <w:t>después de la administración</w:t>
      </w:r>
      <w:r w:rsidR="00D353D7" w:rsidRPr="00BF1B18">
        <w:rPr>
          <w:rFonts w:cs="Arial"/>
          <w:color w:val="000000" w:themeColor="text1"/>
          <w:sz w:val="24"/>
          <w:szCs w:val="24"/>
        </w:rPr>
        <w:t>.</w:t>
      </w:r>
      <w:r w:rsidR="006E5273" w:rsidRPr="00BF1B18">
        <w:rPr>
          <w:rFonts w:cs="Arial"/>
          <w:color w:val="000000" w:themeColor="text1"/>
          <w:sz w:val="24"/>
          <w:szCs w:val="24"/>
          <w:lang w:val="es-MX"/>
        </w:rPr>
        <w:t xml:space="preserve"> </w:t>
      </w:r>
      <w:r w:rsidR="00D353D7" w:rsidRPr="00BF1B18">
        <w:rPr>
          <w:rFonts w:cs="Arial"/>
          <w:color w:val="000000" w:themeColor="text1"/>
          <w:sz w:val="24"/>
          <w:szCs w:val="24"/>
          <w:lang w:val="es-MX"/>
        </w:rPr>
        <w:t xml:space="preserve">La vida media de eliminación tras </w:t>
      </w:r>
      <w:r w:rsidR="006E5273" w:rsidRPr="00BF1B18">
        <w:rPr>
          <w:rFonts w:cs="Arial"/>
          <w:color w:val="000000" w:themeColor="text1"/>
          <w:sz w:val="24"/>
          <w:szCs w:val="24"/>
          <w:lang w:val="es-MX"/>
        </w:rPr>
        <w:t xml:space="preserve">su </w:t>
      </w:r>
      <w:r w:rsidR="00D353D7" w:rsidRPr="00BF1B18">
        <w:rPr>
          <w:rFonts w:cs="Arial"/>
          <w:color w:val="000000" w:themeColor="text1"/>
          <w:sz w:val="24"/>
          <w:szCs w:val="24"/>
          <w:lang w:val="es-MX"/>
        </w:rPr>
        <w:t xml:space="preserve">administración sublingual </w:t>
      </w:r>
      <w:r w:rsidR="006E5273" w:rsidRPr="00BF1B18">
        <w:rPr>
          <w:rFonts w:cs="Arial"/>
          <w:color w:val="000000" w:themeColor="text1"/>
          <w:sz w:val="24"/>
          <w:szCs w:val="24"/>
          <w:lang w:val="es-MX"/>
        </w:rPr>
        <w:t>es prolongada</w:t>
      </w:r>
      <w:r w:rsidR="00D353D7" w:rsidRPr="00BF1B18">
        <w:rPr>
          <w:rFonts w:cs="Arial"/>
          <w:color w:val="000000" w:themeColor="text1"/>
          <w:sz w:val="24"/>
          <w:szCs w:val="24"/>
          <w:lang w:val="es-MX"/>
        </w:rPr>
        <w:t xml:space="preserve">, </w:t>
      </w:r>
      <w:r w:rsidR="006E5273" w:rsidRPr="00BF1B18">
        <w:rPr>
          <w:rFonts w:cs="Arial"/>
          <w:color w:val="000000" w:themeColor="text1"/>
          <w:sz w:val="24"/>
          <w:szCs w:val="24"/>
          <w:lang w:val="es-MX"/>
        </w:rPr>
        <w:t xml:space="preserve">si se compara </w:t>
      </w:r>
      <w:r w:rsidR="00D353D7" w:rsidRPr="00BF1B18">
        <w:rPr>
          <w:rFonts w:cs="Arial"/>
          <w:color w:val="000000" w:themeColor="text1"/>
          <w:sz w:val="24"/>
          <w:szCs w:val="24"/>
          <w:lang w:val="es-MX"/>
        </w:rPr>
        <w:t xml:space="preserve">con </w:t>
      </w:r>
      <w:r w:rsidR="006E5273" w:rsidRPr="00BF1B18">
        <w:rPr>
          <w:rFonts w:cs="Arial"/>
          <w:color w:val="000000" w:themeColor="text1"/>
          <w:sz w:val="24"/>
          <w:szCs w:val="24"/>
          <w:lang w:val="es-MX"/>
        </w:rPr>
        <w:t xml:space="preserve">el tiempo de </w:t>
      </w:r>
      <w:r w:rsidR="00D353D7" w:rsidRPr="00BF1B18">
        <w:rPr>
          <w:rFonts w:cs="Arial"/>
          <w:color w:val="000000" w:themeColor="text1"/>
          <w:sz w:val="24"/>
          <w:szCs w:val="24"/>
          <w:lang w:val="es-MX"/>
        </w:rPr>
        <w:t xml:space="preserve">eliminación </w:t>
      </w:r>
      <w:r w:rsidR="00D353D7" w:rsidRPr="00065198">
        <w:rPr>
          <w:rFonts w:cs="Arial"/>
          <w:sz w:val="24"/>
          <w:szCs w:val="24"/>
          <w:lang w:val="es-MX"/>
        </w:rPr>
        <w:t>d</w:t>
      </w:r>
      <w:r w:rsidR="006E5273" w:rsidRPr="00065198">
        <w:rPr>
          <w:rFonts w:cs="Arial"/>
          <w:sz w:val="24"/>
          <w:szCs w:val="24"/>
          <w:lang w:val="es-MX"/>
        </w:rPr>
        <w:t>espués de la administración IV o</w:t>
      </w:r>
      <w:r w:rsidR="00D353D7" w:rsidRPr="00065198">
        <w:rPr>
          <w:rFonts w:cs="Arial"/>
          <w:sz w:val="24"/>
          <w:szCs w:val="24"/>
          <w:lang w:val="es-MX"/>
        </w:rPr>
        <w:t xml:space="preserve"> IM</w:t>
      </w:r>
      <w:r w:rsidR="00F1328A" w:rsidRPr="00065198">
        <w:rPr>
          <w:rFonts w:cs="Arial"/>
          <w:sz w:val="24"/>
          <w:szCs w:val="24"/>
          <w:lang w:val="es-MX"/>
        </w:rPr>
        <w:t xml:space="preserve">. </w:t>
      </w:r>
      <w:r w:rsidR="00D353D7" w:rsidRPr="00065198">
        <w:rPr>
          <w:rFonts w:cs="Arial"/>
          <w:sz w:val="24"/>
          <w:szCs w:val="24"/>
          <w:lang w:val="es-MX"/>
        </w:rPr>
        <w:t xml:space="preserve">Las concentraciones del compuesto original y </w:t>
      </w:r>
      <w:r w:rsidR="006E5273" w:rsidRPr="00065198">
        <w:rPr>
          <w:rFonts w:cs="Arial"/>
          <w:sz w:val="24"/>
          <w:szCs w:val="24"/>
          <w:lang w:val="es-MX"/>
        </w:rPr>
        <w:t xml:space="preserve">sus </w:t>
      </w:r>
      <w:r w:rsidR="00D353D7" w:rsidRPr="00065198">
        <w:rPr>
          <w:rFonts w:cs="Arial"/>
          <w:sz w:val="24"/>
          <w:szCs w:val="24"/>
          <w:lang w:val="es-MX"/>
        </w:rPr>
        <w:t xml:space="preserve">metabolitos </w:t>
      </w:r>
      <w:r w:rsidR="006E5273" w:rsidRPr="00065198">
        <w:rPr>
          <w:rFonts w:cs="Arial"/>
          <w:sz w:val="24"/>
          <w:szCs w:val="24"/>
          <w:lang w:val="es-MX"/>
        </w:rPr>
        <w:t xml:space="preserve">pueden estar </w:t>
      </w:r>
      <w:r w:rsidR="00D353D7" w:rsidRPr="00065198">
        <w:rPr>
          <w:rFonts w:cs="Arial"/>
          <w:sz w:val="24"/>
          <w:szCs w:val="24"/>
          <w:lang w:val="es-MX"/>
        </w:rPr>
        <w:t xml:space="preserve">por debajo del límite de detección en orina </w:t>
      </w:r>
      <w:r w:rsidR="006E5273" w:rsidRPr="00065198">
        <w:rPr>
          <w:rFonts w:cs="Arial"/>
          <w:sz w:val="24"/>
          <w:szCs w:val="24"/>
          <w:lang w:val="es-MX"/>
        </w:rPr>
        <w:t xml:space="preserve">hasta </w:t>
      </w:r>
      <w:r w:rsidR="00D353D7" w:rsidRPr="00065198">
        <w:rPr>
          <w:rFonts w:cs="Arial"/>
          <w:sz w:val="24"/>
          <w:szCs w:val="24"/>
          <w:lang w:val="es-MX"/>
        </w:rPr>
        <w:t>3 días después de</w:t>
      </w:r>
      <w:r w:rsidR="00370443" w:rsidRPr="00065198">
        <w:rPr>
          <w:rFonts w:cs="Arial"/>
          <w:sz w:val="24"/>
          <w:szCs w:val="24"/>
          <w:lang w:val="es-MX"/>
        </w:rPr>
        <w:t xml:space="preserve"> </w:t>
      </w:r>
      <w:r w:rsidR="006E5273" w:rsidRPr="00065198">
        <w:rPr>
          <w:rFonts w:cs="Arial"/>
          <w:sz w:val="24"/>
          <w:szCs w:val="24"/>
          <w:lang w:val="es-MX"/>
        </w:rPr>
        <w:t xml:space="preserve">su </w:t>
      </w:r>
      <w:r w:rsidR="00370443" w:rsidRPr="00065198">
        <w:rPr>
          <w:rFonts w:cs="Arial"/>
          <w:sz w:val="24"/>
          <w:szCs w:val="24"/>
          <w:lang w:val="es-MX"/>
        </w:rPr>
        <w:t xml:space="preserve">administración. </w:t>
      </w:r>
      <w:r w:rsidR="006E5273" w:rsidRPr="00065198">
        <w:rPr>
          <w:rFonts w:cs="Arial"/>
          <w:sz w:val="24"/>
          <w:szCs w:val="24"/>
          <w:lang w:val="es-MX"/>
        </w:rPr>
        <w:t xml:space="preserve">En sintesis, se sabe que </w:t>
      </w:r>
      <w:r w:rsidR="00370443" w:rsidRPr="00065198">
        <w:rPr>
          <w:rFonts w:cs="Arial"/>
          <w:sz w:val="24"/>
          <w:szCs w:val="24"/>
          <w:lang w:val="es-MX"/>
        </w:rPr>
        <w:t xml:space="preserve">el gel </w:t>
      </w:r>
      <w:r w:rsidR="006E5273" w:rsidRPr="00065198">
        <w:rPr>
          <w:rFonts w:cs="Arial"/>
          <w:sz w:val="24"/>
          <w:szCs w:val="24"/>
          <w:lang w:val="es-MX"/>
        </w:rPr>
        <w:t xml:space="preserve">de la </w:t>
      </w:r>
      <w:r w:rsidR="00B56224" w:rsidRPr="00BF1B18">
        <w:rPr>
          <w:rFonts w:cs="Arial"/>
          <w:color w:val="000000" w:themeColor="text1"/>
          <w:sz w:val="24"/>
          <w:szCs w:val="24"/>
          <w:lang w:val="es-MX"/>
        </w:rPr>
        <w:t xml:space="preserve">DET </w:t>
      </w:r>
      <w:r w:rsidR="006E5273" w:rsidRPr="00BF1B18">
        <w:rPr>
          <w:rFonts w:cs="Arial"/>
          <w:color w:val="000000" w:themeColor="text1"/>
          <w:sz w:val="24"/>
          <w:szCs w:val="24"/>
          <w:lang w:val="es-MX"/>
        </w:rPr>
        <w:t xml:space="preserve">(40 μg/kg) </w:t>
      </w:r>
      <w:r w:rsidR="00D353D7" w:rsidRPr="00BF1B18">
        <w:rPr>
          <w:rFonts w:cs="Arial"/>
          <w:color w:val="000000" w:themeColor="text1"/>
          <w:sz w:val="24"/>
          <w:szCs w:val="24"/>
          <w:lang w:val="es-MX"/>
        </w:rPr>
        <w:t>parece inducir</w:t>
      </w:r>
      <w:r w:rsidR="00370443" w:rsidRPr="00BF1B18">
        <w:rPr>
          <w:rFonts w:cs="Arial"/>
          <w:color w:val="000000" w:themeColor="text1"/>
          <w:sz w:val="24"/>
          <w:szCs w:val="24"/>
          <w:lang w:val="es-MX"/>
        </w:rPr>
        <w:t xml:space="preserve"> un grado moderado de sedación </w:t>
      </w:r>
      <w:r w:rsidR="00D353D7" w:rsidRPr="00BF1B18">
        <w:rPr>
          <w:rFonts w:cs="Arial"/>
          <w:color w:val="000000" w:themeColor="text1"/>
          <w:sz w:val="24"/>
          <w:szCs w:val="24"/>
          <w:lang w:val="es-MX"/>
        </w:rPr>
        <w:t xml:space="preserve">cuando se administra por vía sublingual. </w:t>
      </w:r>
    </w:p>
    <w:p w:rsidR="00D353D7" w:rsidRPr="00BF1B18" w:rsidRDefault="00D353D7" w:rsidP="00D353D7">
      <w:pPr>
        <w:spacing w:line="360" w:lineRule="auto"/>
        <w:rPr>
          <w:rFonts w:cs="Arial"/>
          <w:color w:val="000000" w:themeColor="text1"/>
          <w:sz w:val="24"/>
          <w:szCs w:val="24"/>
          <w:lang w:val="es-MX"/>
        </w:rPr>
      </w:pPr>
    </w:p>
    <w:p w:rsidR="00BB2DDA" w:rsidRPr="00BF1B18" w:rsidRDefault="00AC0ACC" w:rsidP="00BB2DDA">
      <w:pPr>
        <w:spacing w:line="360" w:lineRule="auto"/>
        <w:rPr>
          <w:rFonts w:cs="Arial"/>
          <w:color w:val="000000" w:themeColor="text1"/>
          <w:sz w:val="24"/>
          <w:szCs w:val="24"/>
          <w:lang w:val="es-MX"/>
        </w:rPr>
      </w:pPr>
      <w:r w:rsidRPr="00BF1B18">
        <w:rPr>
          <w:rFonts w:cs="Arial"/>
          <w:color w:val="000000" w:themeColor="text1"/>
          <w:sz w:val="24"/>
          <w:szCs w:val="24"/>
          <w:lang w:val="es-MX"/>
        </w:rPr>
        <w:lastRenderedPageBreak/>
        <w:t>Un</w:t>
      </w:r>
      <w:r w:rsidR="00370443" w:rsidRPr="00BF1B18">
        <w:rPr>
          <w:rFonts w:cs="Arial"/>
          <w:color w:val="000000" w:themeColor="text1"/>
          <w:sz w:val="24"/>
          <w:szCs w:val="24"/>
          <w:lang w:val="es-MX"/>
        </w:rPr>
        <w:t xml:space="preserve"> estudio </w:t>
      </w:r>
      <w:r w:rsidR="003E68E6" w:rsidRPr="00BF1B18">
        <w:rPr>
          <w:rFonts w:cs="Arial"/>
          <w:color w:val="000000" w:themeColor="text1"/>
          <w:sz w:val="24"/>
          <w:szCs w:val="24"/>
          <w:lang w:val="es-MX"/>
        </w:rPr>
        <w:t>dirigido</w:t>
      </w:r>
      <w:r w:rsidR="00370443" w:rsidRPr="00BF1B18">
        <w:rPr>
          <w:rFonts w:cs="Arial"/>
          <w:color w:val="000000" w:themeColor="text1"/>
          <w:sz w:val="24"/>
          <w:szCs w:val="24"/>
          <w:lang w:val="es-MX"/>
        </w:rPr>
        <w:t xml:space="preserve"> por </w:t>
      </w:r>
      <w:r w:rsidR="00A2062B" w:rsidRPr="00BF1B18">
        <w:rPr>
          <w:rFonts w:cs="Arial"/>
          <w:color w:val="000000" w:themeColor="text1"/>
          <w:sz w:val="24"/>
          <w:szCs w:val="24"/>
          <w:lang w:val="en-GB"/>
        </w:rPr>
        <w:fldChar w:fldCharType="begin" w:fldLock="1"/>
      </w:r>
      <w:r w:rsidR="00D353D7" w:rsidRPr="00BF1B18">
        <w:rPr>
          <w:rFonts w:cs="Arial"/>
          <w:color w:val="000000" w:themeColor="text1"/>
          <w:sz w:val="24"/>
          <w:szCs w:val="24"/>
          <w:lang w:val="es-MX"/>
        </w:rPr>
        <w:instrText>ADDIN CSL_CITATION { "citationItems" : [ { "id" : "ITEM-1", "itemData" : { "DOI" : "10.1111/j.1365-2885.2010.01193.x", "ISSN" : "01407783", "PMID" : "21219348", "abstract" : "The objective of the study was to determine the absorption, bioavailability and sedative effect of detomidine administered to horses as an oromucosal gel compared to intravenous and intramuscular administration of detomidine injectable solution. The study was open and randomized, with three sequences crossover design. Nine healthy horses were given 40\u2003\u03bcg/kg detomidine intravenously, intramuscularly or administered under the tongue with a 7-day wash-out period between treatments. Blood samples were collected before and after drug administration for the measurement of detomidine concentrations in serum. The effects of the route of administration on heart rate and rhythm were evaluated and the depth of sedation assessed. Mean (\u00b1SD) bioavailability of detomidine was 22% (\u00b15.3%) after sublingual administration and 38.2% (\u00b17.9%) after intramuscular administration. The sedative effects correlated with detomidine concentrations regardless of the route of administration. We conclude that less detomidine is absorbed when given sublingually than when given intramuscularly, because part of it does not reach the circulation. Sublingual administration of detomidine oromucosal gel at 40\u2003\u03bcg/kg produces safe sedation in horses. Slow absorption leads to fewer and less pronounced adverse effects than the more rapid absorption after intramuscular injection.", "author" : [ { "dropping-particle" : "", "family" : "Kaukinen", "given" : "H.", "non-dropping-particle" : "", "parse-names" : false, "suffix" : "" }, { "dropping-particle" : "", "family" : "Aspegr\u00e9n", "given" : "J.", "non-dropping-particle" : "", "parse-names" : false, "suffix" : "" }, { "dropping-particle" : "", "family" : "Hyypp\u00e4", "given" : "S.", "non-dropping-particle" : "", "parse-names" : false, "suffix" : "" }, { "dropping-particle" : "", "family" : "Tamm", "given" : "L.", "non-dropping-particle" : "", "parse-names" : false, "suffix" : "" }, { "dropping-particle" : "", "family" : "Salonen", "given" : "J. S.", "non-dropping-particle" : "", "parse-names" : false, "suffix" : "" } ], "container-title" : "Journal of Veterinary Pharmacology and Therapeutics", "id" : "ITEM-1", "issue" : "1", "issued" : { "date-parts" : [ [ "2011" ] ] }, "page" : "76-81", "title" : "Bioavailability of detomidine administered sublingually to horses as an oromucosal gel", "type" : "article-journal", "volume" : "34" }, "uris" : [ "http://www.mendeley.com/documents/?uuid=59a2b87e-6103-4f35-a43d-3052d0e65845" ] } ], "mendeley" : { "formattedCitation" : "(Kaukinen et al. 2011)", "plainTextFormattedCitation" : "(Kaukinen et al. 2011)", "previouslyFormattedCitation" : "(Kaukinen et al. 2011)" }, "properties" : { "noteIndex" : 0 }, "schema" : "https://github.com/citation-style-language/schema/raw/master/csl-citation.json" }</w:instrText>
      </w:r>
      <w:r w:rsidR="00A2062B" w:rsidRPr="00BF1B18">
        <w:rPr>
          <w:rFonts w:cs="Arial"/>
          <w:color w:val="000000" w:themeColor="text1"/>
          <w:sz w:val="24"/>
          <w:szCs w:val="24"/>
          <w:lang w:val="en-GB"/>
        </w:rPr>
        <w:fldChar w:fldCharType="separate"/>
      </w:r>
      <w:r w:rsidR="00D353D7" w:rsidRPr="00BF1B18">
        <w:rPr>
          <w:rFonts w:cs="Arial"/>
          <w:noProof/>
          <w:color w:val="000000" w:themeColor="text1"/>
          <w:sz w:val="24"/>
          <w:szCs w:val="24"/>
          <w:lang w:val="es-MX"/>
        </w:rPr>
        <w:t xml:space="preserve">Kaukinen </w:t>
      </w:r>
      <w:r w:rsidRPr="00BF1B18">
        <w:rPr>
          <w:rFonts w:cs="Arial"/>
          <w:i/>
          <w:noProof/>
          <w:color w:val="000000" w:themeColor="text1"/>
          <w:sz w:val="24"/>
          <w:szCs w:val="24"/>
          <w:lang w:val="es-MX"/>
        </w:rPr>
        <w:t>et al.</w:t>
      </w:r>
      <w:r w:rsidR="00D353D7" w:rsidRPr="00BF1B18">
        <w:rPr>
          <w:rFonts w:cs="Arial"/>
          <w:i/>
          <w:noProof/>
          <w:color w:val="000000" w:themeColor="text1"/>
          <w:sz w:val="24"/>
          <w:szCs w:val="24"/>
          <w:lang w:val="es-MX"/>
        </w:rPr>
        <w:t xml:space="preserve"> </w:t>
      </w:r>
      <w:r w:rsidRPr="00BF1B18">
        <w:rPr>
          <w:rFonts w:cs="Arial"/>
          <w:i/>
          <w:noProof/>
          <w:color w:val="000000" w:themeColor="text1"/>
          <w:sz w:val="24"/>
          <w:szCs w:val="24"/>
          <w:lang w:val="es-MX"/>
        </w:rPr>
        <w:t>(</w:t>
      </w:r>
      <w:r w:rsidR="00D353D7" w:rsidRPr="00BF1B18">
        <w:rPr>
          <w:rFonts w:cs="Arial"/>
          <w:noProof/>
          <w:color w:val="000000" w:themeColor="text1"/>
          <w:sz w:val="24"/>
          <w:szCs w:val="24"/>
          <w:lang w:val="es-MX"/>
        </w:rPr>
        <w:t>2011)</w:t>
      </w:r>
      <w:r w:rsidR="00A2062B" w:rsidRPr="00BF1B18">
        <w:rPr>
          <w:rFonts w:cs="Arial"/>
          <w:color w:val="000000" w:themeColor="text1"/>
          <w:sz w:val="24"/>
          <w:szCs w:val="24"/>
          <w:lang w:val="en-GB"/>
        </w:rPr>
        <w:fldChar w:fldCharType="end"/>
      </w:r>
      <w:r w:rsidRPr="00BF1B18">
        <w:rPr>
          <w:rFonts w:cs="Arial"/>
          <w:color w:val="000000" w:themeColor="text1"/>
          <w:sz w:val="24"/>
          <w:szCs w:val="24"/>
          <w:lang w:val="es-MX"/>
        </w:rPr>
        <w:t>,</w:t>
      </w:r>
      <w:r w:rsidR="00370443" w:rsidRPr="00BF1B18">
        <w:rPr>
          <w:rFonts w:cs="Arial"/>
          <w:color w:val="000000" w:themeColor="text1"/>
          <w:sz w:val="24"/>
          <w:szCs w:val="24"/>
          <w:lang w:val="es-MX"/>
        </w:rPr>
        <w:t xml:space="preserve"> </w:t>
      </w:r>
      <w:r w:rsidRPr="00BF1B18">
        <w:rPr>
          <w:rFonts w:cs="Arial"/>
          <w:color w:val="000000" w:themeColor="text1"/>
          <w:sz w:val="24"/>
          <w:szCs w:val="24"/>
          <w:lang w:val="es-MX"/>
        </w:rPr>
        <w:t xml:space="preserve">permitió identificar </w:t>
      </w:r>
      <w:r w:rsidR="00D353D7" w:rsidRPr="00BF1B18">
        <w:rPr>
          <w:rFonts w:cs="Arial"/>
          <w:color w:val="000000" w:themeColor="text1"/>
          <w:sz w:val="24"/>
          <w:szCs w:val="24"/>
          <w:lang w:val="es-MX"/>
        </w:rPr>
        <w:t>la absorción, biodispon</w:t>
      </w:r>
      <w:r w:rsidR="00370443" w:rsidRPr="00BF1B18">
        <w:rPr>
          <w:rFonts w:cs="Arial"/>
          <w:color w:val="000000" w:themeColor="text1"/>
          <w:sz w:val="24"/>
          <w:szCs w:val="24"/>
          <w:lang w:val="es-MX"/>
        </w:rPr>
        <w:t xml:space="preserve">ibilidad y efecto sedante de la </w:t>
      </w:r>
      <w:r w:rsidR="00B56224" w:rsidRPr="00BF1B18">
        <w:rPr>
          <w:rFonts w:cs="Arial"/>
          <w:color w:val="000000" w:themeColor="text1"/>
          <w:sz w:val="24"/>
          <w:szCs w:val="24"/>
          <w:lang w:val="es-MX"/>
        </w:rPr>
        <w:t xml:space="preserve">DET </w:t>
      </w:r>
      <w:r w:rsidR="00370443" w:rsidRPr="00BF1B18">
        <w:rPr>
          <w:rFonts w:cs="Arial"/>
          <w:color w:val="000000" w:themeColor="text1"/>
          <w:sz w:val="24"/>
          <w:szCs w:val="24"/>
          <w:lang w:val="es-MX"/>
        </w:rPr>
        <w:t>cuando</w:t>
      </w:r>
      <w:r w:rsidR="00D353D7" w:rsidRPr="00BF1B18">
        <w:rPr>
          <w:rFonts w:cs="Arial"/>
          <w:color w:val="000000" w:themeColor="text1"/>
          <w:sz w:val="24"/>
          <w:szCs w:val="24"/>
          <w:lang w:val="es-MX"/>
        </w:rPr>
        <w:t xml:space="preserve"> </w:t>
      </w:r>
      <w:r w:rsidRPr="00BF1B18">
        <w:rPr>
          <w:rFonts w:cs="Arial"/>
          <w:color w:val="000000" w:themeColor="text1"/>
          <w:sz w:val="24"/>
          <w:szCs w:val="24"/>
          <w:lang w:val="es-MX"/>
        </w:rPr>
        <w:t xml:space="preserve">es </w:t>
      </w:r>
      <w:r w:rsidR="00D353D7" w:rsidRPr="00BF1B18">
        <w:rPr>
          <w:rFonts w:cs="Arial"/>
          <w:color w:val="000000" w:themeColor="text1"/>
          <w:sz w:val="24"/>
          <w:szCs w:val="24"/>
          <w:lang w:val="es-MX"/>
        </w:rPr>
        <w:t>administra</w:t>
      </w:r>
      <w:r w:rsidRPr="00BF1B18">
        <w:rPr>
          <w:rFonts w:cs="Arial"/>
          <w:color w:val="000000" w:themeColor="text1"/>
          <w:sz w:val="24"/>
          <w:szCs w:val="24"/>
          <w:lang w:val="es-MX"/>
        </w:rPr>
        <w:t>da</w:t>
      </w:r>
      <w:r w:rsidR="00D353D7" w:rsidRPr="00BF1B18">
        <w:rPr>
          <w:rFonts w:cs="Arial"/>
          <w:color w:val="000000" w:themeColor="text1"/>
          <w:sz w:val="24"/>
          <w:szCs w:val="24"/>
          <w:lang w:val="es-MX"/>
        </w:rPr>
        <w:t xml:space="preserve"> a los </w:t>
      </w:r>
      <w:r w:rsidR="00D353D7" w:rsidRPr="00065198">
        <w:rPr>
          <w:rFonts w:cs="Arial"/>
          <w:sz w:val="24"/>
          <w:szCs w:val="24"/>
          <w:lang w:val="es-MX"/>
        </w:rPr>
        <w:t xml:space="preserve">caballos </w:t>
      </w:r>
      <w:r w:rsidRPr="00065198">
        <w:rPr>
          <w:rFonts w:cs="Arial"/>
          <w:sz w:val="24"/>
          <w:szCs w:val="24"/>
          <w:lang w:val="es-MX"/>
        </w:rPr>
        <w:t xml:space="preserve">por vía enteral con una presentación </w:t>
      </w:r>
      <w:r w:rsidR="00146395" w:rsidRPr="00065198">
        <w:rPr>
          <w:rFonts w:cs="Arial"/>
          <w:sz w:val="24"/>
          <w:szCs w:val="24"/>
          <w:lang w:val="es-MX"/>
        </w:rPr>
        <w:t>farmacéutica</w:t>
      </w:r>
      <w:r w:rsidRPr="00065198">
        <w:rPr>
          <w:rFonts w:cs="Arial"/>
          <w:sz w:val="24"/>
          <w:szCs w:val="24"/>
          <w:lang w:val="es-MX"/>
        </w:rPr>
        <w:t xml:space="preserve"> novedosa en </w:t>
      </w:r>
      <w:r w:rsidR="00D353D7" w:rsidRPr="00065198">
        <w:rPr>
          <w:rFonts w:cs="Arial"/>
          <w:sz w:val="24"/>
          <w:szCs w:val="24"/>
          <w:lang w:val="es-MX"/>
        </w:rPr>
        <w:t xml:space="preserve">gel </w:t>
      </w:r>
      <w:r w:rsidRPr="00065198">
        <w:rPr>
          <w:rFonts w:cs="Arial"/>
          <w:sz w:val="24"/>
          <w:szCs w:val="24"/>
          <w:lang w:val="es-MX"/>
        </w:rPr>
        <w:t xml:space="preserve">y se contrasto </w:t>
      </w:r>
      <w:r w:rsidR="00D353D7" w:rsidRPr="00065198">
        <w:rPr>
          <w:rFonts w:cs="Arial"/>
          <w:sz w:val="24"/>
          <w:szCs w:val="24"/>
          <w:lang w:val="es-MX"/>
        </w:rPr>
        <w:t>con la administración in</w:t>
      </w:r>
      <w:r w:rsidR="00370443" w:rsidRPr="00065198">
        <w:rPr>
          <w:rFonts w:cs="Arial"/>
          <w:sz w:val="24"/>
          <w:szCs w:val="24"/>
          <w:lang w:val="es-MX"/>
        </w:rPr>
        <w:t xml:space="preserve">travenosa e intramuscular de la </w:t>
      </w:r>
      <w:r w:rsidR="00B56224" w:rsidRPr="00BF1B18">
        <w:rPr>
          <w:rFonts w:cs="Arial"/>
          <w:color w:val="000000" w:themeColor="text1"/>
          <w:sz w:val="24"/>
          <w:szCs w:val="24"/>
          <w:lang w:val="es-MX"/>
        </w:rPr>
        <w:t xml:space="preserve">DET </w:t>
      </w:r>
      <w:r w:rsidR="00370443" w:rsidRPr="00BF1B18">
        <w:rPr>
          <w:rFonts w:cs="Arial"/>
          <w:color w:val="000000" w:themeColor="text1"/>
          <w:sz w:val="24"/>
          <w:szCs w:val="24"/>
          <w:lang w:val="es-MX"/>
        </w:rPr>
        <w:t xml:space="preserve">en </w:t>
      </w:r>
      <w:r w:rsidR="00D353D7" w:rsidRPr="00BF1B18">
        <w:rPr>
          <w:rFonts w:cs="Arial"/>
          <w:color w:val="000000" w:themeColor="text1"/>
          <w:sz w:val="24"/>
          <w:szCs w:val="24"/>
          <w:lang w:val="es-MX"/>
        </w:rPr>
        <w:t xml:space="preserve">solución inyectable. </w:t>
      </w:r>
      <w:r w:rsidRPr="00BF1B18">
        <w:rPr>
          <w:rFonts w:cs="Arial"/>
          <w:color w:val="000000" w:themeColor="text1"/>
          <w:sz w:val="24"/>
          <w:szCs w:val="24"/>
          <w:lang w:val="es-MX"/>
        </w:rPr>
        <w:t xml:space="preserve">El estudio fue realizado con nueve caballos, cada </w:t>
      </w:r>
      <w:r w:rsidR="00D353D7" w:rsidRPr="00BF1B18">
        <w:rPr>
          <w:rFonts w:cs="Arial"/>
          <w:color w:val="000000" w:themeColor="text1"/>
          <w:sz w:val="24"/>
          <w:szCs w:val="24"/>
          <w:lang w:val="es-MX"/>
        </w:rPr>
        <w:t>caball</w:t>
      </w:r>
      <w:r w:rsidR="00370443" w:rsidRPr="00BF1B18">
        <w:rPr>
          <w:rFonts w:cs="Arial"/>
          <w:color w:val="000000" w:themeColor="text1"/>
          <w:sz w:val="24"/>
          <w:szCs w:val="24"/>
          <w:lang w:val="es-MX"/>
        </w:rPr>
        <w:t xml:space="preserve">o fue asignado </w:t>
      </w:r>
      <w:r w:rsidR="00745E9B" w:rsidRPr="00BF1B18">
        <w:rPr>
          <w:rFonts w:cs="Arial"/>
          <w:color w:val="000000" w:themeColor="text1"/>
          <w:sz w:val="24"/>
          <w:szCs w:val="24"/>
          <w:lang w:val="es-MX"/>
        </w:rPr>
        <w:t>al azar</w:t>
      </w:r>
      <w:r w:rsidR="00370443" w:rsidRPr="00BF1B18">
        <w:rPr>
          <w:rFonts w:cs="Arial"/>
          <w:color w:val="000000" w:themeColor="text1"/>
          <w:sz w:val="24"/>
          <w:szCs w:val="24"/>
          <w:lang w:val="es-MX"/>
        </w:rPr>
        <w:t xml:space="preserve">. </w:t>
      </w:r>
      <w:r w:rsidR="00745E9B" w:rsidRPr="00BF1B18">
        <w:rPr>
          <w:rFonts w:cs="Arial"/>
          <w:color w:val="000000" w:themeColor="text1"/>
          <w:sz w:val="24"/>
          <w:szCs w:val="24"/>
          <w:lang w:val="es-MX"/>
        </w:rPr>
        <w:t xml:space="preserve">Se colectaron muestras de </w:t>
      </w:r>
      <w:r w:rsidR="00D353D7" w:rsidRPr="00BF1B18">
        <w:rPr>
          <w:rFonts w:cs="Arial"/>
          <w:color w:val="000000" w:themeColor="text1"/>
          <w:sz w:val="24"/>
          <w:szCs w:val="24"/>
          <w:lang w:val="es-MX"/>
        </w:rPr>
        <w:t>sangre antes y después de la administración del fármaco</w:t>
      </w:r>
      <w:r w:rsidR="00745E9B" w:rsidRPr="00BF1B18">
        <w:rPr>
          <w:rFonts w:cs="Arial"/>
          <w:color w:val="000000" w:themeColor="text1"/>
          <w:sz w:val="24"/>
          <w:szCs w:val="24"/>
          <w:lang w:val="es-MX"/>
        </w:rPr>
        <w:t>, con la intención de medir</w:t>
      </w:r>
      <w:r w:rsidR="00370443" w:rsidRPr="00BF1B18">
        <w:rPr>
          <w:rFonts w:cs="Arial"/>
          <w:color w:val="000000" w:themeColor="text1"/>
          <w:sz w:val="24"/>
          <w:szCs w:val="24"/>
          <w:lang w:val="es-MX"/>
        </w:rPr>
        <w:t xml:space="preserve"> las concentraciones de la </w:t>
      </w:r>
      <w:r w:rsidR="00B56224" w:rsidRPr="00BF1B18">
        <w:rPr>
          <w:rFonts w:cs="Arial"/>
          <w:color w:val="000000" w:themeColor="text1"/>
          <w:sz w:val="24"/>
          <w:szCs w:val="24"/>
          <w:lang w:val="es-MX"/>
        </w:rPr>
        <w:t>DET</w:t>
      </w:r>
      <w:r w:rsidR="00370443" w:rsidRPr="00BF1B18">
        <w:rPr>
          <w:rFonts w:cs="Arial"/>
          <w:color w:val="000000" w:themeColor="text1"/>
          <w:sz w:val="24"/>
          <w:szCs w:val="24"/>
          <w:lang w:val="es-MX"/>
        </w:rPr>
        <w:t xml:space="preserve"> en el suero. </w:t>
      </w:r>
      <w:r w:rsidR="00D353D7" w:rsidRPr="00BF1B18">
        <w:rPr>
          <w:rFonts w:cs="Arial"/>
          <w:color w:val="000000" w:themeColor="text1"/>
          <w:sz w:val="24"/>
          <w:szCs w:val="24"/>
          <w:lang w:val="es-MX"/>
        </w:rPr>
        <w:t xml:space="preserve">Las variables farmacocinéticas fueron </w:t>
      </w:r>
      <w:r w:rsidR="00C0666F" w:rsidRPr="00BF1B18">
        <w:rPr>
          <w:rFonts w:cs="Arial"/>
          <w:color w:val="000000" w:themeColor="text1"/>
          <w:sz w:val="24"/>
          <w:szCs w:val="24"/>
          <w:lang w:val="es-MX"/>
        </w:rPr>
        <w:t>estimadas</w:t>
      </w:r>
      <w:r w:rsidR="00D353D7" w:rsidRPr="00BF1B18">
        <w:rPr>
          <w:rFonts w:cs="Arial"/>
          <w:color w:val="000000" w:themeColor="text1"/>
          <w:sz w:val="24"/>
          <w:szCs w:val="24"/>
          <w:lang w:val="es-MX"/>
        </w:rPr>
        <w:t xml:space="preserve"> para cada caballo </w:t>
      </w:r>
      <w:r w:rsidR="00C0666F" w:rsidRPr="00BF1B18">
        <w:rPr>
          <w:rFonts w:cs="Arial"/>
          <w:color w:val="000000" w:themeColor="text1"/>
          <w:sz w:val="24"/>
          <w:szCs w:val="24"/>
          <w:lang w:val="es-MX"/>
        </w:rPr>
        <w:t xml:space="preserve">y </w:t>
      </w:r>
      <w:r w:rsidR="00745E9B" w:rsidRPr="00BF1B18">
        <w:rPr>
          <w:rFonts w:cs="Arial"/>
          <w:color w:val="000000" w:themeColor="text1"/>
          <w:sz w:val="24"/>
          <w:szCs w:val="24"/>
          <w:lang w:val="es-MX"/>
        </w:rPr>
        <w:t xml:space="preserve">para momento en que fueron </w:t>
      </w:r>
      <w:r w:rsidR="00C0666F" w:rsidRPr="00BF1B18">
        <w:rPr>
          <w:rFonts w:cs="Arial"/>
          <w:color w:val="000000" w:themeColor="text1"/>
          <w:sz w:val="24"/>
          <w:szCs w:val="24"/>
          <w:lang w:val="es-MX"/>
        </w:rPr>
        <w:t xml:space="preserve"> dosifica</w:t>
      </w:r>
      <w:r w:rsidR="00745E9B" w:rsidRPr="00BF1B18">
        <w:rPr>
          <w:rFonts w:cs="Arial"/>
          <w:color w:val="000000" w:themeColor="text1"/>
          <w:sz w:val="24"/>
          <w:szCs w:val="24"/>
          <w:lang w:val="es-MX"/>
        </w:rPr>
        <w:t>das</w:t>
      </w:r>
      <w:r w:rsidR="00C0666F" w:rsidRPr="00BF1B18">
        <w:rPr>
          <w:rFonts w:cs="Arial"/>
          <w:color w:val="000000" w:themeColor="text1"/>
          <w:sz w:val="24"/>
          <w:szCs w:val="24"/>
          <w:lang w:val="es-MX"/>
        </w:rPr>
        <w:t xml:space="preserve">. </w:t>
      </w:r>
      <w:r w:rsidR="00D353D7" w:rsidRPr="00BF1B18">
        <w:rPr>
          <w:rFonts w:cs="Arial"/>
          <w:color w:val="000000" w:themeColor="text1"/>
          <w:sz w:val="24"/>
          <w:szCs w:val="24"/>
          <w:lang w:val="es-MX"/>
        </w:rPr>
        <w:t xml:space="preserve">Las variables evaluadas en los </w:t>
      </w:r>
      <w:r w:rsidR="00A916C9" w:rsidRPr="00BF1B18">
        <w:rPr>
          <w:rFonts w:cs="Arial"/>
          <w:color w:val="000000" w:themeColor="text1"/>
          <w:sz w:val="24"/>
          <w:szCs w:val="24"/>
          <w:lang w:val="es-MX"/>
        </w:rPr>
        <w:t xml:space="preserve">previos al </w:t>
      </w:r>
      <w:r w:rsidR="00745E9B" w:rsidRPr="00BF1B18">
        <w:rPr>
          <w:rFonts w:cs="Arial"/>
          <w:color w:val="000000" w:themeColor="text1"/>
          <w:sz w:val="24"/>
          <w:szCs w:val="24"/>
          <w:lang w:val="es-MX"/>
        </w:rPr>
        <w:t xml:space="preserve">muestreo de sangre fueron </w:t>
      </w:r>
      <w:r w:rsidR="00D353D7" w:rsidRPr="00BF1B18">
        <w:rPr>
          <w:rFonts w:cs="Arial"/>
          <w:color w:val="000000" w:themeColor="text1"/>
          <w:sz w:val="24"/>
          <w:szCs w:val="24"/>
          <w:lang w:val="es-MX"/>
        </w:rPr>
        <w:t>seda</w:t>
      </w:r>
      <w:r w:rsidR="00745E9B" w:rsidRPr="00BF1B18">
        <w:rPr>
          <w:rFonts w:cs="Arial"/>
          <w:color w:val="000000" w:themeColor="text1"/>
          <w:sz w:val="24"/>
          <w:szCs w:val="24"/>
          <w:lang w:val="es-MX"/>
        </w:rPr>
        <w:t>ción, frecuencia cardíaca (FC),</w:t>
      </w:r>
      <w:r w:rsidR="00D353D7" w:rsidRPr="00BF1B18">
        <w:rPr>
          <w:rFonts w:cs="Arial"/>
          <w:color w:val="000000" w:themeColor="text1"/>
          <w:sz w:val="24"/>
          <w:szCs w:val="24"/>
          <w:lang w:val="es-MX"/>
        </w:rPr>
        <w:t xml:space="preserve"> ritmo </w:t>
      </w:r>
      <w:r w:rsidR="00745E9B" w:rsidRPr="00BF1B18">
        <w:rPr>
          <w:rFonts w:cs="Arial"/>
          <w:color w:val="000000" w:themeColor="text1"/>
          <w:sz w:val="24"/>
          <w:szCs w:val="24"/>
          <w:lang w:val="es-MX"/>
        </w:rPr>
        <w:t xml:space="preserve">cardiaco </w:t>
      </w:r>
      <w:r w:rsidR="00A916C9" w:rsidRPr="00BF1B18">
        <w:rPr>
          <w:rFonts w:cs="Arial"/>
          <w:color w:val="000000" w:themeColor="text1"/>
          <w:sz w:val="24"/>
          <w:szCs w:val="24"/>
          <w:lang w:val="es-MX"/>
        </w:rPr>
        <w:t xml:space="preserve">y </w:t>
      </w:r>
      <w:r w:rsidR="00D353D7" w:rsidRPr="00BF1B18">
        <w:rPr>
          <w:rFonts w:cs="Arial"/>
          <w:color w:val="000000" w:themeColor="text1"/>
          <w:sz w:val="24"/>
          <w:szCs w:val="24"/>
          <w:lang w:val="es-MX"/>
        </w:rPr>
        <w:t>efectos adversos.</w:t>
      </w:r>
      <w:r w:rsidR="00C0666F" w:rsidRPr="00BF1B18">
        <w:rPr>
          <w:rFonts w:cs="Arial"/>
          <w:color w:val="000000" w:themeColor="text1"/>
          <w:sz w:val="24"/>
          <w:szCs w:val="24"/>
          <w:lang w:val="es-MX"/>
        </w:rPr>
        <w:t xml:space="preserve"> La dosis utilizada fue de </w:t>
      </w:r>
      <w:r w:rsidR="00BB2DDA" w:rsidRPr="00BF1B18">
        <w:rPr>
          <w:rFonts w:cs="Arial"/>
          <w:color w:val="000000" w:themeColor="text1"/>
          <w:sz w:val="24"/>
          <w:szCs w:val="24"/>
          <w:lang w:val="es-MX"/>
        </w:rPr>
        <w:t xml:space="preserve">40 </w:t>
      </w:r>
      <w:r w:rsidR="00BB2DDA" w:rsidRPr="00BF1B18">
        <w:rPr>
          <w:rFonts w:cs="Arial"/>
          <w:color w:val="000000" w:themeColor="text1"/>
          <w:sz w:val="24"/>
          <w:szCs w:val="24"/>
          <w:lang w:val="en-US"/>
        </w:rPr>
        <w:t>μ</w:t>
      </w:r>
      <w:r w:rsidR="00C0666F" w:rsidRPr="00BF1B18">
        <w:rPr>
          <w:rFonts w:cs="Arial"/>
          <w:color w:val="000000" w:themeColor="text1"/>
          <w:sz w:val="24"/>
          <w:szCs w:val="24"/>
          <w:lang w:val="es-MX"/>
        </w:rPr>
        <w:t xml:space="preserve">g/kg de </w:t>
      </w:r>
      <w:r w:rsidR="00B56224" w:rsidRPr="00BF1B18">
        <w:rPr>
          <w:rFonts w:cs="Arial"/>
          <w:color w:val="000000" w:themeColor="text1"/>
          <w:sz w:val="24"/>
          <w:szCs w:val="24"/>
          <w:lang w:val="es-MX"/>
        </w:rPr>
        <w:t>DET</w:t>
      </w:r>
      <w:r w:rsidR="00BB2DDA" w:rsidRPr="00BF1B18">
        <w:rPr>
          <w:rFonts w:cs="Arial"/>
          <w:color w:val="000000" w:themeColor="text1"/>
          <w:sz w:val="24"/>
          <w:szCs w:val="24"/>
          <w:lang w:val="es-MX"/>
        </w:rPr>
        <w:t xml:space="preserve"> IV, IM o </w:t>
      </w:r>
      <w:r w:rsidR="00A916C9" w:rsidRPr="00BF1B18">
        <w:rPr>
          <w:rFonts w:cs="Arial"/>
          <w:color w:val="000000" w:themeColor="text1"/>
          <w:sz w:val="24"/>
          <w:szCs w:val="24"/>
          <w:lang w:val="es-MX"/>
        </w:rPr>
        <w:t>sublingual</w:t>
      </w:r>
      <w:r w:rsidR="00BB2DDA" w:rsidRPr="00BF1B18">
        <w:rPr>
          <w:rFonts w:cs="Arial"/>
          <w:color w:val="000000" w:themeColor="text1"/>
          <w:sz w:val="24"/>
          <w:szCs w:val="24"/>
          <w:lang w:val="es-MX"/>
        </w:rPr>
        <w:t xml:space="preserve"> con un período de lavado de 7 días entre</w:t>
      </w:r>
      <w:r w:rsidR="00C0666F" w:rsidRPr="00BF1B18">
        <w:rPr>
          <w:rFonts w:cs="Arial"/>
          <w:color w:val="000000" w:themeColor="text1"/>
          <w:sz w:val="24"/>
          <w:szCs w:val="24"/>
          <w:lang w:val="es-MX"/>
        </w:rPr>
        <w:t xml:space="preserve"> cada tratamiento.</w:t>
      </w:r>
      <w:r w:rsidR="005941EE" w:rsidRPr="00BF1B18">
        <w:rPr>
          <w:rFonts w:cs="Arial"/>
          <w:color w:val="000000" w:themeColor="text1"/>
          <w:sz w:val="24"/>
          <w:szCs w:val="24"/>
          <w:lang w:val="es-MX"/>
        </w:rPr>
        <w:t xml:space="preserve"> La concentración máxima de la </w:t>
      </w:r>
      <w:r w:rsidR="00B56224" w:rsidRPr="00BF1B18">
        <w:rPr>
          <w:rFonts w:cs="Arial"/>
          <w:color w:val="000000" w:themeColor="text1"/>
          <w:sz w:val="24"/>
          <w:szCs w:val="24"/>
          <w:lang w:val="es-MX"/>
        </w:rPr>
        <w:t>DET</w:t>
      </w:r>
      <w:r w:rsidR="00C0666F" w:rsidRPr="00BF1B18">
        <w:rPr>
          <w:rFonts w:cs="Arial"/>
          <w:color w:val="000000" w:themeColor="text1"/>
          <w:sz w:val="24"/>
          <w:szCs w:val="24"/>
          <w:lang w:val="es-MX"/>
        </w:rPr>
        <w:t xml:space="preserve"> </w:t>
      </w:r>
      <w:r w:rsidR="00A916C9" w:rsidRPr="00BF1B18">
        <w:rPr>
          <w:rFonts w:cs="Arial"/>
          <w:color w:val="000000" w:themeColor="text1"/>
          <w:sz w:val="24"/>
          <w:szCs w:val="24"/>
          <w:lang w:val="es-MX"/>
        </w:rPr>
        <w:t xml:space="preserve">cuando es </w:t>
      </w:r>
      <w:r w:rsidR="00146395" w:rsidRPr="00BF1B18">
        <w:rPr>
          <w:rFonts w:cs="Arial"/>
          <w:color w:val="000000" w:themeColor="text1"/>
          <w:sz w:val="24"/>
          <w:szCs w:val="24"/>
          <w:lang w:val="es-MX"/>
        </w:rPr>
        <w:t>administrada</w:t>
      </w:r>
      <w:r w:rsidR="00A916C9" w:rsidRPr="00BF1B18">
        <w:rPr>
          <w:rFonts w:cs="Arial"/>
          <w:color w:val="000000" w:themeColor="text1"/>
          <w:sz w:val="24"/>
          <w:szCs w:val="24"/>
          <w:lang w:val="es-MX"/>
        </w:rPr>
        <w:t xml:space="preserve"> </w:t>
      </w:r>
      <w:r w:rsidR="00BB2DDA" w:rsidRPr="00BF1B18">
        <w:rPr>
          <w:rFonts w:cs="Arial"/>
          <w:color w:val="000000" w:themeColor="text1"/>
          <w:sz w:val="24"/>
          <w:szCs w:val="24"/>
          <w:lang w:val="es-MX"/>
        </w:rPr>
        <w:t xml:space="preserve">por vía sublingual fue </w:t>
      </w:r>
      <w:r w:rsidR="00A916C9" w:rsidRPr="00BF1B18">
        <w:rPr>
          <w:rFonts w:cs="Arial"/>
          <w:color w:val="000000" w:themeColor="text1"/>
          <w:sz w:val="24"/>
          <w:szCs w:val="24"/>
          <w:lang w:val="es-MX"/>
        </w:rPr>
        <w:t xml:space="preserve">inferior, respecto a </w:t>
      </w:r>
      <w:r w:rsidR="00146395" w:rsidRPr="00BF1B18">
        <w:rPr>
          <w:rFonts w:cs="Arial"/>
          <w:color w:val="000000" w:themeColor="text1"/>
          <w:sz w:val="24"/>
          <w:szCs w:val="24"/>
          <w:lang w:val="es-MX"/>
        </w:rPr>
        <w:t>cuándo</w:t>
      </w:r>
      <w:r w:rsidR="00A916C9" w:rsidRPr="00BF1B18">
        <w:rPr>
          <w:rFonts w:cs="Arial"/>
          <w:color w:val="000000" w:themeColor="text1"/>
          <w:sz w:val="24"/>
          <w:szCs w:val="24"/>
          <w:lang w:val="es-MX"/>
        </w:rPr>
        <w:t xml:space="preserve"> se </w:t>
      </w:r>
      <w:r w:rsidR="00146395" w:rsidRPr="00BF1B18">
        <w:rPr>
          <w:rFonts w:cs="Arial"/>
          <w:color w:val="000000" w:themeColor="text1"/>
          <w:sz w:val="24"/>
          <w:szCs w:val="24"/>
          <w:lang w:val="es-MX"/>
        </w:rPr>
        <w:t>administró</w:t>
      </w:r>
      <w:r w:rsidR="00A916C9" w:rsidRPr="00BF1B18">
        <w:rPr>
          <w:rFonts w:cs="Arial"/>
          <w:color w:val="000000" w:themeColor="text1"/>
          <w:sz w:val="24"/>
          <w:szCs w:val="24"/>
          <w:lang w:val="es-MX"/>
        </w:rPr>
        <w:t xml:space="preserve"> por vía </w:t>
      </w:r>
      <w:r w:rsidR="00BB2DDA" w:rsidRPr="00BF1B18">
        <w:rPr>
          <w:rFonts w:cs="Arial"/>
          <w:color w:val="000000" w:themeColor="text1"/>
          <w:sz w:val="24"/>
          <w:szCs w:val="24"/>
          <w:lang w:val="es-MX"/>
        </w:rPr>
        <w:t xml:space="preserve">IM (4.16 </w:t>
      </w:r>
      <w:r w:rsidR="00BB2DDA" w:rsidRPr="00BF1B18">
        <w:rPr>
          <w:rFonts w:cs="Arial"/>
          <w:i/>
          <w:color w:val="000000" w:themeColor="text1"/>
          <w:sz w:val="24"/>
          <w:szCs w:val="24"/>
          <w:lang w:val="es-MX"/>
        </w:rPr>
        <w:t>vs</w:t>
      </w:r>
      <w:r w:rsidR="00A916C9" w:rsidRPr="00BF1B18">
        <w:rPr>
          <w:rFonts w:cs="Arial"/>
          <w:color w:val="000000" w:themeColor="text1"/>
          <w:sz w:val="24"/>
          <w:szCs w:val="24"/>
          <w:lang w:val="es-MX"/>
        </w:rPr>
        <w:t>. 11.16 ng/mL) y el</w:t>
      </w:r>
      <w:r w:rsidR="00BF1B18" w:rsidRPr="00BF1B18">
        <w:rPr>
          <w:rFonts w:cs="Arial"/>
          <w:color w:val="000000" w:themeColor="text1"/>
          <w:sz w:val="24"/>
          <w:szCs w:val="24"/>
          <w:lang w:val="es-MX"/>
        </w:rPr>
        <w:t xml:space="preserve"> tiempo máximo</w:t>
      </w:r>
      <w:r w:rsidR="00A916C9" w:rsidRPr="00BF1B18">
        <w:rPr>
          <w:rFonts w:cs="Arial"/>
          <w:color w:val="000000" w:themeColor="text1"/>
          <w:sz w:val="24"/>
          <w:szCs w:val="24"/>
          <w:lang w:val="es-MX"/>
        </w:rPr>
        <w:t xml:space="preserve"> </w:t>
      </w:r>
      <w:r w:rsidR="00BF1B18" w:rsidRPr="00BF1B18">
        <w:rPr>
          <w:rFonts w:cs="Arial"/>
          <w:color w:val="000000" w:themeColor="text1"/>
          <w:sz w:val="24"/>
          <w:szCs w:val="24"/>
          <w:lang w:val="es-MX"/>
        </w:rPr>
        <w:t>(</w:t>
      </w:r>
      <w:r w:rsidR="00BB2DDA" w:rsidRPr="00BF1B18">
        <w:rPr>
          <w:rFonts w:cs="Arial"/>
          <w:color w:val="000000" w:themeColor="text1"/>
          <w:sz w:val="24"/>
          <w:szCs w:val="24"/>
          <w:lang w:val="es-MX"/>
        </w:rPr>
        <w:t>t</w:t>
      </w:r>
      <w:r w:rsidR="00BB2DDA" w:rsidRPr="00BF1B18">
        <w:rPr>
          <w:rFonts w:cs="Arial"/>
          <w:color w:val="000000" w:themeColor="text1"/>
          <w:sz w:val="24"/>
          <w:szCs w:val="24"/>
          <w:vertAlign w:val="subscript"/>
          <w:lang w:val="es-MX"/>
        </w:rPr>
        <w:t>max</w:t>
      </w:r>
      <w:r w:rsidR="00BF1B18" w:rsidRPr="00BF1B18">
        <w:rPr>
          <w:rFonts w:cs="Arial"/>
          <w:color w:val="000000" w:themeColor="text1"/>
          <w:sz w:val="24"/>
          <w:szCs w:val="24"/>
          <w:vertAlign w:val="subscript"/>
          <w:lang w:val="es-MX"/>
        </w:rPr>
        <w:t>)</w:t>
      </w:r>
      <w:r w:rsidR="00BB2DDA" w:rsidRPr="00BF1B18">
        <w:rPr>
          <w:rFonts w:cs="Arial"/>
          <w:color w:val="000000" w:themeColor="text1"/>
          <w:sz w:val="24"/>
          <w:szCs w:val="24"/>
          <w:lang w:val="es-MX"/>
        </w:rPr>
        <w:t xml:space="preserve"> fue </w:t>
      </w:r>
      <w:r w:rsidR="00A916C9" w:rsidRPr="00BF1B18">
        <w:rPr>
          <w:rFonts w:cs="Arial"/>
          <w:color w:val="000000" w:themeColor="text1"/>
          <w:sz w:val="24"/>
          <w:szCs w:val="24"/>
          <w:lang w:val="es-MX"/>
        </w:rPr>
        <w:t xml:space="preserve">de </w:t>
      </w:r>
      <w:r w:rsidR="00BB2DDA" w:rsidRPr="00BF1B18">
        <w:rPr>
          <w:rFonts w:cs="Arial"/>
          <w:color w:val="000000" w:themeColor="text1"/>
          <w:sz w:val="24"/>
          <w:szCs w:val="24"/>
          <w:lang w:val="es-MX"/>
        </w:rPr>
        <w:t xml:space="preserve">1.83 </w:t>
      </w:r>
      <w:r w:rsidR="00BB2DDA" w:rsidRPr="00BF1B18">
        <w:rPr>
          <w:rFonts w:cs="Arial"/>
          <w:i/>
          <w:color w:val="000000" w:themeColor="text1"/>
          <w:sz w:val="24"/>
          <w:szCs w:val="24"/>
          <w:lang w:val="es-MX"/>
        </w:rPr>
        <w:t xml:space="preserve">vs. </w:t>
      </w:r>
      <w:r w:rsidR="00BB2DDA" w:rsidRPr="00BF1B18">
        <w:rPr>
          <w:rFonts w:cs="Arial"/>
          <w:color w:val="000000" w:themeColor="text1"/>
          <w:sz w:val="24"/>
          <w:szCs w:val="24"/>
          <w:lang w:val="es-MX"/>
        </w:rPr>
        <w:t>1.06 h</w:t>
      </w:r>
      <w:r w:rsidR="00A916C9" w:rsidRPr="00BF1B18">
        <w:rPr>
          <w:rFonts w:cs="Arial"/>
          <w:color w:val="000000" w:themeColor="text1"/>
          <w:sz w:val="24"/>
          <w:szCs w:val="24"/>
          <w:lang w:val="es-MX"/>
        </w:rPr>
        <w:t>oras</w:t>
      </w:r>
      <w:r w:rsidR="00BB2DDA" w:rsidRPr="00BF1B18">
        <w:rPr>
          <w:rFonts w:cs="Arial"/>
          <w:color w:val="000000" w:themeColor="text1"/>
          <w:sz w:val="24"/>
          <w:szCs w:val="24"/>
          <w:lang w:val="es-MX"/>
        </w:rPr>
        <w:t>.</w:t>
      </w:r>
      <w:r w:rsidR="00C0666F" w:rsidRPr="00BF1B18">
        <w:rPr>
          <w:rFonts w:cs="Arial"/>
          <w:color w:val="000000" w:themeColor="text1"/>
          <w:sz w:val="24"/>
          <w:szCs w:val="24"/>
          <w:lang w:val="es-MX"/>
        </w:rPr>
        <w:t xml:space="preserve"> </w:t>
      </w:r>
      <w:r w:rsidR="00A916C9" w:rsidRPr="00BF1B18">
        <w:rPr>
          <w:rFonts w:cs="Arial"/>
          <w:color w:val="000000" w:themeColor="text1"/>
          <w:sz w:val="24"/>
          <w:szCs w:val="24"/>
          <w:lang w:val="es-MX"/>
        </w:rPr>
        <w:t xml:space="preserve">En el estudio, se </w:t>
      </w:r>
      <w:r w:rsidR="00C0666F" w:rsidRPr="00BF1B18">
        <w:rPr>
          <w:rFonts w:cs="Arial"/>
          <w:color w:val="000000" w:themeColor="text1"/>
          <w:sz w:val="24"/>
          <w:szCs w:val="24"/>
          <w:lang w:val="es-MX"/>
        </w:rPr>
        <w:t xml:space="preserve">concluyó que </w:t>
      </w:r>
      <w:r w:rsidR="00A916C9" w:rsidRPr="00BF1B18">
        <w:rPr>
          <w:rFonts w:cs="Arial"/>
          <w:color w:val="000000" w:themeColor="text1"/>
          <w:sz w:val="24"/>
          <w:szCs w:val="24"/>
          <w:lang w:val="es-MX"/>
        </w:rPr>
        <w:t xml:space="preserve">la </w:t>
      </w:r>
      <w:r w:rsidR="00B56224" w:rsidRPr="00BF1B18">
        <w:rPr>
          <w:rFonts w:cs="Arial"/>
          <w:color w:val="000000" w:themeColor="text1"/>
          <w:sz w:val="24"/>
          <w:szCs w:val="24"/>
          <w:lang w:val="es-MX"/>
        </w:rPr>
        <w:t>DET</w:t>
      </w:r>
      <w:r w:rsidR="00BB2DDA" w:rsidRPr="00BF1B18">
        <w:rPr>
          <w:rFonts w:cs="Arial"/>
          <w:color w:val="000000" w:themeColor="text1"/>
          <w:sz w:val="24"/>
          <w:szCs w:val="24"/>
          <w:lang w:val="es-MX"/>
        </w:rPr>
        <w:t xml:space="preserve"> se absorbe </w:t>
      </w:r>
      <w:r w:rsidR="00A916C9" w:rsidRPr="00BF1B18">
        <w:rPr>
          <w:rFonts w:cs="Arial"/>
          <w:color w:val="000000" w:themeColor="text1"/>
          <w:sz w:val="24"/>
          <w:szCs w:val="24"/>
          <w:lang w:val="es-MX"/>
        </w:rPr>
        <w:t xml:space="preserve">en menor cantidad cuando se </w:t>
      </w:r>
      <w:r w:rsidR="00BB2DDA" w:rsidRPr="00BF1B18">
        <w:rPr>
          <w:rFonts w:cs="Arial"/>
          <w:color w:val="000000" w:themeColor="text1"/>
          <w:sz w:val="24"/>
          <w:szCs w:val="24"/>
          <w:lang w:val="es-MX"/>
        </w:rPr>
        <w:t xml:space="preserve">administra por vía sublingual </w:t>
      </w:r>
      <w:r w:rsidR="00A916C9" w:rsidRPr="00BF1B18">
        <w:rPr>
          <w:rFonts w:cs="Arial"/>
          <w:color w:val="000000" w:themeColor="text1"/>
          <w:sz w:val="24"/>
          <w:szCs w:val="24"/>
          <w:lang w:val="es-MX"/>
        </w:rPr>
        <w:t xml:space="preserve">respecto a su </w:t>
      </w:r>
      <w:r w:rsidR="00BB2DDA" w:rsidRPr="00BF1B18">
        <w:rPr>
          <w:rFonts w:cs="Arial"/>
          <w:color w:val="000000" w:themeColor="text1"/>
          <w:sz w:val="24"/>
          <w:szCs w:val="24"/>
          <w:lang w:val="es-MX"/>
        </w:rPr>
        <w:t>administra</w:t>
      </w:r>
      <w:r w:rsidR="00A916C9" w:rsidRPr="00BF1B18">
        <w:rPr>
          <w:rFonts w:cs="Arial"/>
          <w:color w:val="000000" w:themeColor="text1"/>
          <w:sz w:val="24"/>
          <w:szCs w:val="24"/>
          <w:lang w:val="es-MX"/>
        </w:rPr>
        <w:t>ción</w:t>
      </w:r>
      <w:r w:rsidR="00BB2DDA" w:rsidRPr="00BF1B18">
        <w:rPr>
          <w:rFonts w:cs="Arial"/>
          <w:color w:val="000000" w:themeColor="text1"/>
          <w:sz w:val="24"/>
          <w:szCs w:val="24"/>
          <w:lang w:val="es-MX"/>
        </w:rPr>
        <w:t xml:space="preserve"> </w:t>
      </w:r>
      <w:r w:rsidR="00A916C9" w:rsidRPr="00BF1B18">
        <w:rPr>
          <w:rFonts w:cs="Arial"/>
          <w:color w:val="000000" w:themeColor="text1"/>
          <w:sz w:val="24"/>
          <w:szCs w:val="24"/>
          <w:lang w:val="es-MX"/>
        </w:rPr>
        <w:t>vía intramuscular</w:t>
      </w:r>
      <w:r w:rsidR="00BB2DDA" w:rsidRPr="00BF1B18">
        <w:rPr>
          <w:rFonts w:cs="Arial"/>
          <w:color w:val="000000" w:themeColor="text1"/>
          <w:sz w:val="24"/>
          <w:szCs w:val="24"/>
          <w:lang w:val="es-MX"/>
        </w:rPr>
        <w:t xml:space="preserve"> ya que parte de</w:t>
      </w:r>
      <w:r w:rsidR="00A916C9" w:rsidRPr="00BF1B18">
        <w:rPr>
          <w:rFonts w:cs="Arial"/>
          <w:color w:val="000000" w:themeColor="text1"/>
          <w:sz w:val="24"/>
          <w:szCs w:val="24"/>
          <w:lang w:val="es-MX"/>
        </w:rPr>
        <w:t xml:space="preserve">l fármaco no </w:t>
      </w:r>
      <w:r w:rsidR="00BB2DDA" w:rsidRPr="00BF1B18">
        <w:rPr>
          <w:rFonts w:cs="Arial"/>
          <w:color w:val="000000" w:themeColor="text1"/>
          <w:sz w:val="24"/>
          <w:szCs w:val="24"/>
          <w:lang w:val="es-MX"/>
        </w:rPr>
        <w:t>llega a la circulación</w:t>
      </w:r>
      <w:r w:rsidR="00A916C9" w:rsidRPr="00BF1B18">
        <w:rPr>
          <w:rFonts w:cs="Arial"/>
          <w:color w:val="000000" w:themeColor="text1"/>
          <w:sz w:val="24"/>
          <w:szCs w:val="24"/>
          <w:lang w:val="es-MX"/>
        </w:rPr>
        <w:t xml:space="preserve"> sistémica.</w:t>
      </w:r>
    </w:p>
    <w:p w:rsidR="00BB2DDA" w:rsidRPr="00065198" w:rsidRDefault="00BB2DDA" w:rsidP="00BB2DDA">
      <w:pPr>
        <w:spacing w:line="360" w:lineRule="auto"/>
        <w:rPr>
          <w:rFonts w:cs="Arial"/>
          <w:sz w:val="24"/>
          <w:szCs w:val="24"/>
          <w:lang w:val="es-MX"/>
        </w:rPr>
      </w:pPr>
    </w:p>
    <w:p w:rsidR="00BB2DDA" w:rsidRPr="00065198" w:rsidRDefault="00A2062B" w:rsidP="00BB2DDA">
      <w:pPr>
        <w:spacing w:line="360" w:lineRule="auto"/>
        <w:rPr>
          <w:rFonts w:cs="Arial"/>
          <w:sz w:val="24"/>
          <w:szCs w:val="24"/>
          <w:lang w:val="es-MX"/>
        </w:rPr>
      </w:pPr>
      <w:r w:rsidRPr="00065198">
        <w:rPr>
          <w:rFonts w:cs="Arial"/>
          <w:sz w:val="24"/>
          <w:szCs w:val="24"/>
          <w:lang w:val="en-GB"/>
        </w:rPr>
        <w:fldChar w:fldCharType="begin" w:fldLock="1"/>
      </w:r>
      <w:r w:rsidR="00BB2DDA" w:rsidRPr="00065198">
        <w:rPr>
          <w:rFonts w:cs="Arial"/>
          <w:sz w:val="24"/>
          <w:szCs w:val="24"/>
          <w:lang w:val="es-MX"/>
        </w:rPr>
        <w:instrText>ADDIN CSL_CITATION { "citationItems" : [ { "id" : "ITEM-1", "itemData" : { "DOI" : "10.1111/vaa.12012", "ISSN" : "14672987", "PMID" : "23368795", "abstract" : "To investigate plasma drug concentrations and the effect of MK-467 (L-659'066) on sedation, heart rate and gut motility in horses sedated with intravenous (IV) detomidine.", "author" : [ { "dropping-particle" : "", "family" : "Vainionp\u00e4\u00e4", "given" : "Mari H.", "non-dropping-particle" : "", "parse-names" : false, "suffix" : "" }, { "dropping-particle" : "", "family" : "Raekallio", "given" : "Marja R.", "non-dropping-particle" : "", "parse-names" : false, "suffix" : "" }, { "dropping-particle" : "", "family" : "Pakkanen", "given" : "Soile Ae", "non-dropping-particle" : "", "parse-names" : false, "suffix" : "" }, { "dropping-particle" : "", "family" : "Ranta-Panula", "given" : "Ville", "non-dropping-particle" : "", "parse-names" : false, "suffix" : "" }, { "dropping-particle" : "", "family" : "Rinne", "given" : "Valtteri M.", "non-dropping-particle" : "", "parse-names" : false, "suffix" : "" }, { "dropping-particle" : "", "family" : "Scheinin", "given" : "Mika", "non-dropping-particle" : "", "parse-names" : false, "suffix" : "" }, { "dropping-particle" : "", "family" : "Vainio", "given" : "Outi M.", "non-dropping-particle" : "", "parse-names" : false, "suffix" : "" } ], "container-title" : "Veterinary Anaesthesia and Analgesia", "id" : "ITEM-1", "issue" : "3", "issued" : { "date-parts" : [ [ "2013" ] ] }, "page" : "257-264", "title" : "Plasma drug concentrations and clinical effects of a peripheral alpha-2-adrenoceptor antagonist, MK-467, in horses sedated with detomidine", "type" : "article-journal", "volume" : "40" }, "uris" : [ "http://www.mendeley.com/documents/?uuid=7690761e-57a4-47b5-b307-a3230e278da9" ] } ], "mendeley" : { "formattedCitation" : "(Vainionp\u00e4\u00e4 et al. 2013)", "plainTextFormattedCitation" : "(Vainionp\u00e4\u00e4 et al. 2013)", "previouslyFormattedCitation" : "(Vainionp\u00e4\u00e4 et al. 2013)" }, "properties" : { "noteIndex" : 0 }, "schema" : "https://github.com/citation-style-language/schema/raw/master/csl-citation.json" }</w:instrText>
      </w:r>
      <w:r w:rsidRPr="00065198">
        <w:rPr>
          <w:rFonts w:cs="Arial"/>
          <w:sz w:val="24"/>
          <w:szCs w:val="24"/>
          <w:lang w:val="en-GB"/>
        </w:rPr>
        <w:fldChar w:fldCharType="separate"/>
      </w:r>
      <w:r w:rsidR="00BB2DDA" w:rsidRPr="00065198">
        <w:rPr>
          <w:rFonts w:cs="Arial"/>
          <w:noProof/>
          <w:sz w:val="24"/>
          <w:szCs w:val="24"/>
          <w:lang w:val="es-MX"/>
        </w:rPr>
        <w:t xml:space="preserve">Vainionpää </w:t>
      </w:r>
      <w:r w:rsidR="00A916C9" w:rsidRPr="00065198">
        <w:rPr>
          <w:rFonts w:cs="Arial"/>
          <w:i/>
          <w:noProof/>
          <w:sz w:val="24"/>
          <w:szCs w:val="24"/>
          <w:lang w:val="es-MX"/>
        </w:rPr>
        <w:t>et al.</w:t>
      </w:r>
      <w:r w:rsidR="00BB2DDA" w:rsidRPr="00065198">
        <w:rPr>
          <w:rFonts w:cs="Arial"/>
          <w:noProof/>
          <w:sz w:val="24"/>
          <w:szCs w:val="24"/>
          <w:lang w:val="es-MX"/>
        </w:rPr>
        <w:t xml:space="preserve"> </w:t>
      </w:r>
      <w:r w:rsidR="00A916C9" w:rsidRPr="00065198">
        <w:rPr>
          <w:rFonts w:cs="Arial"/>
          <w:noProof/>
          <w:sz w:val="24"/>
          <w:szCs w:val="24"/>
          <w:lang w:val="es-MX"/>
        </w:rPr>
        <w:t>(</w:t>
      </w:r>
      <w:r w:rsidR="00BB2DDA" w:rsidRPr="00065198">
        <w:rPr>
          <w:rFonts w:cs="Arial"/>
          <w:noProof/>
          <w:sz w:val="24"/>
          <w:szCs w:val="24"/>
          <w:lang w:val="es-MX"/>
        </w:rPr>
        <w:t>2013)</w:t>
      </w:r>
      <w:r w:rsidRPr="00065198">
        <w:rPr>
          <w:rFonts w:cs="Arial"/>
          <w:sz w:val="24"/>
          <w:szCs w:val="24"/>
          <w:lang w:val="en-GB"/>
        </w:rPr>
        <w:fldChar w:fldCharType="end"/>
      </w:r>
      <w:r w:rsidR="00A916C9" w:rsidRPr="00065198">
        <w:rPr>
          <w:rFonts w:cs="Arial"/>
          <w:sz w:val="24"/>
          <w:szCs w:val="24"/>
          <w:lang w:val="es-MX"/>
        </w:rPr>
        <w:t xml:space="preserve">, indagaron sobre </w:t>
      </w:r>
      <w:r w:rsidR="00BB2DDA" w:rsidRPr="00065198">
        <w:rPr>
          <w:rFonts w:cs="Arial"/>
          <w:sz w:val="24"/>
          <w:szCs w:val="24"/>
          <w:lang w:val="es-MX"/>
        </w:rPr>
        <w:t xml:space="preserve">las concentraciones plasmáticas del fármaco </w:t>
      </w:r>
      <w:r w:rsidR="00D466A9" w:rsidRPr="00065198">
        <w:rPr>
          <w:rFonts w:cs="Arial"/>
          <w:sz w:val="24"/>
          <w:szCs w:val="24"/>
          <w:lang w:val="es-MX"/>
        </w:rPr>
        <w:t xml:space="preserve">antagonista </w:t>
      </w:r>
      <w:r w:rsidR="00D466A9" w:rsidRPr="00BF1B18">
        <w:rPr>
          <w:rFonts w:cs="Arial"/>
          <w:color w:val="000000" w:themeColor="text1"/>
          <w:sz w:val="24"/>
          <w:szCs w:val="24"/>
          <w:lang w:val="es-MX"/>
        </w:rPr>
        <w:t xml:space="preserve">alfa-2-adrenérgico </w:t>
      </w:r>
      <w:r w:rsidR="00D466A9" w:rsidRPr="00065198">
        <w:rPr>
          <w:rFonts w:cs="Arial"/>
          <w:sz w:val="24"/>
          <w:szCs w:val="24"/>
          <w:lang w:val="es-MX"/>
        </w:rPr>
        <w:t>MK-467 (anteriormente conocido como L-659'066),</w:t>
      </w:r>
      <w:r w:rsidR="00BB2DDA" w:rsidRPr="00065198">
        <w:rPr>
          <w:rFonts w:cs="Arial"/>
          <w:sz w:val="24"/>
          <w:szCs w:val="24"/>
          <w:lang w:val="es-MX"/>
        </w:rPr>
        <w:t xml:space="preserve"> </w:t>
      </w:r>
      <w:r w:rsidR="00D466A9" w:rsidRPr="00065198">
        <w:rPr>
          <w:rFonts w:cs="Arial"/>
          <w:sz w:val="24"/>
          <w:szCs w:val="24"/>
          <w:lang w:val="es-MX"/>
        </w:rPr>
        <w:t>su</w:t>
      </w:r>
      <w:r w:rsidR="00BB2DDA" w:rsidRPr="00065198">
        <w:rPr>
          <w:rFonts w:cs="Arial"/>
          <w:sz w:val="24"/>
          <w:szCs w:val="24"/>
          <w:lang w:val="es-MX"/>
        </w:rPr>
        <w:t xml:space="preserve"> efecto </w:t>
      </w:r>
      <w:r w:rsidR="00D466A9" w:rsidRPr="00065198">
        <w:rPr>
          <w:rFonts w:cs="Arial"/>
          <w:sz w:val="24"/>
          <w:szCs w:val="24"/>
          <w:lang w:val="es-MX"/>
        </w:rPr>
        <w:t>sedante a nivel periférico</w:t>
      </w:r>
      <w:r w:rsidR="00C10CD6" w:rsidRPr="00065198">
        <w:rPr>
          <w:rFonts w:cs="Arial"/>
          <w:sz w:val="24"/>
          <w:szCs w:val="24"/>
          <w:lang w:val="es-MX"/>
        </w:rPr>
        <w:t xml:space="preserve"> </w:t>
      </w:r>
      <w:r w:rsidR="00BB2DDA" w:rsidRPr="00065198">
        <w:rPr>
          <w:rFonts w:cs="Arial"/>
          <w:sz w:val="24"/>
          <w:szCs w:val="24"/>
          <w:lang w:val="es-MX"/>
        </w:rPr>
        <w:t xml:space="preserve">y </w:t>
      </w:r>
      <w:r w:rsidR="00D466A9" w:rsidRPr="00065198">
        <w:rPr>
          <w:rFonts w:cs="Arial"/>
          <w:sz w:val="24"/>
          <w:szCs w:val="24"/>
          <w:lang w:val="es-MX"/>
        </w:rPr>
        <w:t xml:space="preserve">sobre </w:t>
      </w:r>
      <w:r w:rsidR="00BB2DDA" w:rsidRPr="00065198">
        <w:rPr>
          <w:rFonts w:cs="Arial"/>
          <w:sz w:val="24"/>
          <w:szCs w:val="24"/>
          <w:lang w:val="es-MX"/>
        </w:rPr>
        <w:t>la motilidad intestinal en ca</w:t>
      </w:r>
      <w:r w:rsidR="00C10CD6" w:rsidRPr="00065198">
        <w:rPr>
          <w:rFonts w:cs="Arial"/>
          <w:sz w:val="24"/>
          <w:szCs w:val="24"/>
          <w:lang w:val="es-MX"/>
        </w:rPr>
        <w:t xml:space="preserve">ballos sedados con </w:t>
      </w:r>
      <w:r w:rsidR="00B56224">
        <w:rPr>
          <w:rFonts w:cs="Arial"/>
          <w:sz w:val="24"/>
          <w:szCs w:val="24"/>
          <w:lang w:val="es-MX"/>
        </w:rPr>
        <w:t>DET</w:t>
      </w:r>
      <w:r w:rsidR="00C10CD6" w:rsidRPr="00065198">
        <w:rPr>
          <w:rFonts w:cs="Arial"/>
          <w:sz w:val="24"/>
          <w:szCs w:val="24"/>
          <w:lang w:val="es-MX"/>
        </w:rPr>
        <w:t xml:space="preserve"> </w:t>
      </w:r>
      <w:r w:rsidR="00D466A9" w:rsidRPr="00065198">
        <w:rPr>
          <w:rFonts w:cs="Arial"/>
          <w:sz w:val="24"/>
          <w:szCs w:val="24"/>
          <w:lang w:val="es-MX"/>
        </w:rPr>
        <w:t>administrada vía</w:t>
      </w:r>
      <w:r w:rsidR="00BB2DDA" w:rsidRPr="00065198">
        <w:rPr>
          <w:rFonts w:cs="Arial"/>
          <w:sz w:val="24"/>
          <w:szCs w:val="24"/>
          <w:lang w:val="es-MX"/>
        </w:rPr>
        <w:t xml:space="preserve"> intravenosa.</w:t>
      </w:r>
      <w:r w:rsidR="00C10CD6" w:rsidRPr="00065198">
        <w:rPr>
          <w:rFonts w:cs="Arial"/>
          <w:sz w:val="24"/>
          <w:szCs w:val="24"/>
          <w:lang w:val="es-MX"/>
        </w:rPr>
        <w:t xml:space="preserve"> </w:t>
      </w:r>
      <w:r w:rsidR="00D466A9" w:rsidRPr="00065198">
        <w:rPr>
          <w:rFonts w:cs="Arial"/>
          <w:sz w:val="24"/>
          <w:szCs w:val="24"/>
          <w:lang w:val="es-MX"/>
        </w:rPr>
        <w:t xml:space="preserve">En su estudio </w:t>
      </w:r>
      <w:r w:rsidR="00BB2DDA" w:rsidRPr="00065198">
        <w:rPr>
          <w:rFonts w:cs="Arial"/>
          <w:sz w:val="24"/>
          <w:szCs w:val="24"/>
          <w:lang w:val="es-MX"/>
        </w:rPr>
        <w:t>utilizaron seis ye</w:t>
      </w:r>
      <w:r w:rsidR="00C10CD6" w:rsidRPr="00065198">
        <w:rPr>
          <w:rFonts w:cs="Arial"/>
          <w:sz w:val="24"/>
          <w:szCs w:val="24"/>
          <w:lang w:val="es-MX"/>
        </w:rPr>
        <w:t xml:space="preserve">guas </w:t>
      </w:r>
      <w:r w:rsidR="00660820">
        <w:rPr>
          <w:rFonts w:cs="Arial"/>
          <w:sz w:val="24"/>
          <w:szCs w:val="24"/>
          <w:lang w:val="es-MX"/>
        </w:rPr>
        <w:t>clí</w:t>
      </w:r>
      <w:r w:rsidR="00D466A9" w:rsidRPr="00065198">
        <w:rPr>
          <w:rFonts w:cs="Arial"/>
          <w:sz w:val="24"/>
          <w:szCs w:val="24"/>
          <w:lang w:val="es-MX"/>
        </w:rPr>
        <w:t xml:space="preserve">nicamente </w:t>
      </w:r>
      <w:r w:rsidR="00C10CD6" w:rsidRPr="00065198">
        <w:rPr>
          <w:rFonts w:cs="Arial"/>
          <w:sz w:val="24"/>
          <w:szCs w:val="24"/>
          <w:lang w:val="es-MX"/>
        </w:rPr>
        <w:t>saludables</w:t>
      </w:r>
      <w:r w:rsidR="00660820">
        <w:rPr>
          <w:rFonts w:cs="Arial"/>
          <w:sz w:val="24"/>
          <w:szCs w:val="24"/>
          <w:lang w:val="es-MX"/>
        </w:rPr>
        <w:t>, l</w:t>
      </w:r>
      <w:r w:rsidR="00BB2DDA" w:rsidRPr="00065198">
        <w:rPr>
          <w:rFonts w:cs="Arial"/>
          <w:sz w:val="24"/>
          <w:szCs w:val="24"/>
          <w:lang w:val="es-MX"/>
        </w:rPr>
        <w:t xml:space="preserve">a profundidad de la sedación, sonidos intestinales, actitud, postura, altura de la cabeza, apertura de los párpados y el movimiento de las orejas </w:t>
      </w:r>
      <w:r w:rsidR="00D466A9" w:rsidRPr="00065198">
        <w:rPr>
          <w:rFonts w:cs="Arial"/>
          <w:sz w:val="24"/>
          <w:szCs w:val="24"/>
          <w:lang w:val="es-MX"/>
        </w:rPr>
        <w:t>fue</w:t>
      </w:r>
      <w:r w:rsidR="005652AD" w:rsidRPr="00065198">
        <w:rPr>
          <w:rFonts w:cs="Arial"/>
          <w:sz w:val="24"/>
          <w:szCs w:val="24"/>
          <w:lang w:val="es-MX"/>
        </w:rPr>
        <w:t>ron registrados</w:t>
      </w:r>
      <w:r w:rsidR="00D466A9" w:rsidRPr="00065198">
        <w:rPr>
          <w:rFonts w:cs="Arial"/>
          <w:sz w:val="24"/>
          <w:szCs w:val="24"/>
          <w:lang w:val="es-MX"/>
        </w:rPr>
        <w:t xml:space="preserve"> </w:t>
      </w:r>
      <w:r w:rsidR="00BB2DDA" w:rsidRPr="00065198">
        <w:rPr>
          <w:rFonts w:cs="Arial"/>
          <w:sz w:val="24"/>
          <w:szCs w:val="24"/>
          <w:lang w:val="es-MX"/>
        </w:rPr>
        <w:t>antes y después del tratamiento.</w:t>
      </w:r>
      <w:r w:rsidR="00D466A9" w:rsidRPr="00065198">
        <w:rPr>
          <w:rFonts w:cs="Arial"/>
          <w:sz w:val="24"/>
          <w:szCs w:val="24"/>
          <w:lang w:val="es-MX"/>
        </w:rPr>
        <w:t xml:space="preserve"> </w:t>
      </w:r>
      <w:r w:rsidR="005652AD" w:rsidRPr="00065198">
        <w:rPr>
          <w:rFonts w:cs="Arial"/>
          <w:sz w:val="24"/>
          <w:szCs w:val="24"/>
          <w:lang w:val="es-MX"/>
        </w:rPr>
        <w:t xml:space="preserve">Además </w:t>
      </w:r>
      <w:r w:rsidR="00146395" w:rsidRPr="00065198">
        <w:rPr>
          <w:rFonts w:cs="Arial"/>
          <w:sz w:val="24"/>
          <w:szCs w:val="24"/>
          <w:lang w:val="es-MX"/>
        </w:rPr>
        <w:t>realizaron</w:t>
      </w:r>
      <w:r w:rsidR="005652AD" w:rsidRPr="00065198">
        <w:rPr>
          <w:rFonts w:cs="Arial"/>
          <w:sz w:val="24"/>
          <w:szCs w:val="24"/>
          <w:lang w:val="es-MX"/>
        </w:rPr>
        <w:t xml:space="preserve"> un electrocardiograma. Posterior a la toma de muestra </w:t>
      </w:r>
      <w:r w:rsidR="00BB2DDA" w:rsidRPr="00065198">
        <w:rPr>
          <w:rFonts w:cs="Arial"/>
          <w:sz w:val="24"/>
          <w:szCs w:val="24"/>
          <w:lang w:val="es-MX"/>
        </w:rPr>
        <w:t>sang</w:t>
      </w:r>
      <w:r w:rsidR="005652AD" w:rsidRPr="00065198">
        <w:rPr>
          <w:rFonts w:cs="Arial"/>
          <w:sz w:val="24"/>
          <w:szCs w:val="24"/>
          <w:lang w:val="es-MX"/>
        </w:rPr>
        <w:t>uínea, s</w:t>
      </w:r>
      <w:r w:rsidR="00BB2DDA" w:rsidRPr="00065198">
        <w:rPr>
          <w:rFonts w:cs="Arial"/>
          <w:sz w:val="24"/>
          <w:szCs w:val="24"/>
          <w:lang w:val="es-MX"/>
        </w:rPr>
        <w:t>e anali</w:t>
      </w:r>
      <w:r w:rsidR="00C10CD6" w:rsidRPr="00065198">
        <w:rPr>
          <w:rFonts w:cs="Arial"/>
          <w:sz w:val="24"/>
          <w:szCs w:val="24"/>
          <w:lang w:val="es-MX"/>
        </w:rPr>
        <w:t xml:space="preserve">zaron las concentraciones de </w:t>
      </w:r>
      <w:r w:rsidR="00B56224">
        <w:rPr>
          <w:rFonts w:cs="Arial"/>
          <w:sz w:val="24"/>
          <w:szCs w:val="24"/>
          <w:lang w:val="es-MX"/>
        </w:rPr>
        <w:t>DET</w:t>
      </w:r>
      <w:r w:rsidR="00C10CD6" w:rsidRPr="00065198">
        <w:rPr>
          <w:rFonts w:cs="Arial"/>
          <w:sz w:val="24"/>
          <w:szCs w:val="24"/>
          <w:lang w:val="es-MX"/>
        </w:rPr>
        <w:t xml:space="preserve"> y MK467 en plasma. </w:t>
      </w:r>
      <w:r w:rsidR="005652AD" w:rsidRPr="00065198">
        <w:rPr>
          <w:rFonts w:cs="Arial"/>
          <w:sz w:val="24"/>
          <w:szCs w:val="24"/>
          <w:lang w:val="es-MX"/>
        </w:rPr>
        <w:t xml:space="preserve">La dosis utilizada fue de 10 μg/kg </w:t>
      </w:r>
      <w:r w:rsidR="00660820">
        <w:rPr>
          <w:rFonts w:cs="Arial"/>
          <w:sz w:val="24"/>
          <w:szCs w:val="24"/>
          <w:lang w:val="es-MX"/>
        </w:rPr>
        <w:t xml:space="preserve">de </w:t>
      </w:r>
      <w:r w:rsidR="00B56224">
        <w:rPr>
          <w:rFonts w:cs="Arial"/>
          <w:sz w:val="24"/>
          <w:szCs w:val="24"/>
          <w:lang w:val="es-MX"/>
        </w:rPr>
        <w:t>DET</w:t>
      </w:r>
      <w:r w:rsidR="00BB2DDA" w:rsidRPr="00065198">
        <w:rPr>
          <w:rFonts w:cs="Arial"/>
          <w:sz w:val="24"/>
          <w:szCs w:val="24"/>
          <w:lang w:val="es-MX"/>
        </w:rPr>
        <w:t xml:space="preserve"> (Equisedan, Vetcare, Finlandia) </w:t>
      </w:r>
      <w:r w:rsidR="005652AD" w:rsidRPr="00065198">
        <w:rPr>
          <w:rFonts w:cs="Arial"/>
          <w:sz w:val="24"/>
          <w:szCs w:val="24"/>
          <w:lang w:val="es-MX"/>
        </w:rPr>
        <w:t>administrada</w:t>
      </w:r>
      <w:r w:rsidR="00BB2DDA" w:rsidRPr="00065198">
        <w:rPr>
          <w:rFonts w:cs="Arial"/>
          <w:sz w:val="24"/>
          <w:szCs w:val="24"/>
          <w:lang w:val="es-MX"/>
        </w:rPr>
        <w:t xml:space="preserve"> </w:t>
      </w:r>
      <w:r w:rsidR="005652AD" w:rsidRPr="00065198">
        <w:rPr>
          <w:rFonts w:cs="Arial"/>
          <w:sz w:val="24"/>
          <w:szCs w:val="24"/>
          <w:lang w:val="es-MX"/>
        </w:rPr>
        <w:t xml:space="preserve">vía </w:t>
      </w:r>
      <w:r w:rsidR="00660820">
        <w:rPr>
          <w:rFonts w:cs="Arial"/>
          <w:sz w:val="24"/>
          <w:szCs w:val="24"/>
          <w:lang w:val="es-MX"/>
        </w:rPr>
        <w:t>IV sola</w:t>
      </w:r>
      <w:r w:rsidR="00BB2DDA" w:rsidRPr="00065198">
        <w:rPr>
          <w:rFonts w:cs="Arial"/>
          <w:sz w:val="24"/>
          <w:szCs w:val="24"/>
          <w:lang w:val="es-MX"/>
        </w:rPr>
        <w:t xml:space="preserve"> y en combinación con 250 </w:t>
      </w:r>
      <w:r w:rsidR="00BB2DDA" w:rsidRPr="00BF1B18">
        <w:rPr>
          <w:rFonts w:cs="Arial"/>
          <w:color w:val="000000" w:themeColor="text1"/>
          <w:sz w:val="24"/>
          <w:szCs w:val="24"/>
          <w:lang w:val="es-MX"/>
        </w:rPr>
        <w:t xml:space="preserve">μg/kg </w:t>
      </w:r>
      <w:r w:rsidR="00660820">
        <w:rPr>
          <w:rFonts w:cs="Arial"/>
          <w:sz w:val="24"/>
          <w:szCs w:val="24"/>
          <w:lang w:val="es-MX"/>
        </w:rPr>
        <w:t xml:space="preserve">de </w:t>
      </w:r>
      <w:r w:rsidR="00660820" w:rsidRPr="00065198">
        <w:rPr>
          <w:rFonts w:cs="Arial"/>
          <w:sz w:val="24"/>
          <w:szCs w:val="24"/>
          <w:lang w:val="es-MX"/>
        </w:rPr>
        <w:t xml:space="preserve">MK467 </w:t>
      </w:r>
      <w:r w:rsidR="00BB2DDA" w:rsidRPr="00065198">
        <w:rPr>
          <w:rFonts w:cs="Arial"/>
          <w:sz w:val="24"/>
          <w:szCs w:val="24"/>
          <w:lang w:val="es-MX"/>
        </w:rPr>
        <w:t xml:space="preserve">(Merck &amp; Co., Inc., </w:t>
      </w:r>
      <w:r w:rsidR="00BB2DDA" w:rsidRPr="0000425B">
        <w:rPr>
          <w:rFonts w:cs="Arial"/>
          <w:color w:val="000000" w:themeColor="text1"/>
          <w:sz w:val="24"/>
          <w:szCs w:val="24"/>
          <w:lang w:val="es-MX"/>
        </w:rPr>
        <w:t xml:space="preserve">NJ, EE.UU.) </w:t>
      </w:r>
      <w:r w:rsidR="00660820" w:rsidRPr="0000425B">
        <w:rPr>
          <w:rFonts w:cs="Arial"/>
          <w:color w:val="000000" w:themeColor="text1"/>
          <w:sz w:val="24"/>
          <w:szCs w:val="24"/>
          <w:lang w:val="es-MX"/>
        </w:rPr>
        <w:t xml:space="preserve">vía </w:t>
      </w:r>
      <w:r w:rsidR="00BB2DDA" w:rsidRPr="0000425B">
        <w:rPr>
          <w:rFonts w:cs="Arial"/>
          <w:color w:val="000000" w:themeColor="text1"/>
          <w:sz w:val="24"/>
          <w:szCs w:val="24"/>
          <w:lang w:val="es-MX"/>
        </w:rPr>
        <w:t xml:space="preserve">IV en un diseño cruzado aleatorizado con 14 días </w:t>
      </w:r>
      <w:r w:rsidR="005652AD" w:rsidRPr="0000425B">
        <w:rPr>
          <w:rFonts w:cs="Arial"/>
          <w:color w:val="000000" w:themeColor="text1"/>
          <w:sz w:val="24"/>
          <w:szCs w:val="24"/>
          <w:lang w:val="es-MX"/>
        </w:rPr>
        <w:t xml:space="preserve">de periodo </w:t>
      </w:r>
      <w:r w:rsidR="005652AD" w:rsidRPr="0000425B">
        <w:rPr>
          <w:rFonts w:cs="Arial"/>
          <w:color w:val="000000" w:themeColor="text1"/>
          <w:sz w:val="24"/>
          <w:szCs w:val="24"/>
          <w:lang w:val="es-MX"/>
        </w:rPr>
        <w:lastRenderedPageBreak/>
        <w:t xml:space="preserve">de lavado </w:t>
      </w:r>
      <w:r w:rsidR="00BB2DDA" w:rsidRPr="0000425B">
        <w:rPr>
          <w:rFonts w:cs="Arial"/>
          <w:color w:val="000000" w:themeColor="text1"/>
          <w:sz w:val="24"/>
          <w:szCs w:val="24"/>
          <w:lang w:val="es-MX"/>
        </w:rPr>
        <w:t>entre tratamientos.</w:t>
      </w:r>
      <w:r w:rsidR="00C10CD6" w:rsidRPr="0000425B">
        <w:rPr>
          <w:rFonts w:cs="Arial"/>
          <w:color w:val="000000" w:themeColor="text1"/>
          <w:sz w:val="24"/>
          <w:szCs w:val="24"/>
          <w:lang w:val="es-MX"/>
        </w:rPr>
        <w:t xml:space="preserve"> </w:t>
      </w:r>
      <w:r w:rsidR="005652AD" w:rsidRPr="0000425B">
        <w:rPr>
          <w:rFonts w:cs="Arial"/>
          <w:color w:val="000000" w:themeColor="text1"/>
          <w:sz w:val="24"/>
          <w:szCs w:val="24"/>
          <w:lang w:val="es-MX"/>
        </w:rPr>
        <w:t>En el</w:t>
      </w:r>
      <w:r w:rsidR="00C12838" w:rsidRPr="0000425B">
        <w:rPr>
          <w:rFonts w:cs="Arial"/>
          <w:color w:val="000000" w:themeColor="text1"/>
          <w:sz w:val="24"/>
          <w:szCs w:val="24"/>
          <w:lang w:val="es-MX"/>
        </w:rPr>
        <w:t xml:space="preserve"> estudio</w:t>
      </w:r>
      <w:r w:rsidR="005652AD" w:rsidRPr="0000425B">
        <w:rPr>
          <w:rFonts w:cs="Arial"/>
          <w:color w:val="000000" w:themeColor="text1"/>
          <w:sz w:val="24"/>
          <w:szCs w:val="24"/>
          <w:lang w:val="es-MX"/>
        </w:rPr>
        <w:t xml:space="preserve"> </w:t>
      </w:r>
      <w:r w:rsidR="005652AD" w:rsidRPr="0000425B">
        <w:rPr>
          <w:rStyle w:val="hps"/>
          <w:rFonts w:cs="Arial"/>
          <w:color w:val="000000" w:themeColor="text1"/>
          <w:sz w:val="24"/>
          <w:szCs w:val="24"/>
        </w:rPr>
        <w:t>s</w:t>
      </w:r>
      <w:r w:rsidR="00BB2DDA" w:rsidRPr="0000425B">
        <w:rPr>
          <w:rStyle w:val="hps"/>
          <w:rFonts w:cs="Arial"/>
          <w:color w:val="000000" w:themeColor="text1"/>
          <w:sz w:val="24"/>
          <w:szCs w:val="24"/>
        </w:rPr>
        <w:t>e detectó una</w:t>
      </w:r>
      <w:r w:rsidR="00BB2DDA" w:rsidRPr="0000425B">
        <w:rPr>
          <w:rFonts w:cs="Arial"/>
          <w:color w:val="000000" w:themeColor="text1"/>
          <w:sz w:val="24"/>
          <w:szCs w:val="24"/>
        </w:rPr>
        <w:t xml:space="preserve"> </w:t>
      </w:r>
      <w:r w:rsidR="00BB2DDA" w:rsidRPr="0000425B">
        <w:rPr>
          <w:rStyle w:val="hps"/>
          <w:rFonts w:cs="Arial"/>
          <w:color w:val="000000" w:themeColor="text1"/>
          <w:sz w:val="24"/>
          <w:szCs w:val="24"/>
        </w:rPr>
        <w:t>reducción significativa</w:t>
      </w:r>
      <w:r w:rsidR="00BB2DDA" w:rsidRPr="0000425B">
        <w:rPr>
          <w:rFonts w:cs="Arial"/>
          <w:color w:val="000000" w:themeColor="text1"/>
          <w:sz w:val="24"/>
          <w:szCs w:val="24"/>
        </w:rPr>
        <w:t xml:space="preserve"> </w:t>
      </w:r>
      <w:r w:rsidR="00BB2DDA" w:rsidRPr="0000425B">
        <w:rPr>
          <w:rStyle w:val="hps"/>
          <w:rFonts w:cs="Arial"/>
          <w:color w:val="000000" w:themeColor="text1"/>
          <w:sz w:val="24"/>
          <w:szCs w:val="24"/>
        </w:rPr>
        <w:t>de la FC</w:t>
      </w:r>
      <w:r w:rsidR="00BB2DDA" w:rsidRPr="0000425B">
        <w:rPr>
          <w:rFonts w:cs="Arial"/>
          <w:color w:val="000000" w:themeColor="text1"/>
          <w:sz w:val="24"/>
          <w:szCs w:val="24"/>
        </w:rPr>
        <w:t xml:space="preserve"> </w:t>
      </w:r>
      <w:r w:rsidR="00C10CD6" w:rsidRPr="0000425B">
        <w:rPr>
          <w:rStyle w:val="hps"/>
          <w:rFonts w:cs="Arial"/>
          <w:color w:val="000000" w:themeColor="text1"/>
          <w:sz w:val="24"/>
          <w:szCs w:val="24"/>
        </w:rPr>
        <w:t xml:space="preserve">después de la </w:t>
      </w:r>
      <w:r w:rsidR="005652AD" w:rsidRPr="0000425B">
        <w:rPr>
          <w:rStyle w:val="hps"/>
          <w:rFonts w:cs="Arial"/>
          <w:color w:val="000000" w:themeColor="text1"/>
          <w:sz w:val="24"/>
          <w:szCs w:val="24"/>
        </w:rPr>
        <w:t xml:space="preserve">administración de la </w:t>
      </w:r>
      <w:r w:rsidR="00B56224" w:rsidRPr="0000425B">
        <w:rPr>
          <w:rStyle w:val="hps"/>
          <w:rFonts w:cs="Arial"/>
          <w:color w:val="000000" w:themeColor="text1"/>
          <w:sz w:val="24"/>
          <w:szCs w:val="24"/>
        </w:rPr>
        <w:t>DET</w:t>
      </w:r>
      <w:r w:rsidR="00BB2DDA" w:rsidRPr="0000425B">
        <w:rPr>
          <w:rFonts w:cs="Arial"/>
          <w:color w:val="000000" w:themeColor="text1"/>
          <w:sz w:val="24"/>
          <w:szCs w:val="24"/>
        </w:rPr>
        <w:t xml:space="preserve">, </w:t>
      </w:r>
      <w:r w:rsidR="00BB2DDA" w:rsidRPr="0000425B">
        <w:rPr>
          <w:rStyle w:val="hps"/>
          <w:rFonts w:cs="Arial"/>
          <w:color w:val="000000" w:themeColor="text1"/>
          <w:sz w:val="24"/>
          <w:szCs w:val="24"/>
        </w:rPr>
        <w:t xml:space="preserve">y </w:t>
      </w:r>
      <w:r w:rsidR="005652AD" w:rsidRPr="0000425B">
        <w:rPr>
          <w:rStyle w:val="hps"/>
          <w:rFonts w:cs="Arial"/>
          <w:color w:val="000000" w:themeColor="text1"/>
          <w:sz w:val="24"/>
          <w:szCs w:val="24"/>
        </w:rPr>
        <w:t xml:space="preserve">la frecuencia respiratoria </w:t>
      </w:r>
      <w:r w:rsidR="00BB2DDA" w:rsidRPr="0000425B">
        <w:rPr>
          <w:rStyle w:val="hps"/>
          <w:rFonts w:cs="Arial"/>
          <w:color w:val="000000" w:themeColor="text1"/>
          <w:sz w:val="24"/>
          <w:szCs w:val="24"/>
        </w:rPr>
        <w:t>fue significativamente mayor</w:t>
      </w:r>
      <w:r w:rsidR="00BB2DDA" w:rsidRPr="0000425B">
        <w:rPr>
          <w:rFonts w:cs="Arial"/>
          <w:color w:val="000000" w:themeColor="text1"/>
          <w:sz w:val="24"/>
          <w:szCs w:val="24"/>
        </w:rPr>
        <w:t xml:space="preserve"> </w:t>
      </w:r>
      <w:r w:rsidR="00BB2DDA" w:rsidRPr="0000425B">
        <w:rPr>
          <w:rStyle w:val="hps"/>
          <w:rFonts w:cs="Arial"/>
          <w:color w:val="000000" w:themeColor="text1"/>
          <w:sz w:val="24"/>
          <w:szCs w:val="24"/>
        </w:rPr>
        <w:t>después de</w:t>
      </w:r>
      <w:r w:rsidR="00BB2DDA" w:rsidRPr="0000425B">
        <w:rPr>
          <w:rFonts w:cs="Arial"/>
          <w:color w:val="000000" w:themeColor="text1"/>
          <w:sz w:val="24"/>
          <w:szCs w:val="24"/>
        </w:rPr>
        <w:t xml:space="preserve"> </w:t>
      </w:r>
      <w:r w:rsidR="005652AD" w:rsidRPr="0000425B">
        <w:rPr>
          <w:rFonts w:cs="Arial"/>
          <w:color w:val="000000" w:themeColor="text1"/>
          <w:sz w:val="24"/>
          <w:szCs w:val="24"/>
        </w:rPr>
        <w:t xml:space="preserve">la administración de </w:t>
      </w:r>
      <w:r w:rsidR="00BB2DDA" w:rsidRPr="0000425B">
        <w:rPr>
          <w:rStyle w:val="hps"/>
          <w:rFonts w:cs="Arial"/>
          <w:color w:val="000000" w:themeColor="text1"/>
          <w:sz w:val="24"/>
          <w:szCs w:val="24"/>
        </w:rPr>
        <w:t>DET-</w:t>
      </w:r>
      <w:r w:rsidR="00C10CD6" w:rsidRPr="0000425B">
        <w:rPr>
          <w:rFonts w:cs="Arial"/>
          <w:color w:val="000000" w:themeColor="text1"/>
          <w:sz w:val="24"/>
          <w:szCs w:val="24"/>
        </w:rPr>
        <w:t>MK467</w:t>
      </w:r>
      <w:r w:rsidR="00BB2DDA" w:rsidRPr="0000425B">
        <w:rPr>
          <w:rFonts w:cs="Arial"/>
          <w:color w:val="000000" w:themeColor="text1"/>
          <w:sz w:val="24"/>
          <w:szCs w:val="24"/>
        </w:rPr>
        <w:t>.</w:t>
      </w:r>
      <w:r w:rsidR="005652AD" w:rsidRPr="0000425B">
        <w:rPr>
          <w:rFonts w:cs="Arial"/>
          <w:color w:val="000000" w:themeColor="text1"/>
          <w:sz w:val="24"/>
          <w:szCs w:val="24"/>
        </w:rPr>
        <w:t xml:space="preserve"> </w:t>
      </w:r>
      <w:r w:rsidR="00926800" w:rsidRPr="0000425B">
        <w:rPr>
          <w:rStyle w:val="hps"/>
          <w:color w:val="000000" w:themeColor="text1"/>
          <w:sz w:val="24"/>
          <w:szCs w:val="24"/>
        </w:rPr>
        <w:t>Los investigadores determinaron que la DET-</w:t>
      </w:r>
      <w:r w:rsidR="00BB2DDA" w:rsidRPr="0000425B">
        <w:rPr>
          <w:rStyle w:val="hps"/>
          <w:rFonts w:cs="Arial"/>
          <w:color w:val="000000" w:themeColor="text1"/>
          <w:sz w:val="24"/>
          <w:szCs w:val="24"/>
        </w:rPr>
        <w:t>MK467</w:t>
      </w:r>
      <w:r w:rsidR="00BB2DDA" w:rsidRPr="0000425B">
        <w:rPr>
          <w:rFonts w:cs="Arial"/>
          <w:color w:val="000000" w:themeColor="text1"/>
          <w:sz w:val="24"/>
          <w:szCs w:val="24"/>
        </w:rPr>
        <w:t xml:space="preserve"> </w:t>
      </w:r>
      <w:r w:rsidR="00926800" w:rsidRPr="0000425B">
        <w:rPr>
          <w:rStyle w:val="hps"/>
          <w:rFonts w:cs="Arial"/>
          <w:color w:val="000000" w:themeColor="text1"/>
          <w:sz w:val="24"/>
          <w:szCs w:val="24"/>
        </w:rPr>
        <w:t xml:space="preserve">reducen </w:t>
      </w:r>
      <w:r w:rsidR="00BB2DDA" w:rsidRPr="0000425B">
        <w:rPr>
          <w:rStyle w:val="hps"/>
          <w:rFonts w:cs="Arial"/>
          <w:color w:val="000000" w:themeColor="text1"/>
          <w:sz w:val="24"/>
          <w:szCs w:val="24"/>
        </w:rPr>
        <w:t>la concentración plasmática de</w:t>
      </w:r>
      <w:r w:rsidR="00BB2DDA" w:rsidRPr="0000425B">
        <w:rPr>
          <w:rFonts w:cs="Arial"/>
          <w:color w:val="000000" w:themeColor="text1"/>
          <w:sz w:val="24"/>
          <w:szCs w:val="24"/>
        </w:rPr>
        <w:t xml:space="preserve"> </w:t>
      </w:r>
      <w:r w:rsidR="00926800" w:rsidRPr="0000425B">
        <w:rPr>
          <w:rFonts w:cs="Arial"/>
          <w:color w:val="000000" w:themeColor="text1"/>
          <w:sz w:val="24"/>
          <w:szCs w:val="24"/>
        </w:rPr>
        <w:t xml:space="preserve">la </w:t>
      </w:r>
      <w:r w:rsidR="00BB2DDA" w:rsidRPr="0000425B">
        <w:rPr>
          <w:rStyle w:val="hps"/>
          <w:rFonts w:cs="Arial"/>
          <w:color w:val="000000" w:themeColor="text1"/>
          <w:sz w:val="24"/>
          <w:szCs w:val="24"/>
        </w:rPr>
        <w:t>DET</w:t>
      </w:r>
      <w:r w:rsidR="00926800" w:rsidRPr="0000425B">
        <w:rPr>
          <w:rStyle w:val="hps"/>
          <w:rFonts w:cs="Arial"/>
          <w:color w:val="000000" w:themeColor="text1"/>
          <w:sz w:val="24"/>
          <w:szCs w:val="24"/>
        </w:rPr>
        <w:t xml:space="preserve"> así como el área bajo la curva</w:t>
      </w:r>
      <w:r w:rsidR="00BB2DDA" w:rsidRPr="0000425B">
        <w:rPr>
          <w:rFonts w:cs="Arial"/>
          <w:color w:val="000000" w:themeColor="text1"/>
          <w:sz w:val="24"/>
          <w:szCs w:val="24"/>
        </w:rPr>
        <w:t xml:space="preserve">, </w:t>
      </w:r>
      <w:r w:rsidR="00926800" w:rsidRPr="0000425B">
        <w:rPr>
          <w:rStyle w:val="hps"/>
          <w:rFonts w:cs="Arial"/>
          <w:color w:val="000000" w:themeColor="text1"/>
          <w:sz w:val="24"/>
          <w:szCs w:val="24"/>
        </w:rPr>
        <w:t xml:space="preserve">favorece el incremento en </w:t>
      </w:r>
      <w:r w:rsidR="00BB2DDA" w:rsidRPr="0000425B">
        <w:rPr>
          <w:rStyle w:val="hps"/>
          <w:rFonts w:cs="Arial"/>
          <w:color w:val="000000" w:themeColor="text1"/>
          <w:sz w:val="24"/>
          <w:szCs w:val="24"/>
        </w:rPr>
        <w:t>su</w:t>
      </w:r>
      <w:r w:rsidR="00BB2DDA" w:rsidRPr="0000425B">
        <w:rPr>
          <w:rFonts w:cs="Arial"/>
          <w:color w:val="000000" w:themeColor="text1"/>
          <w:sz w:val="24"/>
          <w:szCs w:val="24"/>
        </w:rPr>
        <w:t xml:space="preserve"> </w:t>
      </w:r>
      <w:r w:rsidR="00BB2DDA" w:rsidRPr="0000425B">
        <w:rPr>
          <w:rStyle w:val="hps"/>
          <w:rFonts w:cs="Arial"/>
          <w:color w:val="000000" w:themeColor="text1"/>
          <w:sz w:val="24"/>
          <w:szCs w:val="24"/>
        </w:rPr>
        <w:t xml:space="preserve">volumen de </w:t>
      </w:r>
      <w:r w:rsidR="00BB2DDA" w:rsidRPr="00065198">
        <w:rPr>
          <w:rStyle w:val="hps"/>
          <w:rFonts w:cs="Arial"/>
          <w:color w:val="222222"/>
          <w:sz w:val="24"/>
          <w:szCs w:val="24"/>
        </w:rPr>
        <w:t>distribución</w:t>
      </w:r>
      <w:r w:rsidR="00BB2DDA" w:rsidRPr="00065198">
        <w:rPr>
          <w:rFonts w:cs="Arial"/>
          <w:color w:val="222222"/>
          <w:sz w:val="24"/>
          <w:szCs w:val="24"/>
        </w:rPr>
        <w:t xml:space="preserve"> </w:t>
      </w:r>
      <w:r w:rsidR="00BB2DDA" w:rsidRPr="00065198">
        <w:rPr>
          <w:rStyle w:val="hps"/>
          <w:rFonts w:cs="Arial"/>
          <w:color w:val="222222"/>
          <w:sz w:val="24"/>
          <w:szCs w:val="24"/>
        </w:rPr>
        <w:t xml:space="preserve">y el </w:t>
      </w:r>
      <w:r w:rsidR="00926800" w:rsidRPr="00065198">
        <w:rPr>
          <w:rStyle w:val="hps"/>
          <w:rFonts w:cs="Arial"/>
          <w:color w:val="222222"/>
          <w:sz w:val="24"/>
          <w:szCs w:val="24"/>
        </w:rPr>
        <w:t xml:space="preserve">periodo de </w:t>
      </w:r>
      <w:r w:rsidR="00BB2DDA" w:rsidRPr="00065198">
        <w:rPr>
          <w:rStyle w:val="hps"/>
          <w:rFonts w:cs="Arial"/>
          <w:color w:val="222222"/>
          <w:sz w:val="24"/>
          <w:szCs w:val="24"/>
        </w:rPr>
        <w:t>aclaramiento</w:t>
      </w:r>
      <w:r w:rsidR="00BB2DDA" w:rsidRPr="00065198">
        <w:rPr>
          <w:rFonts w:cs="Arial"/>
          <w:color w:val="222222"/>
          <w:sz w:val="24"/>
          <w:szCs w:val="24"/>
        </w:rPr>
        <w:t>.</w:t>
      </w:r>
      <w:r w:rsidR="00926800" w:rsidRPr="00065198">
        <w:rPr>
          <w:rFonts w:cs="Arial"/>
          <w:color w:val="222222"/>
          <w:sz w:val="24"/>
          <w:szCs w:val="24"/>
        </w:rPr>
        <w:t xml:space="preserve"> </w:t>
      </w:r>
      <w:r w:rsidR="0054161F" w:rsidRPr="00065198">
        <w:rPr>
          <w:rFonts w:cs="Arial"/>
          <w:sz w:val="24"/>
          <w:szCs w:val="24"/>
          <w:lang w:val="es-MX"/>
        </w:rPr>
        <w:t>Finalmente se identificó que el MK467 no afecta</w:t>
      </w:r>
      <w:r w:rsidR="00BB2DDA" w:rsidRPr="00065198">
        <w:rPr>
          <w:rFonts w:cs="Arial"/>
          <w:sz w:val="24"/>
          <w:szCs w:val="24"/>
          <w:lang w:val="es-MX"/>
        </w:rPr>
        <w:t xml:space="preserve"> la calidad </w:t>
      </w:r>
      <w:r w:rsidR="00C10CD6" w:rsidRPr="00065198">
        <w:rPr>
          <w:rFonts w:cs="Arial"/>
          <w:sz w:val="24"/>
          <w:szCs w:val="24"/>
          <w:lang w:val="es-MX"/>
        </w:rPr>
        <w:t xml:space="preserve">de la sedación inducida por la </w:t>
      </w:r>
      <w:r w:rsidR="00B56224">
        <w:rPr>
          <w:rFonts w:cs="Arial"/>
          <w:sz w:val="24"/>
          <w:szCs w:val="24"/>
          <w:lang w:val="es-MX"/>
        </w:rPr>
        <w:t>DET</w:t>
      </w:r>
      <w:r w:rsidR="00BB2DDA" w:rsidRPr="00065198">
        <w:rPr>
          <w:rFonts w:cs="Arial"/>
          <w:sz w:val="24"/>
          <w:szCs w:val="24"/>
          <w:lang w:val="es-MX"/>
        </w:rPr>
        <w:t xml:space="preserve">, </w:t>
      </w:r>
      <w:r w:rsidR="0054161F" w:rsidRPr="00065198">
        <w:rPr>
          <w:rFonts w:cs="Arial"/>
          <w:sz w:val="24"/>
          <w:szCs w:val="24"/>
          <w:lang w:val="es-MX"/>
        </w:rPr>
        <w:t xml:space="preserve">aunque si reduce la </w:t>
      </w:r>
      <w:r w:rsidR="00BB2DDA" w:rsidRPr="00065198">
        <w:rPr>
          <w:rFonts w:cs="Arial"/>
          <w:sz w:val="24"/>
          <w:szCs w:val="24"/>
          <w:lang w:val="es-MX"/>
        </w:rPr>
        <w:t xml:space="preserve">duración del efecto </w:t>
      </w:r>
      <w:r w:rsidR="0054161F" w:rsidRPr="00065198">
        <w:rPr>
          <w:rFonts w:cs="Arial"/>
          <w:sz w:val="24"/>
          <w:szCs w:val="24"/>
          <w:lang w:val="es-MX"/>
        </w:rPr>
        <w:t>farmacológico</w:t>
      </w:r>
      <w:r w:rsidR="00BB2DDA" w:rsidRPr="00065198">
        <w:rPr>
          <w:rFonts w:cs="Arial"/>
          <w:sz w:val="24"/>
          <w:szCs w:val="24"/>
          <w:lang w:val="es-MX"/>
        </w:rPr>
        <w:t xml:space="preserve">, lo que puede haber sido causado por los efectos del MK467. </w:t>
      </w:r>
      <w:r w:rsidR="0054161F" w:rsidRPr="00065198">
        <w:rPr>
          <w:rFonts w:cs="Arial"/>
          <w:sz w:val="24"/>
          <w:szCs w:val="24"/>
          <w:lang w:val="es-MX"/>
        </w:rPr>
        <w:t xml:space="preserve">En este sentido, los investigadores sugirieron que el </w:t>
      </w:r>
      <w:r w:rsidR="00BB2DDA" w:rsidRPr="00065198">
        <w:rPr>
          <w:rFonts w:cs="Arial"/>
          <w:sz w:val="24"/>
          <w:szCs w:val="24"/>
          <w:lang w:val="es-MX"/>
        </w:rPr>
        <w:t xml:space="preserve">MK467 puede ser clínicamente útil </w:t>
      </w:r>
      <w:r w:rsidR="0054161F" w:rsidRPr="00065198">
        <w:rPr>
          <w:rFonts w:cs="Arial"/>
          <w:sz w:val="24"/>
          <w:szCs w:val="24"/>
          <w:lang w:val="es-MX"/>
        </w:rPr>
        <w:t xml:space="preserve">como agente farmacológico </w:t>
      </w:r>
      <w:r w:rsidR="00660820">
        <w:rPr>
          <w:rFonts w:cs="Arial"/>
          <w:sz w:val="24"/>
          <w:szCs w:val="24"/>
          <w:lang w:val="es-MX"/>
        </w:rPr>
        <w:t>para prevenir</w:t>
      </w:r>
      <w:r w:rsidR="00BB2DDA" w:rsidRPr="00065198">
        <w:rPr>
          <w:rFonts w:cs="Arial"/>
          <w:sz w:val="24"/>
          <w:szCs w:val="24"/>
          <w:lang w:val="es-MX"/>
        </w:rPr>
        <w:t xml:space="preserve"> ciertos efecto</w:t>
      </w:r>
      <w:r w:rsidR="00C10CD6" w:rsidRPr="00065198">
        <w:rPr>
          <w:rFonts w:cs="Arial"/>
          <w:sz w:val="24"/>
          <w:szCs w:val="24"/>
          <w:lang w:val="es-MX"/>
        </w:rPr>
        <w:t xml:space="preserve">s secundarios </w:t>
      </w:r>
      <w:r w:rsidR="00660820">
        <w:rPr>
          <w:rFonts w:cs="Arial"/>
          <w:sz w:val="24"/>
          <w:szCs w:val="24"/>
          <w:lang w:val="es-MX"/>
        </w:rPr>
        <w:t>a nivel periférico</w:t>
      </w:r>
      <w:r w:rsidR="00C10CD6" w:rsidRPr="00065198">
        <w:rPr>
          <w:rFonts w:cs="Arial"/>
          <w:sz w:val="24"/>
          <w:szCs w:val="24"/>
          <w:lang w:val="es-MX"/>
        </w:rPr>
        <w:t xml:space="preserve"> </w:t>
      </w:r>
      <w:r w:rsidR="00660820">
        <w:rPr>
          <w:rFonts w:cs="Arial"/>
          <w:sz w:val="24"/>
          <w:szCs w:val="24"/>
          <w:lang w:val="es-MX"/>
        </w:rPr>
        <w:t xml:space="preserve">causados por la administración de la </w:t>
      </w:r>
      <w:r w:rsidR="00C10CD6" w:rsidRPr="00065198">
        <w:rPr>
          <w:rFonts w:cs="Arial"/>
          <w:sz w:val="24"/>
          <w:szCs w:val="24"/>
          <w:lang w:val="es-MX"/>
        </w:rPr>
        <w:t xml:space="preserve"> </w:t>
      </w:r>
      <w:r w:rsidR="00B56224">
        <w:rPr>
          <w:rFonts w:cs="Arial"/>
          <w:sz w:val="24"/>
          <w:szCs w:val="24"/>
          <w:lang w:val="es-MX"/>
        </w:rPr>
        <w:t>DET</w:t>
      </w:r>
      <w:r w:rsidR="00BB2DDA" w:rsidRPr="00065198">
        <w:rPr>
          <w:rFonts w:cs="Arial"/>
          <w:sz w:val="24"/>
          <w:szCs w:val="24"/>
          <w:lang w:val="es-MX"/>
        </w:rPr>
        <w:t xml:space="preserve"> en caballos.</w:t>
      </w:r>
    </w:p>
    <w:p w:rsidR="009C43ED" w:rsidRPr="00065198" w:rsidRDefault="009C43ED" w:rsidP="00BB2DDA">
      <w:pPr>
        <w:spacing w:line="360" w:lineRule="auto"/>
        <w:rPr>
          <w:rFonts w:cs="Arial"/>
          <w:sz w:val="24"/>
          <w:szCs w:val="24"/>
          <w:lang w:val="es-MX"/>
        </w:rPr>
      </w:pPr>
    </w:p>
    <w:p w:rsidR="009C43ED" w:rsidRPr="007C61CD" w:rsidRDefault="009C43ED" w:rsidP="009C43ED">
      <w:pPr>
        <w:pStyle w:val="Ttulo2"/>
        <w:spacing w:line="360" w:lineRule="auto"/>
        <w:rPr>
          <w:sz w:val="24"/>
          <w:szCs w:val="24"/>
        </w:rPr>
      </w:pPr>
      <w:bookmarkStart w:id="5" w:name="_Toc325709838"/>
      <w:r>
        <w:rPr>
          <w:sz w:val="24"/>
          <w:szCs w:val="24"/>
        </w:rPr>
        <w:t xml:space="preserve">2.- Efecto de la Yohimbina sobre parámetros </w:t>
      </w:r>
      <w:r w:rsidR="00C64F43">
        <w:rPr>
          <w:sz w:val="24"/>
          <w:szCs w:val="24"/>
        </w:rPr>
        <w:t>farmacocinéticos, farmacodinámicos y de comportamiento farmacológico en caballos</w:t>
      </w:r>
      <w:r>
        <w:rPr>
          <w:sz w:val="24"/>
          <w:szCs w:val="24"/>
        </w:rPr>
        <w:t>.</w:t>
      </w:r>
      <w:bookmarkEnd w:id="5"/>
      <w:r>
        <w:rPr>
          <w:sz w:val="24"/>
          <w:szCs w:val="24"/>
        </w:rPr>
        <w:t xml:space="preserve"> </w:t>
      </w:r>
    </w:p>
    <w:p w:rsidR="00A2011E" w:rsidRDefault="0093656D" w:rsidP="00A2011E">
      <w:pPr>
        <w:pStyle w:val="NormalWeb"/>
        <w:spacing w:line="360" w:lineRule="auto"/>
        <w:jc w:val="both"/>
        <w:rPr>
          <w:rFonts w:ascii="Arial" w:hAnsi="Arial" w:cs="Arial"/>
          <w:sz w:val="24"/>
          <w:szCs w:val="24"/>
        </w:rPr>
      </w:pPr>
      <w:r>
        <w:rPr>
          <w:rFonts w:ascii="Arial" w:hAnsi="Arial" w:cs="Arial"/>
          <w:sz w:val="24"/>
          <w:szCs w:val="24"/>
        </w:rPr>
        <w:t>Contados son los</w:t>
      </w:r>
      <w:r w:rsidR="0014068F" w:rsidRPr="00065198">
        <w:rPr>
          <w:rFonts w:ascii="Arial" w:hAnsi="Arial" w:cs="Arial"/>
          <w:sz w:val="24"/>
          <w:szCs w:val="24"/>
        </w:rPr>
        <w:t xml:space="preserve"> artículos especializados </w:t>
      </w:r>
      <w:r>
        <w:rPr>
          <w:rFonts w:ascii="Arial" w:hAnsi="Arial" w:cs="Arial"/>
          <w:sz w:val="24"/>
          <w:szCs w:val="24"/>
        </w:rPr>
        <w:t xml:space="preserve">que </w:t>
      </w:r>
      <w:r w:rsidR="0014068F" w:rsidRPr="00065198">
        <w:rPr>
          <w:rFonts w:ascii="Arial" w:hAnsi="Arial" w:cs="Arial"/>
          <w:sz w:val="24"/>
          <w:szCs w:val="24"/>
        </w:rPr>
        <w:t xml:space="preserve">han </w:t>
      </w:r>
      <w:r>
        <w:rPr>
          <w:rFonts w:ascii="Arial" w:hAnsi="Arial" w:cs="Arial"/>
          <w:sz w:val="24"/>
          <w:szCs w:val="24"/>
        </w:rPr>
        <w:t>caracterizado</w:t>
      </w:r>
      <w:r w:rsidR="0014068F" w:rsidRPr="00065198">
        <w:rPr>
          <w:rFonts w:ascii="Arial" w:hAnsi="Arial" w:cs="Arial"/>
          <w:sz w:val="24"/>
          <w:szCs w:val="24"/>
        </w:rPr>
        <w:t xml:space="preserve"> </w:t>
      </w:r>
      <w:r>
        <w:rPr>
          <w:rFonts w:ascii="Arial" w:hAnsi="Arial" w:cs="Arial"/>
          <w:sz w:val="24"/>
          <w:szCs w:val="24"/>
        </w:rPr>
        <w:t xml:space="preserve">los </w:t>
      </w:r>
      <w:r w:rsidR="0014068F" w:rsidRPr="00065198">
        <w:rPr>
          <w:rFonts w:ascii="Arial" w:hAnsi="Arial" w:cs="Arial"/>
          <w:sz w:val="24"/>
          <w:szCs w:val="24"/>
        </w:rPr>
        <w:t>cambio</w:t>
      </w:r>
      <w:r>
        <w:rPr>
          <w:rFonts w:ascii="Arial" w:hAnsi="Arial" w:cs="Arial"/>
          <w:sz w:val="24"/>
          <w:szCs w:val="24"/>
        </w:rPr>
        <w:t xml:space="preserve">s </w:t>
      </w:r>
      <w:r w:rsidRPr="004D67F3">
        <w:rPr>
          <w:rFonts w:ascii="Arial" w:hAnsi="Arial" w:cs="Arial"/>
          <w:sz w:val="24"/>
          <w:szCs w:val="24"/>
        </w:rPr>
        <w:t xml:space="preserve">farmacocinéticos y farmacodinámicos. El estudio dirigido por </w:t>
      </w:r>
      <w:r w:rsidR="00A2062B" w:rsidRPr="004D67F3">
        <w:rPr>
          <w:rFonts w:ascii="Arial" w:hAnsi="Arial" w:cs="Arial"/>
          <w:sz w:val="24"/>
          <w:szCs w:val="24"/>
          <w:lang w:val="en-US"/>
        </w:rPr>
        <w:fldChar w:fldCharType="begin" w:fldLock="1"/>
      </w:r>
      <w:r w:rsidR="00204D00" w:rsidRPr="004D67F3">
        <w:rPr>
          <w:rFonts w:ascii="Arial" w:hAnsi="Arial" w:cs="Arial"/>
          <w:sz w:val="24"/>
          <w:szCs w:val="24"/>
        </w:rPr>
        <w:instrText>ADDIN CSL_CITATION { "citationItems" : [ { "id" : "ITEM-1", "itemData" : { "DOI" : "10.1111/j.1365-2885.2010.01194.x", "ISSN" : "01407783", "PMID" : "21219345", "abstract" : "Yohimbine is an alpha 2 adrenergic receptor antagonist used most commonly in veterinary medicine to reverse the effects of the alpha 2 receptor agonists, xylazine and detomidine. Most notably, yohimbine has been shown to counteract the CNS depressant effects of alpha 2 receptor agonists in a number of species. The recent identification of a yohimbine positive urine sample collected from a horse racing in California has led to the investigation of the pharmacokinetics of this compound. Eight healthy adult horses received a single intravenous dose of 0.12\u2003mg/kg yohimbine. Blood samples were collected at time 0 (prior to drug administration) and at various times up to 72\u2003h post drug administration. Plasma samples were analyzed using liquid chromatography-mass spectrometry (LC-MS) and data analyzed using both noncompartmental and compartmental analysis. Peak plasma concentration was 114.5\u2003+\u200331.8\u2003ng/mL and occurred at 0.09\u2003+\u20030.03\u2003h. Mean\u2003\u00b1\u2003SD systemic clearance (Cls) and steady-state volume of distribution (Vdss) were 13.5\u2003+\u20032.1\u2003mL/min/kg and 3.3\u2003+\u20031.3\u2003L/kg following noncompartmental analysis. For compartmental analysis, plasma yohimbine vs. time data were best fitted to a two compartment model. Mean\u2003\u00b1\u2003SD Cls and Vdss of yohimbine were 13.6\u2003\u00b1\u20032.0\u2003mL/min/kg and 3.2\u2003\u00b1\u20031.1\u2003L/kg, respectively. Mean\u2003\u00b1\u2003SD terminal elimination half-life was 4.4\u2003\u00b1\u20030.9\u2003h following noncompartmental analysis. Immediately following administration, two horses showed signs of sedation, while the other six appeared behaviorally unaffected. Gastrointestinal sounds were moderately increased compared to baseline while fecal consistency appeared normal.", "author" : [ { "dropping-particle" : "", "family" : "Dimaio Knych", "given" : "H. K.", "non-dropping-particle" : "", "parse-names" : false, "suffix" : "" }, { "dropping-particle" : "", "family" : "Steffey", "given" : "E. P.", "non-dropping-particle" : "", "parse-names" : false, "suffix" : "" }, { "dropping-particle" : "", "family" : "Deuel", "given" : "J. L.", "non-dropping-particle" : "", "parse-names" : false, "suffix" : "" }, { "dropping-particle" : "", "family" : "Shepard", "given" : "R. a.", "non-dropping-particle" : "", "parse-names" : false, "suffix" : "" }, { "dropping-particle" : "", "family" : "Stanley", "given" : "S. D.", "non-dropping-particle" : "", "parse-names" : false, "suffix" : "" } ], "container-title" : "Journal of Veterinary Pharmacology and Therapeutics", "id" : "ITEM-1", "issue" : "1", "issued" : { "date-parts" : [ [ "2011" ] ] }, "page" : "58-63", "title" : "Pharmacokinetics of yohimbine following intravenous administration to horses", "type" : "article-journal", "volume" : "34" }, "uris" : [ "http://www.mendeley.com/documents/?uuid=70cf13dc-bfaa-4fb4-a3a1-bfb670f17d8a" ] } ], "mendeley" : { "formattedCitation" : "(H. K. Dimaio Knych et al. 2011)", "plainTextFormattedCitation" : "(H. K. Dimaio Knych et al. 2011)", "previouslyFormattedCitation" : "(H. K. Dimaio Knych et al. 2011)" }, "properties" : { "noteIndex" : 0 }, "schema" : "https://github.com/citation-style-language/schema/raw/master/csl-citation.json" }</w:instrText>
      </w:r>
      <w:r w:rsidR="00A2062B" w:rsidRPr="004D67F3">
        <w:rPr>
          <w:rFonts w:ascii="Arial" w:hAnsi="Arial" w:cs="Arial"/>
          <w:sz w:val="24"/>
          <w:szCs w:val="24"/>
          <w:lang w:val="en-US"/>
        </w:rPr>
        <w:fldChar w:fldCharType="separate"/>
      </w:r>
      <w:r w:rsidR="00204D00" w:rsidRPr="004D67F3">
        <w:rPr>
          <w:rFonts w:ascii="Arial" w:hAnsi="Arial" w:cs="Arial"/>
          <w:noProof/>
          <w:sz w:val="24"/>
          <w:szCs w:val="24"/>
        </w:rPr>
        <w:t xml:space="preserve">Dimaio Knych </w:t>
      </w:r>
      <w:r w:rsidR="00204D00" w:rsidRPr="004D67F3">
        <w:rPr>
          <w:rFonts w:ascii="Arial" w:hAnsi="Arial" w:cs="Arial"/>
          <w:i/>
          <w:noProof/>
          <w:sz w:val="24"/>
          <w:szCs w:val="24"/>
        </w:rPr>
        <w:t>et al</w:t>
      </w:r>
      <w:r w:rsidR="00204D00" w:rsidRPr="004D67F3">
        <w:rPr>
          <w:rFonts w:ascii="Arial" w:hAnsi="Arial" w:cs="Arial"/>
          <w:noProof/>
          <w:sz w:val="24"/>
          <w:szCs w:val="24"/>
        </w:rPr>
        <w:t xml:space="preserve">. </w:t>
      </w:r>
      <w:r w:rsidRPr="004D67F3">
        <w:rPr>
          <w:rFonts w:ascii="Arial" w:hAnsi="Arial" w:cs="Arial"/>
          <w:noProof/>
          <w:sz w:val="24"/>
          <w:szCs w:val="24"/>
        </w:rPr>
        <w:t>(</w:t>
      </w:r>
      <w:r w:rsidR="00204D00" w:rsidRPr="004D67F3">
        <w:rPr>
          <w:rFonts w:ascii="Arial" w:hAnsi="Arial" w:cs="Arial"/>
          <w:noProof/>
          <w:sz w:val="24"/>
          <w:szCs w:val="24"/>
        </w:rPr>
        <w:t>2011)</w:t>
      </w:r>
      <w:r w:rsidR="00A2062B" w:rsidRPr="004D67F3">
        <w:rPr>
          <w:rFonts w:ascii="Arial" w:hAnsi="Arial" w:cs="Arial"/>
          <w:sz w:val="24"/>
          <w:szCs w:val="24"/>
          <w:lang w:val="en-US"/>
        </w:rPr>
        <w:fldChar w:fldCharType="end"/>
      </w:r>
      <w:r w:rsidR="000D772E" w:rsidRPr="004D67F3">
        <w:rPr>
          <w:rFonts w:ascii="Arial" w:hAnsi="Arial" w:cs="Arial"/>
          <w:sz w:val="24"/>
          <w:szCs w:val="24"/>
        </w:rPr>
        <w:t xml:space="preserve"> </w:t>
      </w:r>
      <w:r w:rsidR="0014068F" w:rsidRPr="004D67F3">
        <w:rPr>
          <w:rFonts w:ascii="Arial" w:hAnsi="Arial" w:cs="Arial"/>
          <w:sz w:val="24"/>
          <w:szCs w:val="24"/>
        </w:rPr>
        <w:t>d</w:t>
      </w:r>
      <w:r w:rsidR="004D67F3" w:rsidRPr="004D67F3">
        <w:rPr>
          <w:rFonts w:ascii="Arial" w:hAnsi="Arial" w:cs="Arial"/>
          <w:sz w:val="24"/>
          <w:szCs w:val="24"/>
        </w:rPr>
        <w:t>eterminaron</w:t>
      </w:r>
      <w:r w:rsidR="00204D00" w:rsidRPr="004D67F3">
        <w:rPr>
          <w:rFonts w:ascii="Arial" w:hAnsi="Arial" w:cs="Arial"/>
          <w:sz w:val="24"/>
          <w:szCs w:val="24"/>
        </w:rPr>
        <w:t xml:space="preserve"> el perfil farmacocinético de </w:t>
      </w:r>
      <w:r w:rsidRPr="004D67F3">
        <w:rPr>
          <w:rFonts w:ascii="Arial" w:hAnsi="Arial" w:cs="Arial"/>
          <w:sz w:val="24"/>
          <w:szCs w:val="24"/>
        </w:rPr>
        <w:t xml:space="preserve">la </w:t>
      </w:r>
      <w:r w:rsidR="00E43E78">
        <w:rPr>
          <w:rFonts w:ascii="Arial" w:hAnsi="Arial" w:cs="Arial"/>
          <w:sz w:val="24"/>
          <w:szCs w:val="24"/>
        </w:rPr>
        <w:t>YOH</w:t>
      </w:r>
      <w:r w:rsidR="00204D00" w:rsidRPr="004D67F3">
        <w:rPr>
          <w:rFonts w:ascii="Arial" w:hAnsi="Arial" w:cs="Arial"/>
          <w:sz w:val="24"/>
          <w:szCs w:val="24"/>
        </w:rPr>
        <w:t xml:space="preserve"> </w:t>
      </w:r>
      <w:r w:rsidRPr="004D67F3">
        <w:rPr>
          <w:rFonts w:ascii="Arial" w:hAnsi="Arial" w:cs="Arial"/>
          <w:sz w:val="24"/>
          <w:szCs w:val="24"/>
        </w:rPr>
        <w:t>cuando fue administrada</w:t>
      </w:r>
      <w:r w:rsidR="00204D00" w:rsidRPr="004D67F3">
        <w:rPr>
          <w:rFonts w:ascii="Arial" w:hAnsi="Arial" w:cs="Arial"/>
          <w:sz w:val="24"/>
          <w:szCs w:val="24"/>
        </w:rPr>
        <w:t xml:space="preserve"> por vía </w:t>
      </w:r>
      <w:r w:rsidRPr="004D67F3">
        <w:rPr>
          <w:rFonts w:ascii="Arial" w:hAnsi="Arial" w:cs="Arial"/>
          <w:sz w:val="24"/>
          <w:szCs w:val="24"/>
        </w:rPr>
        <w:t xml:space="preserve">IV </w:t>
      </w:r>
      <w:r w:rsidR="00204D00" w:rsidRPr="004D67F3">
        <w:rPr>
          <w:rFonts w:ascii="Arial" w:hAnsi="Arial" w:cs="Arial"/>
          <w:sz w:val="24"/>
          <w:szCs w:val="24"/>
        </w:rPr>
        <w:t>en caballo</w:t>
      </w:r>
      <w:r w:rsidRPr="004D67F3">
        <w:rPr>
          <w:rFonts w:ascii="Arial" w:hAnsi="Arial" w:cs="Arial"/>
          <w:sz w:val="24"/>
          <w:szCs w:val="24"/>
        </w:rPr>
        <w:t>s</w:t>
      </w:r>
      <w:r w:rsidR="00204D00" w:rsidRPr="004D67F3">
        <w:rPr>
          <w:rFonts w:ascii="Arial" w:hAnsi="Arial" w:cs="Arial"/>
          <w:sz w:val="24"/>
          <w:szCs w:val="24"/>
        </w:rPr>
        <w:t>.</w:t>
      </w:r>
      <w:r w:rsidR="0014068F" w:rsidRPr="004D67F3">
        <w:rPr>
          <w:rFonts w:ascii="Arial" w:hAnsi="Arial" w:cs="Arial"/>
          <w:sz w:val="24"/>
          <w:szCs w:val="24"/>
        </w:rPr>
        <w:t xml:space="preserve"> </w:t>
      </w:r>
      <w:r w:rsidRPr="004D67F3">
        <w:rPr>
          <w:rFonts w:ascii="Arial" w:hAnsi="Arial" w:cs="Arial"/>
          <w:sz w:val="24"/>
          <w:szCs w:val="24"/>
        </w:rPr>
        <w:t>En el experimento s</w:t>
      </w:r>
      <w:r w:rsidR="0014068F" w:rsidRPr="004D67F3">
        <w:rPr>
          <w:rFonts w:ascii="Arial" w:hAnsi="Arial" w:cs="Arial"/>
          <w:sz w:val="24"/>
          <w:szCs w:val="24"/>
        </w:rPr>
        <w:t>e util</w:t>
      </w:r>
      <w:r w:rsidR="004D67F3" w:rsidRPr="004D67F3">
        <w:rPr>
          <w:rFonts w:ascii="Arial" w:hAnsi="Arial" w:cs="Arial"/>
          <w:sz w:val="24"/>
          <w:szCs w:val="24"/>
        </w:rPr>
        <w:t>izaro</w:t>
      </w:r>
      <w:r w:rsidR="0014068F" w:rsidRPr="004D67F3">
        <w:rPr>
          <w:rFonts w:ascii="Arial" w:hAnsi="Arial" w:cs="Arial"/>
          <w:sz w:val="24"/>
          <w:szCs w:val="24"/>
        </w:rPr>
        <w:t>n o</w:t>
      </w:r>
      <w:r w:rsidR="00204D00" w:rsidRPr="004D67F3">
        <w:rPr>
          <w:rFonts w:ascii="Arial" w:hAnsi="Arial" w:cs="Arial"/>
          <w:sz w:val="24"/>
          <w:szCs w:val="24"/>
        </w:rPr>
        <w:t>cho caballos adultos sanos</w:t>
      </w:r>
      <w:r w:rsidR="0014068F" w:rsidRPr="004D67F3">
        <w:rPr>
          <w:rFonts w:ascii="Arial" w:hAnsi="Arial" w:cs="Arial"/>
          <w:sz w:val="24"/>
          <w:szCs w:val="24"/>
        </w:rPr>
        <w:t>,</w:t>
      </w:r>
      <w:r w:rsidRPr="004D67F3">
        <w:rPr>
          <w:rFonts w:ascii="Arial" w:hAnsi="Arial" w:cs="Arial"/>
          <w:sz w:val="24"/>
          <w:szCs w:val="24"/>
        </w:rPr>
        <w:t xml:space="preserve"> no</w:t>
      </w:r>
      <w:r>
        <w:rPr>
          <w:rFonts w:ascii="Arial" w:hAnsi="Arial" w:cs="Arial"/>
          <w:sz w:val="24"/>
          <w:szCs w:val="24"/>
        </w:rPr>
        <w:t xml:space="preserve"> medicados. Se obtuvieron </w:t>
      </w:r>
      <w:r w:rsidR="00204D00" w:rsidRPr="00065198">
        <w:rPr>
          <w:rFonts w:ascii="Arial" w:hAnsi="Arial" w:cs="Arial"/>
          <w:sz w:val="24"/>
          <w:szCs w:val="24"/>
        </w:rPr>
        <w:t xml:space="preserve">muestras de sangre </w:t>
      </w:r>
      <w:r>
        <w:rPr>
          <w:rFonts w:ascii="Arial" w:hAnsi="Arial" w:cs="Arial"/>
          <w:sz w:val="24"/>
          <w:szCs w:val="24"/>
        </w:rPr>
        <w:t xml:space="preserve">que fueron procesadas en diferentes momentos </w:t>
      </w:r>
      <w:r w:rsidR="0014068F" w:rsidRPr="00065198">
        <w:rPr>
          <w:rFonts w:ascii="Arial" w:hAnsi="Arial" w:cs="Arial"/>
          <w:sz w:val="24"/>
          <w:szCs w:val="24"/>
        </w:rPr>
        <w:t xml:space="preserve">antes y </w:t>
      </w:r>
      <w:r w:rsidR="00204D00" w:rsidRPr="00065198">
        <w:rPr>
          <w:rFonts w:ascii="Arial" w:hAnsi="Arial" w:cs="Arial"/>
          <w:sz w:val="24"/>
          <w:szCs w:val="24"/>
        </w:rPr>
        <w:t>hasta 72 h</w:t>
      </w:r>
      <w:r>
        <w:rPr>
          <w:rFonts w:ascii="Arial" w:hAnsi="Arial" w:cs="Arial"/>
          <w:sz w:val="24"/>
          <w:szCs w:val="24"/>
        </w:rPr>
        <w:t>o</w:t>
      </w:r>
      <w:r w:rsidR="0014068F" w:rsidRPr="00065198">
        <w:rPr>
          <w:rFonts w:ascii="Arial" w:hAnsi="Arial" w:cs="Arial"/>
          <w:sz w:val="24"/>
          <w:szCs w:val="24"/>
        </w:rPr>
        <w:t>r</w:t>
      </w:r>
      <w:r>
        <w:rPr>
          <w:rFonts w:ascii="Arial" w:hAnsi="Arial" w:cs="Arial"/>
          <w:sz w:val="24"/>
          <w:szCs w:val="24"/>
        </w:rPr>
        <w:t>as</w:t>
      </w:r>
      <w:r w:rsidR="00204D00" w:rsidRPr="00065198">
        <w:rPr>
          <w:rFonts w:ascii="Arial" w:hAnsi="Arial" w:cs="Arial"/>
          <w:sz w:val="24"/>
          <w:szCs w:val="24"/>
        </w:rPr>
        <w:t xml:space="preserve"> después de la administración de</w:t>
      </w:r>
      <w:r>
        <w:rPr>
          <w:rFonts w:ascii="Arial" w:hAnsi="Arial" w:cs="Arial"/>
          <w:sz w:val="24"/>
          <w:szCs w:val="24"/>
        </w:rPr>
        <w:t xml:space="preserve"> lo</w:t>
      </w:r>
      <w:r w:rsidR="0014068F" w:rsidRPr="00065198">
        <w:rPr>
          <w:rFonts w:ascii="Arial" w:hAnsi="Arial" w:cs="Arial"/>
          <w:sz w:val="24"/>
          <w:szCs w:val="24"/>
        </w:rPr>
        <w:t>s</w:t>
      </w:r>
      <w:r w:rsidR="00204D00" w:rsidRPr="00065198">
        <w:rPr>
          <w:rFonts w:ascii="Arial" w:hAnsi="Arial" w:cs="Arial"/>
          <w:sz w:val="24"/>
          <w:szCs w:val="24"/>
        </w:rPr>
        <w:t xml:space="preserve"> </w:t>
      </w:r>
      <w:r>
        <w:rPr>
          <w:rFonts w:ascii="Arial" w:hAnsi="Arial" w:cs="Arial"/>
          <w:sz w:val="24"/>
          <w:szCs w:val="24"/>
        </w:rPr>
        <w:t>fármacos</w:t>
      </w:r>
      <w:r w:rsidR="00204D00" w:rsidRPr="00065198">
        <w:rPr>
          <w:rFonts w:ascii="Arial" w:hAnsi="Arial" w:cs="Arial"/>
          <w:sz w:val="24"/>
          <w:szCs w:val="24"/>
        </w:rPr>
        <w:t xml:space="preserve">. Las muestras de </w:t>
      </w:r>
      <w:r>
        <w:rPr>
          <w:rFonts w:ascii="Arial" w:hAnsi="Arial" w:cs="Arial"/>
          <w:sz w:val="24"/>
          <w:szCs w:val="24"/>
        </w:rPr>
        <w:t xml:space="preserve">sangre en </w:t>
      </w:r>
      <w:r w:rsidR="00204D00" w:rsidRPr="00065198">
        <w:rPr>
          <w:rFonts w:ascii="Arial" w:hAnsi="Arial" w:cs="Arial"/>
          <w:sz w:val="24"/>
          <w:szCs w:val="24"/>
        </w:rPr>
        <w:t xml:space="preserve">plasma se analizaron mediante </w:t>
      </w:r>
      <w:r>
        <w:rPr>
          <w:rFonts w:ascii="Arial" w:hAnsi="Arial" w:cs="Arial"/>
          <w:sz w:val="24"/>
          <w:szCs w:val="24"/>
        </w:rPr>
        <w:t xml:space="preserve">cromatografía </w:t>
      </w:r>
      <w:r w:rsidR="006F0A31" w:rsidRPr="00065198">
        <w:rPr>
          <w:rFonts w:ascii="Arial" w:hAnsi="Arial" w:cs="Arial"/>
          <w:sz w:val="24"/>
          <w:szCs w:val="24"/>
        </w:rPr>
        <w:t xml:space="preserve">líquida </w:t>
      </w:r>
      <w:r w:rsidR="006F0A31">
        <w:rPr>
          <w:rFonts w:ascii="Arial" w:hAnsi="Arial" w:cs="Arial"/>
          <w:sz w:val="24"/>
          <w:szCs w:val="24"/>
        </w:rPr>
        <w:t xml:space="preserve">por espectrometría de masas </w:t>
      </w:r>
      <w:r w:rsidR="00204D00" w:rsidRPr="00065198">
        <w:rPr>
          <w:rFonts w:ascii="Arial" w:hAnsi="Arial" w:cs="Arial"/>
          <w:sz w:val="24"/>
          <w:szCs w:val="24"/>
        </w:rPr>
        <w:t xml:space="preserve">y los datos </w:t>
      </w:r>
      <w:r w:rsidR="006F0A31">
        <w:rPr>
          <w:rFonts w:ascii="Arial" w:hAnsi="Arial" w:cs="Arial"/>
          <w:sz w:val="24"/>
          <w:szCs w:val="24"/>
        </w:rPr>
        <w:t xml:space="preserve">fueron </w:t>
      </w:r>
      <w:r w:rsidR="00204D00" w:rsidRPr="00065198">
        <w:rPr>
          <w:rFonts w:ascii="Arial" w:hAnsi="Arial" w:cs="Arial"/>
          <w:sz w:val="24"/>
          <w:szCs w:val="24"/>
        </w:rPr>
        <w:t xml:space="preserve">analizados utilizando </w:t>
      </w:r>
      <w:r w:rsidR="006F0A31">
        <w:rPr>
          <w:rFonts w:ascii="Arial" w:hAnsi="Arial" w:cs="Arial"/>
          <w:sz w:val="24"/>
          <w:szCs w:val="24"/>
        </w:rPr>
        <w:t xml:space="preserve">un modelo farmacocinético </w:t>
      </w:r>
      <w:r w:rsidR="00204D00" w:rsidRPr="00065198">
        <w:rPr>
          <w:rFonts w:ascii="Arial" w:hAnsi="Arial" w:cs="Arial"/>
          <w:sz w:val="24"/>
          <w:szCs w:val="24"/>
        </w:rPr>
        <w:t xml:space="preserve">no compartimental y </w:t>
      </w:r>
      <w:r w:rsidR="006F0A31">
        <w:rPr>
          <w:rFonts w:ascii="Arial" w:hAnsi="Arial" w:cs="Arial"/>
          <w:sz w:val="24"/>
          <w:szCs w:val="24"/>
        </w:rPr>
        <w:t xml:space="preserve">otro </w:t>
      </w:r>
      <w:r w:rsidR="00204D00" w:rsidRPr="00065198">
        <w:rPr>
          <w:rFonts w:ascii="Arial" w:hAnsi="Arial" w:cs="Arial"/>
          <w:sz w:val="24"/>
          <w:szCs w:val="24"/>
        </w:rPr>
        <w:t>compartimental.</w:t>
      </w:r>
      <w:r w:rsidR="0014068F" w:rsidRPr="00065198">
        <w:rPr>
          <w:rFonts w:ascii="Arial" w:hAnsi="Arial" w:cs="Arial"/>
          <w:sz w:val="24"/>
          <w:szCs w:val="24"/>
        </w:rPr>
        <w:t xml:space="preserve"> La dosis utilizada en dicho estudio fue de </w:t>
      </w:r>
      <w:r w:rsidR="009B2729" w:rsidRPr="00065198">
        <w:rPr>
          <w:rFonts w:ascii="Arial" w:hAnsi="Arial" w:cs="Arial"/>
          <w:sz w:val="24"/>
          <w:szCs w:val="24"/>
        </w:rPr>
        <w:t xml:space="preserve">0.12 mg/kg </w:t>
      </w:r>
      <w:r w:rsidR="006F0A31">
        <w:rPr>
          <w:rFonts w:ascii="Arial" w:hAnsi="Arial" w:cs="Arial"/>
          <w:sz w:val="24"/>
          <w:szCs w:val="24"/>
        </w:rPr>
        <w:t xml:space="preserve">de </w:t>
      </w:r>
      <w:r w:rsidR="00E43E78">
        <w:rPr>
          <w:rFonts w:ascii="Arial" w:hAnsi="Arial" w:cs="Arial"/>
          <w:sz w:val="24"/>
          <w:szCs w:val="24"/>
        </w:rPr>
        <w:t>YOH</w:t>
      </w:r>
      <w:r w:rsidR="009B2729" w:rsidRPr="00065198">
        <w:rPr>
          <w:rFonts w:ascii="Arial" w:hAnsi="Arial" w:cs="Arial"/>
          <w:sz w:val="24"/>
          <w:szCs w:val="24"/>
        </w:rPr>
        <w:t xml:space="preserve"> (Yobine, Lloyd laboratorios, Shenandoah, IA, EE.UU.)</w:t>
      </w:r>
      <w:r w:rsidR="006F0A31">
        <w:rPr>
          <w:rFonts w:ascii="Arial" w:hAnsi="Arial" w:cs="Arial"/>
          <w:sz w:val="24"/>
          <w:szCs w:val="24"/>
        </w:rPr>
        <w:t xml:space="preserve">, </w:t>
      </w:r>
      <w:r w:rsidR="009B2729" w:rsidRPr="00065198">
        <w:rPr>
          <w:rFonts w:ascii="Arial" w:hAnsi="Arial" w:cs="Arial"/>
          <w:sz w:val="24"/>
          <w:szCs w:val="24"/>
        </w:rPr>
        <w:t xml:space="preserve">dosis </w:t>
      </w:r>
      <w:r w:rsidR="006F0A31">
        <w:rPr>
          <w:rFonts w:ascii="Arial" w:hAnsi="Arial" w:cs="Arial"/>
          <w:sz w:val="24"/>
          <w:szCs w:val="24"/>
        </w:rPr>
        <w:t>que fue administrada vía IV lenta</w:t>
      </w:r>
      <w:r w:rsidR="009B2729" w:rsidRPr="00065198">
        <w:rPr>
          <w:rFonts w:ascii="Arial" w:hAnsi="Arial" w:cs="Arial"/>
          <w:sz w:val="24"/>
          <w:szCs w:val="24"/>
        </w:rPr>
        <w:t xml:space="preserve"> durante 1 minuto.</w:t>
      </w:r>
      <w:r w:rsidR="00A70797" w:rsidRPr="00065198">
        <w:rPr>
          <w:rFonts w:ascii="Arial" w:hAnsi="Arial" w:cs="Arial"/>
          <w:sz w:val="24"/>
          <w:szCs w:val="24"/>
        </w:rPr>
        <w:t xml:space="preserve"> </w:t>
      </w:r>
      <w:r w:rsidR="009B2729" w:rsidRPr="00065198">
        <w:rPr>
          <w:rFonts w:ascii="Arial" w:hAnsi="Arial" w:cs="Arial"/>
          <w:sz w:val="24"/>
          <w:szCs w:val="24"/>
        </w:rPr>
        <w:t xml:space="preserve">La concentración plasmática máxima </w:t>
      </w:r>
      <w:r w:rsidR="006F0A31">
        <w:rPr>
          <w:rFonts w:ascii="Arial" w:hAnsi="Arial" w:cs="Arial"/>
          <w:sz w:val="24"/>
          <w:szCs w:val="24"/>
        </w:rPr>
        <w:t>fúe de 114.5±31.8 ng/</w:t>
      </w:r>
      <w:r w:rsidR="009B2729" w:rsidRPr="00065198">
        <w:rPr>
          <w:rFonts w:ascii="Arial" w:hAnsi="Arial" w:cs="Arial"/>
          <w:sz w:val="24"/>
          <w:szCs w:val="24"/>
        </w:rPr>
        <w:t xml:space="preserve">mL y </w:t>
      </w:r>
      <w:r w:rsidR="00146395">
        <w:rPr>
          <w:rFonts w:ascii="Arial" w:hAnsi="Arial" w:cs="Arial"/>
          <w:sz w:val="24"/>
          <w:szCs w:val="24"/>
        </w:rPr>
        <w:t>fue</w:t>
      </w:r>
      <w:r w:rsidR="006F0A31">
        <w:rPr>
          <w:rFonts w:ascii="Arial" w:hAnsi="Arial" w:cs="Arial"/>
          <w:sz w:val="24"/>
          <w:szCs w:val="24"/>
        </w:rPr>
        <w:t xml:space="preserve"> registrada a las 0.09±</w:t>
      </w:r>
      <w:r w:rsidR="009B2729" w:rsidRPr="00065198">
        <w:rPr>
          <w:rFonts w:ascii="Arial" w:hAnsi="Arial" w:cs="Arial"/>
          <w:sz w:val="24"/>
          <w:szCs w:val="24"/>
        </w:rPr>
        <w:t>0.03 horas</w:t>
      </w:r>
      <w:r w:rsidR="006F0A31">
        <w:rPr>
          <w:rFonts w:ascii="Arial" w:hAnsi="Arial" w:cs="Arial"/>
          <w:sz w:val="24"/>
          <w:szCs w:val="24"/>
        </w:rPr>
        <w:t xml:space="preserve"> posteriores a la administración del fármaco</w:t>
      </w:r>
      <w:r w:rsidR="009B2729" w:rsidRPr="00065198">
        <w:rPr>
          <w:rFonts w:ascii="Arial" w:hAnsi="Arial" w:cs="Arial"/>
          <w:sz w:val="24"/>
          <w:szCs w:val="24"/>
        </w:rPr>
        <w:t xml:space="preserve">. El volumen de distribución </w:t>
      </w:r>
      <w:r w:rsidR="006F0A31">
        <w:rPr>
          <w:rFonts w:ascii="Arial" w:hAnsi="Arial" w:cs="Arial"/>
          <w:sz w:val="24"/>
          <w:szCs w:val="24"/>
        </w:rPr>
        <w:t xml:space="preserve">y el </w:t>
      </w:r>
      <w:r w:rsidR="006F0A31" w:rsidRPr="00065198">
        <w:rPr>
          <w:rFonts w:ascii="Arial" w:hAnsi="Arial" w:cs="Arial"/>
          <w:sz w:val="24"/>
          <w:szCs w:val="24"/>
        </w:rPr>
        <w:t xml:space="preserve">aclaramiento sistémico </w:t>
      </w:r>
      <w:r w:rsidR="006F0A31">
        <w:rPr>
          <w:rFonts w:ascii="Arial" w:hAnsi="Arial" w:cs="Arial"/>
          <w:sz w:val="24"/>
          <w:szCs w:val="24"/>
        </w:rPr>
        <w:t>fueron de 13.5±2.1 mL/min/kg y 3.3±1.3 L/</w:t>
      </w:r>
      <w:r w:rsidR="009B2729" w:rsidRPr="00065198">
        <w:rPr>
          <w:rFonts w:ascii="Arial" w:hAnsi="Arial" w:cs="Arial"/>
          <w:sz w:val="24"/>
          <w:szCs w:val="24"/>
        </w:rPr>
        <w:t xml:space="preserve">kg </w:t>
      </w:r>
      <w:r w:rsidR="006F0A31">
        <w:rPr>
          <w:rFonts w:ascii="Arial" w:hAnsi="Arial" w:cs="Arial"/>
          <w:sz w:val="24"/>
          <w:szCs w:val="24"/>
        </w:rPr>
        <w:t xml:space="preserve">en el </w:t>
      </w:r>
      <w:r w:rsidR="009B2729" w:rsidRPr="00065198">
        <w:rPr>
          <w:rFonts w:ascii="Arial" w:hAnsi="Arial" w:cs="Arial"/>
          <w:sz w:val="24"/>
          <w:szCs w:val="24"/>
        </w:rPr>
        <w:t xml:space="preserve">análisis </w:t>
      </w:r>
      <w:r w:rsidR="006F0A31">
        <w:rPr>
          <w:rFonts w:ascii="Arial" w:hAnsi="Arial" w:cs="Arial"/>
          <w:sz w:val="24"/>
          <w:szCs w:val="24"/>
        </w:rPr>
        <w:t xml:space="preserve">farmacocinético </w:t>
      </w:r>
      <w:r w:rsidR="009B2729" w:rsidRPr="00065198">
        <w:rPr>
          <w:rFonts w:ascii="Arial" w:hAnsi="Arial" w:cs="Arial"/>
          <w:sz w:val="24"/>
          <w:szCs w:val="24"/>
        </w:rPr>
        <w:t xml:space="preserve">no compartimental. </w:t>
      </w:r>
      <w:r w:rsidR="006F0A31">
        <w:rPr>
          <w:rFonts w:ascii="Arial" w:hAnsi="Arial" w:cs="Arial"/>
          <w:sz w:val="24"/>
          <w:szCs w:val="24"/>
        </w:rPr>
        <w:t>La v</w:t>
      </w:r>
      <w:r w:rsidR="009B2729" w:rsidRPr="00065198">
        <w:rPr>
          <w:rFonts w:ascii="Arial" w:hAnsi="Arial" w:cs="Arial"/>
          <w:sz w:val="24"/>
          <w:szCs w:val="24"/>
        </w:rPr>
        <w:t xml:space="preserve">ida media de </w:t>
      </w:r>
      <w:r w:rsidR="009B2729" w:rsidRPr="00065198">
        <w:rPr>
          <w:rFonts w:ascii="Arial" w:hAnsi="Arial" w:cs="Arial"/>
          <w:sz w:val="24"/>
          <w:szCs w:val="24"/>
        </w:rPr>
        <w:lastRenderedPageBreak/>
        <w:t>eliminaci</w:t>
      </w:r>
      <w:r w:rsidR="006F0A31">
        <w:rPr>
          <w:rFonts w:ascii="Arial" w:hAnsi="Arial" w:cs="Arial"/>
          <w:sz w:val="24"/>
          <w:szCs w:val="24"/>
        </w:rPr>
        <w:t>ón terminal fue de 4.4±0.</w:t>
      </w:r>
      <w:r w:rsidR="00A70797" w:rsidRPr="00065198">
        <w:rPr>
          <w:rFonts w:ascii="Arial" w:hAnsi="Arial" w:cs="Arial"/>
          <w:sz w:val="24"/>
          <w:szCs w:val="24"/>
        </w:rPr>
        <w:t>9 h</w:t>
      </w:r>
      <w:r w:rsidR="006F0A31">
        <w:rPr>
          <w:rFonts w:ascii="Arial" w:hAnsi="Arial" w:cs="Arial"/>
          <w:sz w:val="24"/>
          <w:szCs w:val="24"/>
        </w:rPr>
        <w:t>oras</w:t>
      </w:r>
      <w:r w:rsidR="00A70797" w:rsidRPr="00065198">
        <w:rPr>
          <w:rFonts w:ascii="Arial" w:hAnsi="Arial" w:cs="Arial"/>
          <w:sz w:val="24"/>
          <w:szCs w:val="24"/>
        </w:rPr>
        <w:t xml:space="preserve">. </w:t>
      </w:r>
      <w:r w:rsidR="009B2729" w:rsidRPr="00065198">
        <w:rPr>
          <w:rFonts w:ascii="Arial" w:hAnsi="Arial" w:cs="Arial"/>
          <w:sz w:val="24"/>
          <w:szCs w:val="24"/>
        </w:rPr>
        <w:t xml:space="preserve">Para el análisis compartimental, la </w:t>
      </w:r>
      <w:r w:rsidR="006F0A31">
        <w:rPr>
          <w:rFonts w:ascii="Arial" w:hAnsi="Arial" w:cs="Arial"/>
          <w:sz w:val="24"/>
          <w:szCs w:val="24"/>
        </w:rPr>
        <w:t xml:space="preserve">concentración de </w:t>
      </w:r>
      <w:r w:rsidR="00E43E78">
        <w:rPr>
          <w:rFonts w:ascii="Arial" w:hAnsi="Arial" w:cs="Arial"/>
          <w:sz w:val="24"/>
          <w:szCs w:val="24"/>
        </w:rPr>
        <w:t>YOH</w:t>
      </w:r>
      <w:r w:rsidR="00A70797" w:rsidRPr="00065198">
        <w:rPr>
          <w:rFonts w:ascii="Arial" w:hAnsi="Arial" w:cs="Arial"/>
          <w:sz w:val="24"/>
          <w:szCs w:val="24"/>
        </w:rPr>
        <w:t xml:space="preserve"> en </w:t>
      </w:r>
      <w:r w:rsidR="009B2729" w:rsidRPr="00065198">
        <w:rPr>
          <w:rFonts w:ascii="Arial" w:hAnsi="Arial" w:cs="Arial"/>
          <w:sz w:val="24"/>
          <w:szCs w:val="24"/>
        </w:rPr>
        <w:t xml:space="preserve">plasma se ajusta mejor </w:t>
      </w:r>
      <w:r w:rsidR="00B31C61">
        <w:rPr>
          <w:rFonts w:ascii="Arial" w:hAnsi="Arial" w:cs="Arial"/>
          <w:sz w:val="24"/>
          <w:szCs w:val="24"/>
        </w:rPr>
        <w:t>en té</w:t>
      </w:r>
      <w:r w:rsidR="006F0A31">
        <w:rPr>
          <w:rFonts w:ascii="Arial" w:hAnsi="Arial" w:cs="Arial"/>
          <w:sz w:val="24"/>
          <w:szCs w:val="24"/>
        </w:rPr>
        <w:t xml:space="preserve">rminos de tiempo </w:t>
      </w:r>
      <w:r w:rsidR="009B2729" w:rsidRPr="00065198">
        <w:rPr>
          <w:rFonts w:ascii="Arial" w:hAnsi="Arial" w:cs="Arial"/>
          <w:sz w:val="24"/>
          <w:szCs w:val="24"/>
        </w:rPr>
        <w:t>a un modelo de dos compartimentos, el aclaramiento sistémico y el volumen en estado de equilibrio de la d</w:t>
      </w:r>
      <w:r w:rsidR="00A2011E">
        <w:rPr>
          <w:rFonts w:ascii="Arial" w:hAnsi="Arial" w:cs="Arial"/>
          <w:sz w:val="24"/>
          <w:szCs w:val="24"/>
        </w:rPr>
        <w:t xml:space="preserve">istribución de la </w:t>
      </w:r>
      <w:r w:rsidR="00E43E78">
        <w:rPr>
          <w:rFonts w:ascii="Arial" w:hAnsi="Arial" w:cs="Arial"/>
          <w:sz w:val="24"/>
          <w:szCs w:val="24"/>
        </w:rPr>
        <w:t>YOH</w:t>
      </w:r>
      <w:r w:rsidR="00A2011E">
        <w:rPr>
          <w:rFonts w:ascii="Arial" w:hAnsi="Arial" w:cs="Arial"/>
          <w:sz w:val="24"/>
          <w:szCs w:val="24"/>
        </w:rPr>
        <w:t xml:space="preserve"> fue</w:t>
      </w:r>
      <w:r w:rsidR="00B31C61">
        <w:rPr>
          <w:rFonts w:ascii="Arial" w:hAnsi="Arial" w:cs="Arial"/>
          <w:sz w:val="24"/>
          <w:szCs w:val="24"/>
        </w:rPr>
        <w:t xml:space="preserve"> de 13.6±2.</w:t>
      </w:r>
      <w:r w:rsidR="009B2729" w:rsidRPr="00065198">
        <w:rPr>
          <w:rFonts w:ascii="Arial" w:hAnsi="Arial" w:cs="Arial"/>
          <w:sz w:val="24"/>
          <w:szCs w:val="24"/>
        </w:rPr>
        <w:t>0 m</w:t>
      </w:r>
      <w:r w:rsidR="00B31C61">
        <w:rPr>
          <w:rFonts w:ascii="Arial" w:hAnsi="Arial" w:cs="Arial"/>
          <w:sz w:val="24"/>
          <w:szCs w:val="24"/>
        </w:rPr>
        <w:t>L/min/kg y 3.2±1.1 L/</w:t>
      </w:r>
      <w:r w:rsidR="00A70797" w:rsidRPr="00065198">
        <w:rPr>
          <w:rFonts w:ascii="Arial" w:hAnsi="Arial" w:cs="Arial"/>
          <w:sz w:val="24"/>
          <w:szCs w:val="24"/>
        </w:rPr>
        <w:t xml:space="preserve">kg. </w:t>
      </w:r>
      <w:r w:rsidR="00B31C61">
        <w:rPr>
          <w:rFonts w:ascii="Arial" w:hAnsi="Arial" w:cs="Arial"/>
          <w:sz w:val="24"/>
          <w:szCs w:val="24"/>
        </w:rPr>
        <w:t>S</w:t>
      </w:r>
      <w:r w:rsidR="00B31C61" w:rsidRPr="00065198">
        <w:rPr>
          <w:rFonts w:ascii="Arial" w:hAnsi="Arial" w:cs="Arial"/>
          <w:sz w:val="24"/>
          <w:szCs w:val="24"/>
        </w:rPr>
        <w:t xml:space="preserve">e detectaron </w:t>
      </w:r>
      <w:r w:rsidR="009B2729" w:rsidRPr="00065198">
        <w:rPr>
          <w:rFonts w:ascii="Arial" w:hAnsi="Arial" w:cs="Arial"/>
          <w:sz w:val="24"/>
          <w:szCs w:val="24"/>
        </w:rPr>
        <w:t>los metabolitos hidroxi-yohimbina</w:t>
      </w:r>
      <w:r w:rsidR="00B31C61">
        <w:rPr>
          <w:rFonts w:ascii="Arial" w:hAnsi="Arial" w:cs="Arial"/>
          <w:sz w:val="24"/>
          <w:szCs w:val="24"/>
        </w:rPr>
        <w:t xml:space="preserve"> </w:t>
      </w:r>
      <w:r w:rsidR="009B2729" w:rsidRPr="00065198">
        <w:rPr>
          <w:rFonts w:ascii="Arial" w:hAnsi="Arial" w:cs="Arial"/>
          <w:sz w:val="24"/>
          <w:szCs w:val="24"/>
        </w:rPr>
        <w:t>en las muestras de orina en cualquiera de los puntos de tiempo muestreados.</w:t>
      </w:r>
      <w:r w:rsidR="00A70797" w:rsidRPr="00065198">
        <w:rPr>
          <w:rFonts w:ascii="Arial" w:hAnsi="Arial" w:cs="Arial"/>
          <w:sz w:val="24"/>
          <w:szCs w:val="24"/>
        </w:rPr>
        <w:t xml:space="preserve"> </w:t>
      </w:r>
      <w:r w:rsidR="009B2729" w:rsidRPr="00065198">
        <w:rPr>
          <w:rFonts w:ascii="Arial" w:hAnsi="Arial" w:cs="Arial"/>
          <w:sz w:val="24"/>
          <w:szCs w:val="24"/>
        </w:rPr>
        <w:t xml:space="preserve">Dos caballos </w:t>
      </w:r>
      <w:r w:rsidR="00B31C61">
        <w:rPr>
          <w:rFonts w:ascii="Arial" w:hAnsi="Arial" w:cs="Arial"/>
          <w:sz w:val="24"/>
          <w:szCs w:val="24"/>
        </w:rPr>
        <w:t xml:space="preserve">presentaron </w:t>
      </w:r>
      <w:r w:rsidR="009B2729" w:rsidRPr="00065198">
        <w:rPr>
          <w:rFonts w:ascii="Arial" w:hAnsi="Arial" w:cs="Arial"/>
          <w:sz w:val="24"/>
          <w:szCs w:val="24"/>
        </w:rPr>
        <w:t xml:space="preserve">efectos sedantes, incluyendo un ligero descenso en la </w:t>
      </w:r>
      <w:r w:rsidR="00A2011E">
        <w:rPr>
          <w:rFonts w:ascii="Arial" w:hAnsi="Arial" w:cs="Arial"/>
          <w:sz w:val="24"/>
          <w:szCs w:val="24"/>
        </w:rPr>
        <w:t xml:space="preserve">posición y altura de la </w:t>
      </w:r>
      <w:r w:rsidR="009B2729" w:rsidRPr="00065198">
        <w:rPr>
          <w:rFonts w:ascii="Arial" w:hAnsi="Arial" w:cs="Arial"/>
          <w:sz w:val="24"/>
          <w:szCs w:val="24"/>
        </w:rPr>
        <w:t>cabeza</w:t>
      </w:r>
      <w:r w:rsidR="00A70797" w:rsidRPr="00065198">
        <w:rPr>
          <w:rFonts w:ascii="Arial" w:hAnsi="Arial" w:cs="Arial"/>
          <w:sz w:val="24"/>
          <w:szCs w:val="24"/>
        </w:rPr>
        <w:t xml:space="preserve"> </w:t>
      </w:r>
      <w:r w:rsidR="009B2729" w:rsidRPr="00065198">
        <w:rPr>
          <w:rFonts w:ascii="Arial" w:hAnsi="Arial" w:cs="Arial"/>
          <w:sz w:val="24"/>
          <w:szCs w:val="24"/>
        </w:rPr>
        <w:t xml:space="preserve">y una postura </w:t>
      </w:r>
      <w:r w:rsidR="00A2011E">
        <w:rPr>
          <w:rFonts w:ascii="Arial" w:hAnsi="Arial" w:cs="Arial"/>
          <w:sz w:val="24"/>
          <w:szCs w:val="24"/>
        </w:rPr>
        <w:t>caracterizada por relajación de miembros posteriores</w:t>
      </w:r>
      <w:r w:rsidR="009B2729" w:rsidRPr="00065198">
        <w:rPr>
          <w:rFonts w:ascii="Arial" w:hAnsi="Arial" w:cs="Arial"/>
          <w:sz w:val="24"/>
          <w:szCs w:val="24"/>
        </w:rPr>
        <w:t xml:space="preserve">, mientras que </w:t>
      </w:r>
      <w:r w:rsidR="00A2011E">
        <w:rPr>
          <w:rFonts w:ascii="Arial" w:hAnsi="Arial" w:cs="Arial"/>
          <w:sz w:val="24"/>
          <w:szCs w:val="24"/>
        </w:rPr>
        <w:t xml:space="preserve">en los restantes </w:t>
      </w:r>
      <w:r w:rsidR="009B2729" w:rsidRPr="00065198">
        <w:rPr>
          <w:rFonts w:ascii="Arial" w:hAnsi="Arial" w:cs="Arial"/>
          <w:sz w:val="24"/>
          <w:szCs w:val="24"/>
        </w:rPr>
        <w:t xml:space="preserve">seis </w:t>
      </w:r>
      <w:r w:rsidR="00A2011E">
        <w:rPr>
          <w:rFonts w:ascii="Arial" w:hAnsi="Arial" w:cs="Arial"/>
          <w:sz w:val="24"/>
          <w:szCs w:val="24"/>
        </w:rPr>
        <w:t>caballos no hubo cambios en su conducta</w:t>
      </w:r>
      <w:r w:rsidR="009B2729" w:rsidRPr="00065198">
        <w:rPr>
          <w:rFonts w:ascii="Arial" w:hAnsi="Arial" w:cs="Arial"/>
          <w:sz w:val="24"/>
          <w:szCs w:val="24"/>
        </w:rPr>
        <w:t>. Los signos de sedación persistieron durante aproximadamente 1 h</w:t>
      </w:r>
      <w:r w:rsidR="00A2011E">
        <w:rPr>
          <w:rFonts w:ascii="Arial" w:hAnsi="Arial" w:cs="Arial"/>
          <w:sz w:val="24"/>
          <w:szCs w:val="24"/>
        </w:rPr>
        <w:t xml:space="preserve">ora </w:t>
      </w:r>
      <w:r w:rsidR="009B2729" w:rsidRPr="00065198">
        <w:rPr>
          <w:rFonts w:ascii="Arial" w:hAnsi="Arial" w:cs="Arial"/>
          <w:sz w:val="24"/>
          <w:szCs w:val="24"/>
        </w:rPr>
        <w:t xml:space="preserve">en ambos caballos. </w:t>
      </w:r>
      <w:r w:rsidR="00A2011E">
        <w:rPr>
          <w:rFonts w:ascii="Arial" w:hAnsi="Arial" w:cs="Arial"/>
          <w:sz w:val="24"/>
          <w:szCs w:val="24"/>
        </w:rPr>
        <w:t>Los s</w:t>
      </w:r>
      <w:r w:rsidR="00A70797" w:rsidRPr="00065198">
        <w:rPr>
          <w:rFonts w:ascii="Arial" w:hAnsi="Arial" w:cs="Arial"/>
          <w:sz w:val="24"/>
          <w:szCs w:val="24"/>
        </w:rPr>
        <w:t>onidos Gastrointestinales (GI)</w:t>
      </w:r>
      <w:r w:rsidR="009B2729" w:rsidRPr="00065198">
        <w:rPr>
          <w:rFonts w:ascii="Arial" w:hAnsi="Arial" w:cs="Arial"/>
          <w:sz w:val="24"/>
          <w:szCs w:val="24"/>
        </w:rPr>
        <w:t xml:space="preserve"> se incrementaron moderadamente en comparación con el valor basal, mientras que la consistencia fecal parecía normal.</w:t>
      </w:r>
      <w:r w:rsidR="00A70797" w:rsidRPr="00065198">
        <w:rPr>
          <w:rFonts w:ascii="Arial" w:hAnsi="Arial" w:cs="Arial"/>
          <w:sz w:val="24"/>
          <w:szCs w:val="24"/>
        </w:rPr>
        <w:t xml:space="preserve"> </w:t>
      </w:r>
      <w:r w:rsidR="00A2011E">
        <w:rPr>
          <w:rFonts w:ascii="Arial" w:hAnsi="Arial" w:cs="Arial"/>
          <w:sz w:val="24"/>
          <w:szCs w:val="24"/>
        </w:rPr>
        <w:t>Esta investigación, permite s</w:t>
      </w:r>
      <w:r w:rsidR="00D35A68">
        <w:rPr>
          <w:rFonts w:ascii="Arial" w:hAnsi="Arial" w:cs="Arial"/>
          <w:sz w:val="24"/>
          <w:szCs w:val="24"/>
        </w:rPr>
        <w:t>ug</w:t>
      </w:r>
      <w:r w:rsidR="009B2729" w:rsidRPr="00065198">
        <w:rPr>
          <w:rFonts w:ascii="Arial" w:hAnsi="Arial" w:cs="Arial"/>
          <w:sz w:val="24"/>
          <w:szCs w:val="24"/>
        </w:rPr>
        <w:t>er</w:t>
      </w:r>
      <w:r w:rsidR="00A2011E">
        <w:rPr>
          <w:rFonts w:ascii="Arial" w:hAnsi="Arial" w:cs="Arial"/>
          <w:sz w:val="24"/>
          <w:szCs w:val="24"/>
        </w:rPr>
        <w:t>ir</w:t>
      </w:r>
      <w:r w:rsidR="009B2729" w:rsidRPr="00065198">
        <w:rPr>
          <w:rFonts w:ascii="Arial" w:hAnsi="Arial" w:cs="Arial"/>
          <w:sz w:val="24"/>
          <w:szCs w:val="24"/>
        </w:rPr>
        <w:t xml:space="preserve"> que la </w:t>
      </w:r>
      <w:r w:rsidR="00E43E78">
        <w:rPr>
          <w:rFonts w:ascii="Arial" w:hAnsi="Arial" w:cs="Arial"/>
          <w:sz w:val="24"/>
          <w:szCs w:val="24"/>
        </w:rPr>
        <w:t>YOH</w:t>
      </w:r>
      <w:r w:rsidR="009B2729" w:rsidRPr="00065198">
        <w:rPr>
          <w:rFonts w:ascii="Arial" w:hAnsi="Arial" w:cs="Arial"/>
          <w:sz w:val="24"/>
          <w:szCs w:val="24"/>
        </w:rPr>
        <w:t xml:space="preserve"> se caracteriza por </w:t>
      </w:r>
      <w:r w:rsidR="00A2011E">
        <w:rPr>
          <w:rFonts w:ascii="Arial" w:hAnsi="Arial" w:cs="Arial"/>
          <w:sz w:val="24"/>
          <w:szCs w:val="24"/>
        </w:rPr>
        <w:t xml:space="preserve">tener una vida de </w:t>
      </w:r>
      <w:r w:rsidR="009B2729" w:rsidRPr="00065198">
        <w:rPr>
          <w:rFonts w:ascii="Arial" w:hAnsi="Arial" w:cs="Arial"/>
          <w:sz w:val="24"/>
          <w:szCs w:val="24"/>
        </w:rPr>
        <w:t>eliminación prolongada, muy probablemente como resultado de</w:t>
      </w:r>
      <w:r w:rsidR="00D35A68">
        <w:rPr>
          <w:rFonts w:ascii="Arial" w:hAnsi="Arial" w:cs="Arial"/>
          <w:sz w:val="24"/>
          <w:szCs w:val="24"/>
        </w:rPr>
        <w:t>l</w:t>
      </w:r>
      <w:r w:rsidR="009B2729" w:rsidRPr="00065198">
        <w:rPr>
          <w:rFonts w:ascii="Arial" w:hAnsi="Arial" w:cs="Arial"/>
          <w:sz w:val="24"/>
          <w:szCs w:val="24"/>
        </w:rPr>
        <w:t xml:space="preserve"> secuestro y</w:t>
      </w:r>
      <w:r w:rsidR="00A70797" w:rsidRPr="00065198">
        <w:rPr>
          <w:rFonts w:ascii="Arial" w:hAnsi="Arial" w:cs="Arial"/>
          <w:sz w:val="24"/>
          <w:szCs w:val="24"/>
        </w:rPr>
        <w:t xml:space="preserve"> liberación lenta </w:t>
      </w:r>
      <w:r w:rsidR="00A2011E">
        <w:rPr>
          <w:rFonts w:ascii="Arial" w:hAnsi="Arial" w:cs="Arial"/>
          <w:sz w:val="24"/>
          <w:szCs w:val="24"/>
        </w:rPr>
        <w:t xml:space="preserve">de </w:t>
      </w:r>
      <w:r w:rsidR="00D35A68">
        <w:rPr>
          <w:rFonts w:ascii="Arial" w:hAnsi="Arial" w:cs="Arial"/>
          <w:sz w:val="24"/>
          <w:szCs w:val="24"/>
        </w:rPr>
        <w:t>sus</w:t>
      </w:r>
      <w:r w:rsidR="00A2011E">
        <w:rPr>
          <w:rFonts w:ascii="Arial" w:hAnsi="Arial" w:cs="Arial"/>
          <w:sz w:val="24"/>
          <w:szCs w:val="24"/>
        </w:rPr>
        <w:t xml:space="preserve"> metabolitos</w:t>
      </w:r>
      <w:r w:rsidR="00A70797" w:rsidRPr="00065198">
        <w:rPr>
          <w:rFonts w:ascii="Arial" w:hAnsi="Arial" w:cs="Arial"/>
          <w:sz w:val="24"/>
          <w:szCs w:val="24"/>
        </w:rPr>
        <w:t xml:space="preserve">. </w:t>
      </w:r>
      <w:r w:rsidR="00A2011E">
        <w:rPr>
          <w:rFonts w:ascii="Arial" w:hAnsi="Arial" w:cs="Arial"/>
          <w:sz w:val="24"/>
          <w:szCs w:val="24"/>
        </w:rPr>
        <w:t>Una dosis de 0.12 mg/</w:t>
      </w:r>
      <w:r w:rsidR="009B2729" w:rsidRPr="00065198">
        <w:rPr>
          <w:rFonts w:ascii="Arial" w:hAnsi="Arial" w:cs="Arial"/>
          <w:sz w:val="24"/>
          <w:szCs w:val="24"/>
        </w:rPr>
        <w:t xml:space="preserve">kg </w:t>
      </w:r>
      <w:r w:rsidR="00A2011E">
        <w:rPr>
          <w:rFonts w:ascii="Arial" w:hAnsi="Arial" w:cs="Arial"/>
          <w:sz w:val="24"/>
          <w:szCs w:val="24"/>
        </w:rPr>
        <w:t xml:space="preserve">administrada </w:t>
      </w:r>
      <w:r w:rsidR="009B2729" w:rsidRPr="00065198">
        <w:rPr>
          <w:rFonts w:ascii="Arial" w:hAnsi="Arial" w:cs="Arial"/>
          <w:sz w:val="24"/>
          <w:szCs w:val="24"/>
        </w:rPr>
        <w:t xml:space="preserve">por vía intravenosa </w:t>
      </w:r>
      <w:r w:rsidR="00A2011E">
        <w:rPr>
          <w:rFonts w:ascii="Arial" w:hAnsi="Arial" w:cs="Arial"/>
          <w:sz w:val="24"/>
          <w:szCs w:val="24"/>
        </w:rPr>
        <w:t xml:space="preserve">en </w:t>
      </w:r>
      <w:r w:rsidR="009B2729" w:rsidRPr="00065198">
        <w:rPr>
          <w:rFonts w:ascii="Arial" w:hAnsi="Arial" w:cs="Arial"/>
          <w:sz w:val="24"/>
          <w:szCs w:val="24"/>
        </w:rPr>
        <w:t>caballo</w:t>
      </w:r>
      <w:r w:rsidR="00A70797" w:rsidRPr="00065198">
        <w:rPr>
          <w:rFonts w:ascii="Arial" w:hAnsi="Arial" w:cs="Arial"/>
          <w:sz w:val="24"/>
          <w:szCs w:val="24"/>
        </w:rPr>
        <w:t>s</w:t>
      </w:r>
      <w:r w:rsidR="00A2011E">
        <w:rPr>
          <w:rFonts w:ascii="Arial" w:hAnsi="Arial" w:cs="Arial"/>
          <w:sz w:val="24"/>
          <w:szCs w:val="24"/>
        </w:rPr>
        <w:t xml:space="preserve">, ha permitido identificar que el </w:t>
      </w:r>
      <w:r w:rsidR="009B2729" w:rsidRPr="00065198">
        <w:rPr>
          <w:rFonts w:ascii="Arial" w:hAnsi="Arial" w:cs="Arial"/>
          <w:sz w:val="24"/>
          <w:szCs w:val="24"/>
        </w:rPr>
        <w:t>volumen d</w:t>
      </w:r>
      <w:r w:rsidR="00A70797" w:rsidRPr="00065198">
        <w:rPr>
          <w:rFonts w:ascii="Arial" w:hAnsi="Arial" w:cs="Arial"/>
          <w:sz w:val="24"/>
          <w:szCs w:val="24"/>
        </w:rPr>
        <w:t>e distribución</w:t>
      </w:r>
      <w:r w:rsidR="00A2011E">
        <w:rPr>
          <w:rFonts w:ascii="Arial" w:hAnsi="Arial" w:cs="Arial"/>
          <w:sz w:val="24"/>
          <w:szCs w:val="24"/>
        </w:rPr>
        <w:t xml:space="preserve"> es elevado y el </w:t>
      </w:r>
      <w:r w:rsidR="009B2729" w:rsidRPr="00065198">
        <w:rPr>
          <w:rFonts w:ascii="Arial" w:hAnsi="Arial" w:cs="Arial"/>
          <w:sz w:val="24"/>
          <w:szCs w:val="24"/>
        </w:rPr>
        <w:t xml:space="preserve">aclaramiento sistémico </w:t>
      </w:r>
      <w:r w:rsidR="00A2011E">
        <w:rPr>
          <w:rFonts w:ascii="Arial" w:hAnsi="Arial" w:cs="Arial"/>
          <w:sz w:val="24"/>
          <w:szCs w:val="24"/>
        </w:rPr>
        <w:t xml:space="preserve">es muy lento, la cual </w:t>
      </w:r>
      <w:r w:rsidR="00146395">
        <w:rPr>
          <w:rFonts w:ascii="Arial" w:hAnsi="Arial" w:cs="Arial"/>
          <w:sz w:val="24"/>
          <w:szCs w:val="24"/>
        </w:rPr>
        <w:t>está</w:t>
      </w:r>
      <w:r w:rsidR="00A2011E">
        <w:rPr>
          <w:rFonts w:ascii="Arial" w:hAnsi="Arial" w:cs="Arial"/>
          <w:sz w:val="24"/>
          <w:szCs w:val="24"/>
        </w:rPr>
        <w:t xml:space="preserve"> </w:t>
      </w:r>
      <w:r w:rsidR="009B2729" w:rsidRPr="00065198">
        <w:rPr>
          <w:rFonts w:ascii="Arial" w:hAnsi="Arial" w:cs="Arial"/>
          <w:sz w:val="24"/>
          <w:szCs w:val="24"/>
        </w:rPr>
        <w:t>determina</w:t>
      </w:r>
      <w:r w:rsidR="00D35A68">
        <w:rPr>
          <w:rFonts w:ascii="Arial" w:hAnsi="Arial" w:cs="Arial"/>
          <w:sz w:val="24"/>
          <w:szCs w:val="24"/>
        </w:rPr>
        <w:t xml:space="preserve">do </w:t>
      </w:r>
      <w:r w:rsidR="00A2011E">
        <w:rPr>
          <w:rFonts w:ascii="Arial" w:hAnsi="Arial" w:cs="Arial"/>
          <w:sz w:val="24"/>
          <w:szCs w:val="24"/>
        </w:rPr>
        <w:t xml:space="preserve">por su </w:t>
      </w:r>
      <w:r w:rsidR="009B2729" w:rsidRPr="00065198">
        <w:rPr>
          <w:rFonts w:ascii="Arial" w:hAnsi="Arial" w:cs="Arial"/>
          <w:sz w:val="24"/>
          <w:szCs w:val="24"/>
        </w:rPr>
        <w:t>vida media de eliminación.</w:t>
      </w:r>
    </w:p>
    <w:p w:rsidR="009F031D" w:rsidRDefault="000D772E" w:rsidP="009F031D">
      <w:pPr>
        <w:pStyle w:val="NormalWeb"/>
        <w:spacing w:line="360" w:lineRule="auto"/>
        <w:jc w:val="both"/>
        <w:rPr>
          <w:rFonts w:ascii="Arial" w:hAnsi="Arial" w:cs="Arial"/>
          <w:sz w:val="24"/>
          <w:szCs w:val="24"/>
        </w:rPr>
      </w:pPr>
      <w:r w:rsidRPr="00065198">
        <w:rPr>
          <w:rFonts w:ascii="Arial" w:hAnsi="Arial" w:cs="Arial"/>
          <w:sz w:val="24"/>
          <w:szCs w:val="24"/>
        </w:rPr>
        <w:t xml:space="preserve">En </w:t>
      </w:r>
      <w:r w:rsidR="00EB0B6A">
        <w:rPr>
          <w:rFonts w:ascii="Arial" w:hAnsi="Arial" w:cs="Arial"/>
          <w:sz w:val="24"/>
          <w:szCs w:val="24"/>
        </w:rPr>
        <w:t>un</w:t>
      </w:r>
      <w:r w:rsidRPr="00065198">
        <w:rPr>
          <w:rFonts w:ascii="Arial" w:hAnsi="Arial" w:cs="Arial"/>
          <w:sz w:val="24"/>
          <w:szCs w:val="24"/>
        </w:rPr>
        <w:t xml:space="preserve"> estudio </w:t>
      </w:r>
      <w:r w:rsidR="00EB0B6A">
        <w:rPr>
          <w:rFonts w:ascii="Arial" w:hAnsi="Arial" w:cs="Arial"/>
          <w:sz w:val="24"/>
          <w:szCs w:val="24"/>
        </w:rPr>
        <w:t xml:space="preserve">especializado, los investigadores </w:t>
      </w:r>
      <w:r w:rsidRPr="00065198">
        <w:rPr>
          <w:rFonts w:ascii="Arial" w:hAnsi="Arial" w:cs="Arial"/>
          <w:sz w:val="24"/>
          <w:szCs w:val="24"/>
        </w:rPr>
        <w:t xml:space="preserve">Dimaio Knych, Steffey, </w:t>
      </w:r>
      <w:r w:rsidR="00EB0B6A">
        <w:rPr>
          <w:rFonts w:ascii="Arial" w:hAnsi="Arial" w:cs="Arial"/>
          <w:sz w:val="24"/>
          <w:szCs w:val="24"/>
        </w:rPr>
        <w:t xml:space="preserve">y </w:t>
      </w:r>
      <w:r w:rsidRPr="00065198">
        <w:rPr>
          <w:rFonts w:ascii="Arial" w:hAnsi="Arial" w:cs="Arial"/>
          <w:sz w:val="24"/>
          <w:szCs w:val="24"/>
        </w:rPr>
        <w:t xml:space="preserve">Stanley </w:t>
      </w:r>
      <w:r w:rsidR="00EB0B6A">
        <w:rPr>
          <w:rFonts w:ascii="Arial" w:hAnsi="Arial" w:cs="Arial"/>
          <w:sz w:val="24"/>
          <w:szCs w:val="24"/>
        </w:rPr>
        <w:t>(</w:t>
      </w:r>
      <w:r w:rsidRPr="00065198">
        <w:rPr>
          <w:rFonts w:ascii="Arial" w:hAnsi="Arial" w:cs="Arial"/>
          <w:sz w:val="24"/>
          <w:szCs w:val="24"/>
        </w:rPr>
        <w:t>2011</w:t>
      </w:r>
      <w:r w:rsidR="00D724D9" w:rsidRPr="00065198">
        <w:rPr>
          <w:rFonts w:ascii="Arial" w:hAnsi="Arial" w:cs="Arial"/>
          <w:sz w:val="24"/>
          <w:szCs w:val="24"/>
        </w:rPr>
        <w:t xml:space="preserve">), </w:t>
      </w:r>
      <w:r w:rsidR="00D35A68">
        <w:rPr>
          <w:rFonts w:ascii="Arial" w:hAnsi="Arial" w:cs="Arial"/>
          <w:sz w:val="24"/>
          <w:szCs w:val="24"/>
        </w:rPr>
        <w:t>demostraron</w:t>
      </w:r>
      <w:r w:rsidR="009B2729" w:rsidRPr="00065198">
        <w:rPr>
          <w:rFonts w:ascii="Arial" w:hAnsi="Arial" w:cs="Arial"/>
          <w:sz w:val="24"/>
          <w:szCs w:val="24"/>
        </w:rPr>
        <w:t xml:space="preserve"> la farmacocinét</w:t>
      </w:r>
      <w:r w:rsidR="00D724D9" w:rsidRPr="00065198">
        <w:rPr>
          <w:rFonts w:ascii="Arial" w:hAnsi="Arial" w:cs="Arial"/>
          <w:sz w:val="24"/>
          <w:szCs w:val="24"/>
        </w:rPr>
        <w:t xml:space="preserve">ica y farmacodinámica de la </w:t>
      </w:r>
      <w:r w:rsidR="00E43E78">
        <w:rPr>
          <w:rFonts w:ascii="Arial" w:hAnsi="Arial" w:cs="Arial"/>
          <w:sz w:val="24"/>
          <w:szCs w:val="24"/>
        </w:rPr>
        <w:t>YOH</w:t>
      </w:r>
      <w:r w:rsidR="00D724D9" w:rsidRPr="00065198">
        <w:rPr>
          <w:rFonts w:ascii="Arial" w:hAnsi="Arial" w:cs="Arial"/>
          <w:sz w:val="24"/>
          <w:szCs w:val="24"/>
        </w:rPr>
        <w:t xml:space="preserve"> </w:t>
      </w:r>
      <w:r w:rsidR="009B2729" w:rsidRPr="00065198">
        <w:rPr>
          <w:rFonts w:ascii="Arial" w:hAnsi="Arial" w:cs="Arial"/>
          <w:sz w:val="24"/>
          <w:szCs w:val="24"/>
        </w:rPr>
        <w:t xml:space="preserve"> cuando </w:t>
      </w:r>
      <w:r w:rsidR="00D35A68">
        <w:rPr>
          <w:rFonts w:ascii="Arial" w:hAnsi="Arial" w:cs="Arial"/>
          <w:sz w:val="24"/>
          <w:szCs w:val="24"/>
        </w:rPr>
        <w:t xml:space="preserve">es </w:t>
      </w:r>
      <w:r w:rsidR="009B2729" w:rsidRPr="00065198">
        <w:rPr>
          <w:rFonts w:ascii="Arial" w:hAnsi="Arial" w:cs="Arial"/>
          <w:sz w:val="24"/>
          <w:szCs w:val="24"/>
        </w:rPr>
        <w:t>administ</w:t>
      </w:r>
      <w:r w:rsidR="00D724D9" w:rsidRPr="00065198">
        <w:rPr>
          <w:rFonts w:ascii="Arial" w:hAnsi="Arial" w:cs="Arial"/>
          <w:sz w:val="24"/>
          <w:szCs w:val="24"/>
        </w:rPr>
        <w:t>ra</w:t>
      </w:r>
      <w:r w:rsidR="00D35A68">
        <w:rPr>
          <w:rFonts w:ascii="Arial" w:hAnsi="Arial" w:cs="Arial"/>
          <w:sz w:val="24"/>
          <w:szCs w:val="24"/>
        </w:rPr>
        <w:t>da</w:t>
      </w:r>
      <w:r w:rsidR="00D724D9" w:rsidRPr="00065198">
        <w:rPr>
          <w:rFonts w:ascii="Arial" w:hAnsi="Arial" w:cs="Arial"/>
          <w:sz w:val="24"/>
          <w:szCs w:val="24"/>
        </w:rPr>
        <w:t xml:space="preserve"> por vía intravenosa en el caballo</w:t>
      </w:r>
      <w:r w:rsidR="009B2729" w:rsidRPr="00065198">
        <w:rPr>
          <w:rFonts w:ascii="Arial" w:hAnsi="Arial" w:cs="Arial"/>
          <w:sz w:val="24"/>
          <w:szCs w:val="24"/>
        </w:rPr>
        <w:t>.</w:t>
      </w:r>
      <w:r w:rsidR="00D724D9" w:rsidRPr="00065198">
        <w:rPr>
          <w:rFonts w:ascii="Arial" w:hAnsi="Arial" w:cs="Arial"/>
          <w:sz w:val="24"/>
          <w:szCs w:val="24"/>
        </w:rPr>
        <w:t xml:space="preserve"> En esta investigación se utilizaron n</w:t>
      </w:r>
      <w:r w:rsidR="009B2729" w:rsidRPr="00065198">
        <w:rPr>
          <w:rFonts w:ascii="Arial" w:hAnsi="Arial" w:cs="Arial"/>
          <w:sz w:val="24"/>
          <w:szCs w:val="24"/>
        </w:rPr>
        <w:t>ueve caballos adultos sanos</w:t>
      </w:r>
      <w:r w:rsidR="00D35A68">
        <w:rPr>
          <w:rFonts w:ascii="Arial" w:hAnsi="Arial" w:cs="Arial"/>
          <w:sz w:val="24"/>
          <w:szCs w:val="24"/>
        </w:rPr>
        <w:t xml:space="preserve"> </w:t>
      </w:r>
      <w:r w:rsidR="009B2729" w:rsidRPr="00065198">
        <w:rPr>
          <w:rFonts w:ascii="Arial" w:hAnsi="Arial" w:cs="Arial"/>
          <w:sz w:val="24"/>
          <w:szCs w:val="24"/>
        </w:rPr>
        <w:t>no medicados</w:t>
      </w:r>
      <w:r w:rsidR="00D724D9" w:rsidRPr="00065198">
        <w:rPr>
          <w:rFonts w:ascii="Arial" w:hAnsi="Arial" w:cs="Arial"/>
          <w:sz w:val="24"/>
          <w:szCs w:val="24"/>
        </w:rPr>
        <w:t xml:space="preserve">. </w:t>
      </w:r>
      <w:r w:rsidR="009B2729" w:rsidRPr="00065198">
        <w:rPr>
          <w:rFonts w:ascii="Arial" w:hAnsi="Arial" w:cs="Arial"/>
          <w:sz w:val="24"/>
          <w:szCs w:val="24"/>
        </w:rPr>
        <w:t>Las muestras de sangre se re</w:t>
      </w:r>
      <w:r w:rsidR="00D724D9" w:rsidRPr="00065198">
        <w:rPr>
          <w:rFonts w:ascii="Arial" w:hAnsi="Arial" w:cs="Arial"/>
          <w:sz w:val="24"/>
          <w:szCs w:val="24"/>
        </w:rPr>
        <w:t xml:space="preserve">cogieron varias veces antes y </w:t>
      </w:r>
      <w:r w:rsidR="009B2729" w:rsidRPr="00065198">
        <w:rPr>
          <w:rFonts w:ascii="Arial" w:hAnsi="Arial" w:cs="Arial"/>
          <w:sz w:val="24"/>
          <w:szCs w:val="24"/>
        </w:rPr>
        <w:t>hasta 24 h</w:t>
      </w:r>
      <w:r w:rsidR="00D35A68">
        <w:rPr>
          <w:rFonts w:ascii="Arial" w:hAnsi="Arial" w:cs="Arial"/>
          <w:sz w:val="24"/>
          <w:szCs w:val="24"/>
        </w:rPr>
        <w:t>oras</w:t>
      </w:r>
      <w:r w:rsidR="009B2729" w:rsidRPr="00065198">
        <w:rPr>
          <w:rFonts w:ascii="Arial" w:hAnsi="Arial" w:cs="Arial"/>
          <w:sz w:val="24"/>
          <w:szCs w:val="24"/>
        </w:rPr>
        <w:t xml:space="preserve"> después de la administración de</w:t>
      </w:r>
      <w:r w:rsidR="00D724D9" w:rsidRPr="00065198">
        <w:rPr>
          <w:rFonts w:ascii="Arial" w:hAnsi="Arial" w:cs="Arial"/>
          <w:sz w:val="24"/>
          <w:szCs w:val="24"/>
        </w:rPr>
        <w:t>l</w:t>
      </w:r>
      <w:r w:rsidR="00D35A68">
        <w:rPr>
          <w:rFonts w:ascii="Arial" w:hAnsi="Arial" w:cs="Arial"/>
          <w:sz w:val="24"/>
          <w:szCs w:val="24"/>
        </w:rPr>
        <w:t xml:space="preserve"> fármaco</w:t>
      </w:r>
      <w:r w:rsidR="009B2729" w:rsidRPr="00065198">
        <w:rPr>
          <w:rFonts w:ascii="Arial" w:hAnsi="Arial" w:cs="Arial"/>
          <w:sz w:val="24"/>
          <w:szCs w:val="24"/>
        </w:rPr>
        <w:t xml:space="preserve">. </w:t>
      </w:r>
      <w:r w:rsidR="006A60EA">
        <w:rPr>
          <w:rFonts w:ascii="Arial" w:hAnsi="Arial" w:cs="Arial"/>
          <w:sz w:val="24"/>
          <w:szCs w:val="24"/>
        </w:rPr>
        <w:t xml:space="preserve">Dichas muestras se </w:t>
      </w:r>
      <w:r w:rsidR="009B2729" w:rsidRPr="00065198">
        <w:rPr>
          <w:rFonts w:ascii="Arial" w:hAnsi="Arial" w:cs="Arial"/>
          <w:sz w:val="24"/>
          <w:szCs w:val="24"/>
        </w:rPr>
        <w:t xml:space="preserve">analizaron mediante </w:t>
      </w:r>
      <w:r w:rsidR="006A60EA">
        <w:rPr>
          <w:rFonts w:ascii="Arial" w:hAnsi="Arial" w:cs="Arial"/>
          <w:sz w:val="24"/>
          <w:szCs w:val="24"/>
        </w:rPr>
        <w:t xml:space="preserve">cromatografía </w:t>
      </w:r>
      <w:r w:rsidR="006A60EA" w:rsidRPr="00065198">
        <w:rPr>
          <w:rFonts w:ascii="Arial" w:hAnsi="Arial" w:cs="Arial"/>
          <w:sz w:val="24"/>
          <w:szCs w:val="24"/>
        </w:rPr>
        <w:t xml:space="preserve">líquida </w:t>
      </w:r>
      <w:r w:rsidR="006A60EA">
        <w:rPr>
          <w:rFonts w:ascii="Arial" w:hAnsi="Arial" w:cs="Arial"/>
          <w:sz w:val="24"/>
          <w:szCs w:val="24"/>
        </w:rPr>
        <w:t xml:space="preserve">por espectrometría de masas </w:t>
      </w:r>
      <w:r w:rsidR="009B2729" w:rsidRPr="00065198">
        <w:rPr>
          <w:rFonts w:ascii="Arial" w:hAnsi="Arial" w:cs="Arial"/>
          <w:sz w:val="24"/>
          <w:szCs w:val="24"/>
        </w:rPr>
        <w:t xml:space="preserve">utilizando tanto </w:t>
      </w:r>
      <w:r w:rsidR="006A60EA" w:rsidRPr="00065198">
        <w:rPr>
          <w:rFonts w:ascii="Arial" w:hAnsi="Arial" w:cs="Arial"/>
          <w:sz w:val="24"/>
          <w:szCs w:val="24"/>
        </w:rPr>
        <w:t xml:space="preserve">el análisis </w:t>
      </w:r>
      <w:r w:rsidR="009B2729" w:rsidRPr="00065198">
        <w:rPr>
          <w:rFonts w:ascii="Arial" w:hAnsi="Arial" w:cs="Arial"/>
          <w:sz w:val="24"/>
          <w:szCs w:val="24"/>
        </w:rPr>
        <w:t xml:space="preserve">no </w:t>
      </w:r>
      <w:r w:rsidR="00D724D9" w:rsidRPr="00065198">
        <w:rPr>
          <w:rFonts w:ascii="Arial" w:hAnsi="Arial" w:cs="Arial"/>
          <w:sz w:val="24"/>
          <w:szCs w:val="24"/>
        </w:rPr>
        <w:t>compartimental</w:t>
      </w:r>
      <w:r w:rsidR="006A60EA">
        <w:rPr>
          <w:rFonts w:ascii="Arial" w:hAnsi="Arial" w:cs="Arial"/>
          <w:sz w:val="24"/>
          <w:szCs w:val="24"/>
        </w:rPr>
        <w:t xml:space="preserve"> como el</w:t>
      </w:r>
      <w:r w:rsidR="00D724D9" w:rsidRPr="00065198">
        <w:rPr>
          <w:rFonts w:ascii="Arial" w:hAnsi="Arial" w:cs="Arial"/>
          <w:sz w:val="24"/>
          <w:szCs w:val="24"/>
        </w:rPr>
        <w:t xml:space="preserve"> compartimental. En dicho estudio se </w:t>
      </w:r>
      <w:r w:rsidR="00146395" w:rsidRPr="00065198">
        <w:rPr>
          <w:rFonts w:ascii="Arial" w:hAnsi="Arial" w:cs="Arial"/>
          <w:sz w:val="24"/>
          <w:szCs w:val="24"/>
        </w:rPr>
        <w:t>utilizó</w:t>
      </w:r>
      <w:r w:rsidR="00D724D9" w:rsidRPr="00065198">
        <w:rPr>
          <w:rFonts w:ascii="Arial" w:hAnsi="Arial" w:cs="Arial"/>
          <w:sz w:val="24"/>
          <w:szCs w:val="24"/>
        </w:rPr>
        <w:t xml:space="preserve"> una dosis de </w:t>
      </w:r>
      <w:r w:rsidR="009B2729" w:rsidRPr="00065198">
        <w:rPr>
          <w:rFonts w:ascii="Arial" w:hAnsi="Arial" w:cs="Arial"/>
          <w:sz w:val="24"/>
          <w:szCs w:val="24"/>
        </w:rPr>
        <w:t xml:space="preserve">0.1, 0.2, y 0.4 mg/Kg </w:t>
      </w:r>
      <w:r w:rsidR="006A60EA">
        <w:rPr>
          <w:rFonts w:ascii="Arial" w:hAnsi="Arial" w:cs="Arial"/>
          <w:sz w:val="24"/>
          <w:szCs w:val="24"/>
        </w:rPr>
        <w:t xml:space="preserve">de </w:t>
      </w:r>
      <w:r w:rsidR="00E43E78">
        <w:rPr>
          <w:rFonts w:ascii="Arial" w:hAnsi="Arial" w:cs="Arial"/>
          <w:sz w:val="24"/>
          <w:szCs w:val="24"/>
        </w:rPr>
        <w:t>YOH</w:t>
      </w:r>
      <w:r w:rsidR="009B2729" w:rsidRPr="00065198">
        <w:rPr>
          <w:rFonts w:ascii="Arial" w:hAnsi="Arial" w:cs="Arial"/>
          <w:sz w:val="24"/>
          <w:szCs w:val="24"/>
        </w:rPr>
        <w:t xml:space="preserve"> (Yob</w:t>
      </w:r>
      <w:r w:rsidR="006A60EA">
        <w:rPr>
          <w:rFonts w:ascii="Arial" w:hAnsi="Arial" w:cs="Arial"/>
          <w:sz w:val="24"/>
          <w:szCs w:val="24"/>
        </w:rPr>
        <w:t xml:space="preserve">ine; Lloyd laboratorios, Iowa) administrada </w:t>
      </w:r>
      <w:r w:rsidR="009B2729" w:rsidRPr="00065198">
        <w:rPr>
          <w:rFonts w:ascii="Arial" w:hAnsi="Arial" w:cs="Arial"/>
          <w:sz w:val="24"/>
          <w:szCs w:val="24"/>
        </w:rPr>
        <w:t xml:space="preserve">por vía intravenosa </w:t>
      </w:r>
      <w:r w:rsidR="006A60EA">
        <w:rPr>
          <w:rFonts w:ascii="Arial" w:hAnsi="Arial" w:cs="Arial"/>
          <w:sz w:val="24"/>
          <w:szCs w:val="24"/>
        </w:rPr>
        <w:t xml:space="preserve">lenta </w:t>
      </w:r>
      <w:r w:rsidR="009B2729" w:rsidRPr="00065198">
        <w:rPr>
          <w:rFonts w:ascii="Arial" w:hAnsi="Arial" w:cs="Arial"/>
          <w:sz w:val="24"/>
          <w:szCs w:val="24"/>
        </w:rPr>
        <w:t>durante 1 min</w:t>
      </w:r>
      <w:r w:rsidR="006A60EA">
        <w:rPr>
          <w:rFonts w:ascii="Arial" w:hAnsi="Arial" w:cs="Arial"/>
          <w:sz w:val="24"/>
          <w:szCs w:val="24"/>
        </w:rPr>
        <w:t>uto</w:t>
      </w:r>
      <w:r w:rsidR="009B2729" w:rsidRPr="00065198">
        <w:rPr>
          <w:rFonts w:ascii="Arial" w:hAnsi="Arial" w:cs="Arial"/>
          <w:sz w:val="24"/>
          <w:szCs w:val="24"/>
        </w:rPr>
        <w:t>.</w:t>
      </w:r>
      <w:r w:rsidR="00D724D9" w:rsidRPr="00065198">
        <w:rPr>
          <w:rFonts w:ascii="Arial" w:hAnsi="Arial" w:cs="Arial"/>
          <w:sz w:val="24"/>
          <w:szCs w:val="24"/>
        </w:rPr>
        <w:t xml:space="preserve"> </w:t>
      </w:r>
      <w:r w:rsidR="009B2729" w:rsidRPr="00065198">
        <w:rPr>
          <w:rFonts w:ascii="Arial" w:hAnsi="Arial" w:cs="Arial"/>
          <w:sz w:val="24"/>
          <w:szCs w:val="24"/>
        </w:rPr>
        <w:t xml:space="preserve">La concentración plasmática máxima </w:t>
      </w:r>
      <w:r w:rsidR="006A60EA">
        <w:rPr>
          <w:rFonts w:ascii="Arial" w:hAnsi="Arial" w:cs="Arial"/>
          <w:sz w:val="24"/>
          <w:szCs w:val="24"/>
        </w:rPr>
        <w:t>fúe de 106.0±28.9, 156.7±34.3 y 223.0±44.5 ng/mL para la dosis de 0.1, 0.2, y 0.4 mg/Kg y ocurrió a las 0.09±</w:t>
      </w:r>
      <w:r w:rsidR="009B2729" w:rsidRPr="00065198">
        <w:rPr>
          <w:rFonts w:ascii="Arial" w:hAnsi="Arial" w:cs="Arial"/>
          <w:sz w:val="24"/>
          <w:szCs w:val="24"/>
        </w:rPr>
        <w:t>0.03 horas</w:t>
      </w:r>
      <w:r w:rsidR="006A60EA">
        <w:rPr>
          <w:rFonts w:ascii="Arial" w:hAnsi="Arial" w:cs="Arial"/>
          <w:sz w:val="24"/>
          <w:szCs w:val="24"/>
        </w:rPr>
        <w:t xml:space="preserve"> posteriores a la administración del fármaco</w:t>
      </w:r>
      <w:r w:rsidR="009B2729" w:rsidRPr="00065198">
        <w:rPr>
          <w:rFonts w:ascii="Arial" w:hAnsi="Arial" w:cs="Arial"/>
          <w:sz w:val="24"/>
          <w:szCs w:val="24"/>
        </w:rPr>
        <w:t xml:space="preserve">. El aclaramiento sistémico y el volumen de distribución </w:t>
      </w:r>
      <w:r w:rsidR="006A60EA">
        <w:rPr>
          <w:rFonts w:ascii="Arial" w:hAnsi="Arial" w:cs="Arial"/>
          <w:sz w:val="24"/>
          <w:szCs w:val="24"/>
        </w:rPr>
        <w:t xml:space="preserve">fueron de 12.0, 12.2 y 17.9 mL/min/kg y 2.1, </w:t>
      </w:r>
      <w:r w:rsidR="006A60EA">
        <w:rPr>
          <w:rFonts w:ascii="Arial" w:hAnsi="Arial" w:cs="Arial"/>
          <w:sz w:val="24"/>
          <w:szCs w:val="24"/>
        </w:rPr>
        <w:lastRenderedPageBreak/>
        <w:t>2.6 y 2.9 L/</w:t>
      </w:r>
      <w:r w:rsidR="009B2729" w:rsidRPr="00065198">
        <w:rPr>
          <w:rFonts w:ascii="Arial" w:hAnsi="Arial" w:cs="Arial"/>
          <w:sz w:val="24"/>
          <w:szCs w:val="24"/>
        </w:rPr>
        <w:t xml:space="preserve">kg </w:t>
      </w:r>
      <w:r w:rsidR="006A60EA">
        <w:rPr>
          <w:rFonts w:ascii="Arial" w:hAnsi="Arial" w:cs="Arial"/>
          <w:sz w:val="24"/>
          <w:szCs w:val="24"/>
        </w:rPr>
        <w:t xml:space="preserve">en el </w:t>
      </w:r>
      <w:r w:rsidR="009B2729" w:rsidRPr="00065198">
        <w:rPr>
          <w:rFonts w:ascii="Arial" w:hAnsi="Arial" w:cs="Arial"/>
          <w:sz w:val="24"/>
          <w:szCs w:val="24"/>
        </w:rPr>
        <w:t>análisis no compartimental. La vida media de</w:t>
      </w:r>
      <w:r w:rsidR="006A60EA">
        <w:rPr>
          <w:rFonts w:ascii="Arial" w:hAnsi="Arial" w:cs="Arial"/>
          <w:sz w:val="24"/>
          <w:szCs w:val="24"/>
        </w:rPr>
        <w:t xml:space="preserve"> eliminación terminal fue de 43.6, 3.3 y 2.9 horas para la</w:t>
      </w:r>
      <w:r w:rsidR="006545DC">
        <w:rPr>
          <w:rFonts w:ascii="Arial" w:hAnsi="Arial" w:cs="Arial"/>
          <w:sz w:val="24"/>
          <w:szCs w:val="24"/>
        </w:rPr>
        <w:t>s</w:t>
      </w:r>
      <w:r w:rsidR="006A60EA">
        <w:rPr>
          <w:rFonts w:ascii="Arial" w:hAnsi="Arial" w:cs="Arial"/>
          <w:sz w:val="24"/>
          <w:szCs w:val="24"/>
        </w:rPr>
        <w:t xml:space="preserve"> dosis de 0.1, 0.2, y 0.</w:t>
      </w:r>
      <w:r w:rsidR="009B2729" w:rsidRPr="00065198">
        <w:rPr>
          <w:rFonts w:ascii="Arial" w:hAnsi="Arial" w:cs="Arial"/>
          <w:sz w:val="24"/>
          <w:szCs w:val="24"/>
        </w:rPr>
        <w:t>4 mg/Kg.</w:t>
      </w:r>
      <w:r w:rsidR="00D724D9" w:rsidRPr="00065198">
        <w:rPr>
          <w:rFonts w:ascii="Arial" w:hAnsi="Arial" w:cs="Arial"/>
          <w:sz w:val="24"/>
          <w:szCs w:val="24"/>
        </w:rPr>
        <w:t xml:space="preserve"> </w:t>
      </w:r>
      <w:r w:rsidR="009B2729" w:rsidRPr="00065198">
        <w:rPr>
          <w:rFonts w:ascii="Arial" w:hAnsi="Arial" w:cs="Arial"/>
          <w:sz w:val="24"/>
          <w:szCs w:val="24"/>
        </w:rPr>
        <w:t>Para</w:t>
      </w:r>
      <w:r w:rsidR="006545DC">
        <w:rPr>
          <w:rFonts w:ascii="Arial" w:hAnsi="Arial" w:cs="Arial"/>
          <w:sz w:val="24"/>
          <w:szCs w:val="24"/>
        </w:rPr>
        <w:t xml:space="preserve"> el análisis compartimental, </w:t>
      </w:r>
      <w:r w:rsidR="009B2729" w:rsidRPr="00065198">
        <w:rPr>
          <w:rFonts w:ascii="Arial" w:hAnsi="Arial" w:cs="Arial"/>
          <w:sz w:val="24"/>
          <w:szCs w:val="24"/>
        </w:rPr>
        <w:t xml:space="preserve">el aclaramiento sistémico y el volumen de distribución de la </w:t>
      </w:r>
      <w:r w:rsidR="00E43E78">
        <w:rPr>
          <w:rFonts w:ascii="Arial" w:hAnsi="Arial" w:cs="Arial"/>
          <w:sz w:val="24"/>
          <w:szCs w:val="24"/>
        </w:rPr>
        <w:t>YOH</w:t>
      </w:r>
      <w:r w:rsidR="009B2729" w:rsidRPr="00065198">
        <w:rPr>
          <w:rFonts w:ascii="Arial" w:hAnsi="Arial" w:cs="Arial"/>
          <w:sz w:val="24"/>
          <w:szCs w:val="24"/>
        </w:rPr>
        <w:t xml:space="preserve"> </w:t>
      </w:r>
      <w:r w:rsidR="006545DC">
        <w:rPr>
          <w:rFonts w:ascii="Arial" w:hAnsi="Arial" w:cs="Arial"/>
          <w:sz w:val="24"/>
          <w:szCs w:val="24"/>
        </w:rPr>
        <w:t xml:space="preserve">fueron de </w:t>
      </w:r>
      <w:r w:rsidR="009B2729" w:rsidRPr="00065198">
        <w:rPr>
          <w:rFonts w:ascii="Arial" w:hAnsi="Arial" w:cs="Arial"/>
          <w:sz w:val="24"/>
          <w:szCs w:val="24"/>
        </w:rPr>
        <w:t>1</w:t>
      </w:r>
      <w:r w:rsidR="006545DC">
        <w:rPr>
          <w:rFonts w:ascii="Arial" w:hAnsi="Arial" w:cs="Arial"/>
          <w:sz w:val="24"/>
          <w:szCs w:val="24"/>
        </w:rPr>
        <w:t>1.1 mL/min/kg y 2.3 L/</w:t>
      </w:r>
      <w:r w:rsidR="00D724D9" w:rsidRPr="00065198">
        <w:rPr>
          <w:rFonts w:ascii="Arial" w:hAnsi="Arial" w:cs="Arial"/>
          <w:sz w:val="24"/>
          <w:szCs w:val="24"/>
        </w:rPr>
        <w:t xml:space="preserve">kg. </w:t>
      </w:r>
      <w:r w:rsidR="009B2729" w:rsidRPr="00065198">
        <w:rPr>
          <w:rFonts w:ascii="Arial" w:hAnsi="Arial" w:cs="Arial"/>
          <w:sz w:val="24"/>
          <w:szCs w:val="24"/>
        </w:rPr>
        <w:t xml:space="preserve">Dos caballos mostraron signos de sedación, un caballo </w:t>
      </w:r>
      <w:r w:rsidR="006545DC">
        <w:rPr>
          <w:rFonts w:ascii="Arial" w:hAnsi="Arial" w:cs="Arial"/>
          <w:sz w:val="24"/>
          <w:szCs w:val="24"/>
        </w:rPr>
        <w:t xml:space="preserve">presento excitación y los restantes </w:t>
      </w:r>
      <w:r w:rsidR="009B2729" w:rsidRPr="00065198">
        <w:rPr>
          <w:rFonts w:ascii="Arial" w:hAnsi="Arial" w:cs="Arial"/>
          <w:sz w:val="24"/>
          <w:szCs w:val="24"/>
        </w:rPr>
        <w:t xml:space="preserve">seis </w:t>
      </w:r>
      <w:r w:rsidR="006545DC">
        <w:rPr>
          <w:rFonts w:ascii="Arial" w:hAnsi="Arial" w:cs="Arial"/>
          <w:sz w:val="24"/>
          <w:szCs w:val="24"/>
        </w:rPr>
        <w:t xml:space="preserve">no se apreciaron </w:t>
      </w:r>
      <w:r w:rsidR="009B2729" w:rsidRPr="00065198">
        <w:rPr>
          <w:rFonts w:ascii="Arial" w:hAnsi="Arial" w:cs="Arial"/>
          <w:sz w:val="24"/>
          <w:szCs w:val="24"/>
        </w:rPr>
        <w:t>conductualmente afectado</w:t>
      </w:r>
      <w:r w:rsidR="00D724D9" w:rsidRPr="00065198">
        <w:rPr>
          <w:rFonts w:ascii="Arial" w:hAnsi="Arial" w:cs="Arial"/>
          <w:sz w:val="24"/>
          <w:szCs w:val="24"/>
        </w:rPr>
        <w:t>s</w:t>
      </w:r>
      <w:r w:rsidR="009B2729" w:rsidRPr="00065198">
        <w:rPr>
          <w:rFonts w:ascii="Arial" w:hAnsi="Arial" w:cs="Arial"/>
          <w:sz w:val="24"/>
          <w:szCs w:val="24"/>
        </w:rPr>
        <w:t xml:space="preserve">. Se observaron episodios de taquicardia a pocos minutos de la administración de las </w:t>
      </w:r>
      <w:r w:rsidR="006545DC">
        <w:rPr>
          <w:rFonts w:ascii="Arial" w:hAnsi="Arial" w:cs="Arial"/>
          <w:sz w:val="24"/>
          <w:szCs w:val="24"/>
        </w:rPr>
        <w:t xml:space="preserve">distintas </w:t>
      </w:r>
      <w:r w:rsidR="009B2729" w:rsidRPr="00065198">
        <w:rPr>
          <w:rFonts w:ascii="Arial" w:hAnsi="Arial" w:cs="Arial"/>
          <w:sz w:val="24"/>
          <w:szCs w:val="24"/>
        </w:rPr>
        <w:t>dosis</w:t>
      </w:r>
      <w:r w:rsidR="006545DC" w:rsidRPr="006545DC">
        <w:rPr>
          <w:rFonts w:ascii="Arial" w:hAnsi="Arial" w:cs="Arial"/>
          <w:sz w:val="24"/>
          <w:szCs w:val="24"/>
        </w:rPr>
        <w:t xml:space="preserve"> </w:t>
      </w:r>
      <w:r w:rsidR="006545DC">
        <w:rPr>
          <w:rFonts w:ascii="Arial" w:hAnsi="Arial" w:cs="Arial"/>
          <w:sz w:val="24"/>
          <w:szCs w:val="24"/>
        </w:rPr>
        <w:t>en los caballo. S</w:t>
      </w:r>
      <w:r w:rsidR="009B2729" w:rsidRPr="00065198">
        <w:rPr>
          <w:rFonts w:ascii="Arial" w:hAnsi="Arial" w:cs="Arial"/>
          <w:sz w:val="24"/>
          <w:szCs w:val="24"/>
        </w:rPr>
        <w:t>in embargo, no hubo correlación entre las respuesta</w:t>
      </w:r>
      <w:r w:rsidR="006545DC">
        <w:rPr>
          <w:rFonts w:ascii="Arial" w:hAnsi="Arial" w:cs="Arial"/>
          <w:sz w:val="24"/>
          <w:szCs w:val="24"/>
        </w:rPr>
        <w:t xml:space="preserve">s de comportamiento y el incremento del </w:t>
      </w:r>
      <w:r w:rsidR="009B2729" w:rsidRPr="00065198">
        <w:rPr>
          <w:rFonts w:ascii="Arial" w:hAnsi="Arial" w:cs="Arial"/>
          <w:sz w:val="24"/>
          <w:szCs w:val="24"/>
        </w:rPr>
        <w:t>ritmo cardíaco. 63</w:t>
      </w:r>
      <w:r w:rsidR="006545DC">
        <w:rPr>
          <w:rFonts w:ascii="Arial" w:hAnsi="Arial" w:cs="Arial"/>
          <w:sz w:val="24"/>
          <w:szCs w:val="24"/>
        </w:rPr>
        <w:t xml:space="preserve"> </w:t>
      </w:r>
      <w:r w:rsidR="009B2729" w:rsidRPr="00065198">
        <w:rPr>
          <w:rFonts w:ascii="Arial" w:hAnsi="Arial" w:cs="Arial"/>
          <w:sz w:val="24"/>
          <w:szCs w:val="24"/>
        </w:rPr>
        <w:t>% de los caballos exhibieron bradicardia</w:t>
      </w:r>
      <w:r w:rsidR="006545DC">
        <w:rPr>
          <w:rFonts w:ascii="Arial" w:hAnsi="Arial" w:cs="Arial"/>
          <w:sz w:val="24"/>
          <w:szCs w:val="24"/>
        </w:rPr>
        <w:t xml:space="preserve"> antes de la administración del fármaco y </w:t>
      </w:r>
      <w:r w:rsidR="009B2729" w:rsidRPr="00065198">
        <w:rPr>
          <w:rFonts w:ascii="Arial" w:hAnsi="Arial" w:cs="Arial"/>
          <w:sz w:val="24"/>
          <w:szCs w:val="24"/>
        </w:rPr>
        <w:t>mejorar</w:t>
      </w:r>
      <w:r w:rsidR="006545DC">
        <w:rPr>
          <w:rFonts w:ascii="Arial" w:hAnsi="Arial" w:cs="Arial"/>
          <w:sz w:val="24"/>
          <w:szCs w:val="24"/>
        </w:rPr>
        <w:t xml:space="preserve">on transitoriamente  conforme aumento el tiempo, fueron </w:t>
      </w:r>
      <w:r w:rsidR="009B2729" w:rsidRPr="00065198">
        <w:rPr>
          <w:rFonts w:ascii="Arial" w:hAnsi="Arial" w:cs="Arial"/>
          <w:sz w:val="24"/>
          <w:szCs w:val="24"/>
        </w:rPr>
        <w:t>desapareci</w:t>
      </w:r>
      <w:r w:rsidR="006545DC">
        <w:rPr>
          <w:rFonts w:ascii="Arial" w:hAnsi="Arial" w:cs="Arial"/>
          <w:sz w:val="24"/>
          <w:szCs w:val="24"/>
        </w:rPr>
        <w:t>en</w:t>
      </w:r>
      <w:r w:rsidR="009B2729" w:rsidRPr="00065198">
        <w:rPr>
          <w:rFonts w:ascii="Arial" w:hAnsi="Arial" w:cs="Arial"/>
          <w:sz w:val="24"/>
          <w:szCs w:val="24"/>
        </w:rPr>
        <w:t xml:space="preserve">do </w:t>
      </w:r>
      <w:r w:rsidR="006545DC">
        <w:rPr>
          <w:rFonts w:ascii="Arial" w:hAnsi="Arial" w:cs="Arial"/>
          <w:sz w:val="24"/>
          <w:szCs w:val="24"/>
        </w:rPr>
        <w:t>los efectos adversos</w:t>
      </w:r>
      <w:r w:rsidR="009B2729" w:rsidRPr="00065198">
        <w:rPr>
          <w:rFonts w:ascii="Arial" w:hAnsi="Arial" w:cs="Arial"/>
          <w:sz w:val="24"/>
          <w:szCs w:val="24"/>
        </w:rPr>
        <w:t>.</w:t>
      </w:r>
      <w:r w:rsidR="00D724D9" w:rsidRPr="00065198">
        <w:rPr>
          <w:rFonts w:ascii="Arial" w:hAnsi="Arial" w:cs="Arial"/>
          <w:sz w:val="24"/>
          <w:szCs w:val="24"/>
        </w:rPr>
        <w:t xml:space="preserve"> </w:t>
      </w:r>
      <w:r w:rsidR="00D26710" w:rsidRPr="00065198">
        <w:rPr>
          <w:rFonts w:ascii="Arial" w:hAnsi="Arial" w:cs="Arial"/>
          <w:sz w:val="24"/>
          <w:szCs w:val="24"/>
        </w:rPr>
        <w:t xml:space="preserve">Las respuestas de comportamiento tras la administración de </w:t>
      </w:r>
      <w:r w:rsidR="00E43E78">
        <w:rPr>
          <w:rFonts w:ascii="Arial" w:hAnsi="Arial" w:cs="Arial"/>
          <w:sz w:val="24"/>
          <w:szCs w:val="24"/>
        </w:rPr>
        <w:t>YOH</w:t>
      </w:r>
      <w:r w:rsidR="00D26710" w:rsidRPr="00065198">
        <w:rPr>
          <w:rFonts w:ascii="Arial" w:hAnsi="Arial" w:cs="Arial"/>
          <w:sz w:val="24"/>
          <w:szCs w:val="24"/>
        </w:rPr>
        <w:t xml:space="preserve"> parecen ser consistentes </w:t>
      </w:r>
      <w:r w:rsidR="006545DC">
        <w:rPr>
          <w:rFonts w:ascii="Arial" w:hAnsi="Arial" w:cs="Arial"/>
          <w:sz w:val="24"/>
          <w:szCs w:val="24"/>
        </w:rPr>
        <w:t>en los caballos, las cuales son independientes</w:t>
      </w:r>
      <w:r w:rsidR="00D26710" w:rsidRPr="00065198">
        <w:rPr>
          <w:rFonts w:ascii="Arial" w:hAnsi="Arial" w:cs="Arial"/>
          <w:sz w:val="24"/>
          <w:szCs w:val="24"/>
        </w:rPr>
        <w:t xml:space="preserve"> de la dosis. En todos los caballos, la </w:t>
      </w:r>
      <w:r w:rsidR="00E43E78">
        <w:rPr>
          <w:rFonts w:ascii="Arial" w:hAnsi="Arial" w:cs="Arial"/>
          <w:sz w:val="24"/>
          <w:szCs w:val="24"/>
        </w:rPr>
        <w:t>YOH</w:t>
      </w:r>
      <w:r w:rsidR="00D26710" w:rsidRPr="00065198">
        <w:rPr>
          <w:rFonts w:ascii="Arial" w:hAnsi="Arial" w:cs="Arial"/>
          <w:sz w:val="24"/>
          <w:szCs w:val="24"/>
        </w:rPr>
        <w:t xml:space="preserve"> tuvo profundos efectos sobre la frecuencia y el ritmo</w:t>
      </w:r>
      <w:r w:rsidR="006545DC">
        <w:rPr>
          <w:rFonts w:ascii="Arial" w:hAnsi="Arial" w:cs="Arial"/>
          <w:sz w:val="24"/>
          <w:szCs w:val="24"/>
        </w:rPr>
        <w:t xml:space="preserve"> cardiaco</w:t>
      </w:r>
      <w:r w:rsidR="00D26710" w:rsidRPr="00065198">
        <w:rPr>
          <w:rFonts w:ascii="Arial" w:hAnsi="Arial" w:cs="Arial"/>
          <w:sz w:val="24"/>
          <w:szCs w:val="24"/>
        </w:rPr>
        <w:t xml:space="preserve">, la frecuencia cardíaca máxima </w:t>
      </w:r>
      <w:r w:rsidR="009F031D">
        <w:rPr>
          <w:rFonts w:ascii="Arial" w:hAnsi="Arial" w:cs="Arial"/>
          <w:sz w:val="24"/>
          <w:szCs w:val="24"/>
        </w:rPr>
        <w:t xml:space="preserve">fue </w:t>
      </w:r>
      <w:r w:rsidR="00D26710" w:rsidRPr="00065198">
        <w:rPr>
          <w:rFonts w:ascii="Arial" w:hAnsi="Arial" w:cs="Arial"/>
          <w:sz w:val="24"/>
          <w:szCs w:val="24"/>
        </w:rPr>
        <w:t xml:space="preserve">superior a 100 latidos por minuto en algunos </w:t>
      </w:r>
      <w:r w:rsidR="009F031D">
        <w:rPr>
          <w:rFonts w:ascii="Arial" w:hAnsi="Arial" w:cs="Arial"/>
          <w:sz w:val="24"/>
          <w:szCs w:val="24"/>
        </w:rPr>
        <w:t xml:space="preserve">de los </w:t>
      </w:r>
      <w:r w:rsidR="00D26710" w:rsidRPr="00065198">
        <w:rPr>
          <w:rFonts w:ascii="Arial" w:hAnsi="Arial" w:cs="Arial"/>
          <w:sz w:val="24"/>
          <w:szCs w:val="24"/>
        </w:rPr>
        <w:t>caballos</w:t>
      </w:r>
      <w:r w:rsidR="009F031D">
        <w:rPr>
          <w:rFonts w:ascii="Arial" w:hAnsi="Arial" w:cs="Arial"/>
          <w:sz w:val="24"/>
          <w:szCs w:val="24"/>
        </w:rPr>
        <w:t xml:space="preserve"> bajo estudio</w:t>
      </w:r>
      <w:r w:rsidR="00D26710" w:rsidRPr="00065198">
        <w:rPr>
          <w:rFonts w:ascii="Arial" w:hAnsi="Arial" w:cs="Arial"/>
          <w:sz w:val="24"/>
          <w:szCs w:val="24"/>
        </w:rPr>
        <w:t xml:space="preserve">. En general, los efectos de la </w:t>
      </w:r>
      <w:r w:rsidR="00E43E78">
        <w:rPr>
          <w:rFonts w:ascii="Arial" w:hAnsi="Arial" w:cs="Arial"/>
          <w:sz w:val="24"/>
          <w:szCs w:val="24"/>
        </w:rPr>
        <w:t>YOH</w:t>
      </w:r>
      <w:r w:rsidR="00D26710" w:rsidRPr="00065198">
        <w:rPr>
          <w:rFonts w:ascii="Arial" w:hAnsi="Arial" w:cs="Arial"/>
          <w:sz w:val="24"/>
          <w:szCs w:val="24"/>
        </w:rPr>
        <w:t xml:space="preserve"> parecen ser muy variable</w:t>
      </w:r>
      <w:r w:rsidR="009F031D">
        <w:rPr>
          <w:rFonts w:ascii="Arial" w:hAnsi="Arial" w:cs="Arial"/>
          <w:sz w:val="24"/>
          <w:szCs w:val="24"/>
        </w:rPr>
        <w:t>s</w:t>
      </w:r>
      <w:r w:rsidR="00D26710" w:rsidRPr="00065198">
        <w:rPr>
          <w:rFonts w:ascii="Arial" w:hAnsi="Arial" w:cs="Arial"/>
          <w:sz w:val="24"/>
          <w:szCs w:val="24"/>
        </w:rPr>
        <w:t xml:space="preserve"> entre los caballos, y</w:t>
      </w:r>
      <w:r w:rsidR="009F031D">
        <w:rPr>
          <w:rFonts w:ascii="Arial" w:hAnsi="Arial" w:cs="Arial"/>
          <w:sz w:val="24"/>
          <w:szCs w:val="24"/>
        </w:rPr>
        <w:t xml:space="preserve"> </w:t>
      </w:r>
      <w:r w:rsidR="00D26710" w:rsidRPr="00065198">
        <w:rPr>
          <w:rFonts w:ascii="Arial" w:hAnsi="Arial" w:cs="Arial"/>
          <w:sz w:val="24"/>
          <w:szCs w:val="24"/>
        </w:rPr>
        <w:t xml:space="preserve">a pesar de que actualmente no hay indicación terapéutica </w:t>
      </w:r>
      <w:r w:rsidR="009F031D">
        <w:rPr>
          <w:rFonts w:ascii="Arial" w:hAnsi="Arial" w:cs="Arial"/>
          <w:sz w:val="24"/>
          <w:szCs w:val="24"/>
        </w:rPr>
        <w:t xml:space="preserve">respecto a la </w:t>
      </w:r>
      <w:r w:rsidR="00D26710" w:rsidRPr="00065198">
        <w:rPr>
          <w:rFonts w:ascii="Arial" w:hAnsi="Arial" w:cs="Arial"/>
          <w:sz w:val="24"/>
          <w:szCs w:val="24"/>
        </w:rPr>
        <w:t xml:space="preserve">administración de </w:t>
      </w:r>
      <w:r w:rsidR="009F031D">
        <w:rPr>
          <w:rFonts w:ascii="Arial" w:hAnsi="Arial" w:cs="Arial"/>
          <w:sz w:val="24"/>
          <w:szCs w:val="24"/>
        </w:rPr>
        <w:t xml:space="preserve">la </w:t>
      </w:r>
      <w:r w:rsidR="00E43E78">
        <w:rPr>
          <w:rFonts w:ascii="Arial" w:hAnsi="Arial" w:cs="Arial"/>
          <w:sz w:val="24"/>
          <w:szCs w:val="24"/>
        </w:rPr>
        <w:t>YOH</w:t>
      </w:r>
      <w:r w:rsidR="009F031D">
        <w:rPr>
          <w:rFonts w:ascii="Arial" w:hAnsi="Arial" w:cs="Arial"/>
          <w:sz w:val="24"/>
          <w:szCs w:val="24"/>
        </w:rPr>
        <w:t xml:space="preserve"> en caballos, se sugiere administrarla </w:t>
      </w:r>
      <w:r w:rsidR="00D26710" w:rsidRPr="00065198">
        <w:rPr>
          <w:rFonts w:ascii="Arial" w:hAnsi="Arial" w:cs="Arial"/>
          <w:sz w:val="24"/>
          <w:szCs w:val="24"/>
        </w:rPr>
        <w:t>con precaución, ya que existe la posib</w:t>
      </w:r>
      <w:r w:rsidR="009F031D">
        <w:rPr>
          <w:rFonts w:ascii="Arial" w:hAnsi="Arial" w:cs="Arial"/>
          <w:sz w:val="24"/>
          <w:szCs w:val="24"/>
        </w:rPr>
        <w:t>ilidad de efectos adversos impredec</w:t>
      </w:r>
      <w:r w:rsidR="00D26710" w:rsidRPr="00065198">
        <w:rPr>
          <w:rFonts w:ascii="Arial" w:hAnsi="Arial" w:cs="Arial"/>
          <w:sz w:val="24"/>
          <w:szCs w:val="24"/>
        </w:rPr>
        <w:t>ibles.</w:t>
      </w:r>
    </w:p>
    <w:p w:rsidR="00D26710" w:rsidRPr="00065198" w:rsidRDefault="00603407" w:rsidP="009F031D">
      <w:pPr>
        <w:pStyle w:val="NormalWeb"/>
        <w:spacing w:line="360" w:lineRule="auto"/>
        <w:jc w:val="both"/>
        <w:rPr>
          <w:rFonts w:ascii="Arial" w:hAnsi="Arial" w:cs="Arial"/>
          <w:sz w:val="24"/>
          <w:szCs w:val="24"/>
        </w:rPr>
      </w:pPr>
      <w:r w:rsidRPr="00065198">
        <w:rPr>
          <w:rFonts w:ascii="Arial" w:hAnsi="Arial" w:cs="Arial"/>
          <w:sz w:val="24"/>
          <w:szCs w:val="24"/>
        </w:rPr>
        <w:t xml:space="preserve">Jernigan </w:t>
      </w:r>
      <w:r w:rsidRPr="009F031D">
        <w:rPr>
          <w:rFonts w:ascii="Arial" w:hAnsi="Arial" w:cs="Arial"/>
          <w:i/>
          <w:sz w:val="24"/>
          <w:szCs w:val="24"/>
        </w:rPr>
        <w:t>et al</w:t>
      </w:r>
      <w:r w:rsidRPr="00065198">
        <w:rPr>
          <w:rFonts w:ascii="Arial" w:hAnsi="Arial" w:cs="Arial"/>
          <w:sz w:val="24"/>
          <w:szCs w:val="24"/>
        </w:rPr>
        <w:t xml:space="preserve">. </w:t>
      </w:r>
      <w:r w:rsidR="009F031D">
        <w:rPr>
          <w:rFonts w:ascii="Arial" w:hAnsi="Arial" w:cs="Arial"/>
          <w:sz w:val="24"/>
          <w:szCs w:val="24"/>
        </w:rPr>
        <w:t>(</w:t>
      </w:r>
      <w:r w:rsidRPr="00065198">
        <w:rPr>
          <w:rFonts w:ascii="Arial" w:hAnsi="Arial" w:cs="Arial"/>
          <w:sz w:val="24"/>
          <w:szCs w:val="24"/>
        </w:rPr>
        <w:t>1</w:t>
      </w:r>
      <w:r w:rsidR="009F031D">
        <w:rPr>
          <w:rFonts w:ascii="Arial" w:hAnsi="Arial" w:cs="Arial"/>
          <w:sz w:val="24"/>
          <w:szCs w:val="24"/>
        </w:rPr>
        <w:t>988)</w:t>
      </w:r>
      <w:r w:rsidRPr="00065198">
        <w:rPr>
          <w:rFonts w:ascii="Arial" w:hAnsi="Arial" w:cs="Arial"/>
          <w:sz w:val="24"/>
          <w:szCs w:val="24"/>
        </w:rPr>
        <w:t>,</w:t>
      </w:r>
      <w:r w:rsidR="009F031D">
        <w:rPr>
          <w:rFonts w:ascii="Arial" w:hAnsi="Arial" w:cs="Arial"/>
          <w:sz w:val="24"/>
          <w:szCs w:val="24"/>
        </w:rPr>
        <w:t xml:space="preserve"> </w:t>
      </w:r>
      <w:r w:rsidRPr="00065198">
        <w:rPr>
          <w:rFonts w:ascii="Arial" w:hAnsi="Arial" w:cs="Arial"/>
          <w:sz w:val="24"/>
          <w:szCs w:val="24"/>
        </w:rPr>
        <w:t>c</w:t>
      </w:r>
      <w:r w:rsidR="00D26710" w:rsidRPr="00065198">
        <w:rPr>
          <w:rFonts w:ascii="Arial" w:hAnsi="Arial" w:cs="Arial"/>
          <w:sz w:val="24"/>
          <w:szCs w:val="24"/>
        </w:rPr>
        <w:t>aract</w:t>
      </w:r>
      <w:r w:rsidR="009F031D">
        <w:rPr>
          <w:rFonts w:ascii="Arial" w:hAnsi="Arial" w:cs="Arial"/>
          <w:sz w:val="24"/>
          <w:szCs w:val="24"/>
        </w:rPr>
        <w:t>erizaron</w:t>
      </w:r>
      <w:r w:rsidRPr="00065198">
        <w:rPr>
          <w:rFonts w:ascii="Arial" w:hAnsi="Arial" w:cs="Arial"/>
          <w:sz w:val="24"/>
          <w:szCs w:val="24"/>
        </w:rPr>
        <w:t xml:space="preserve"> el perfil farmacocinético</w:t>
      </w:r>
      <w:r w:rsidR="00D26710" w:rsidRPr="00065198">
        <w:rPr>
          <w:rFonts w:ascii="Arial" w:hAnsi="Arial" w:cs="Arial"/>
          <w:sz w:val="24"/>
          <w:szCs w:val="24"/>
        </w:rPr>
        <w:t xml:space="preserve"> y det</w:t>
      </w:r>
      <w:r w:rsidR="009F031D">
        <w:rPr>
          <w:rFonts w:ascii="Arial" w:hAnsi="Arial" w:cs="Arial"/>
          <w:sz w:val="24"/>
          <w:szCs w:val="24"/>
        </w:rPr>
        <w:t xml:space="preserve">erminaron la vida media del clorhidrato de </w:t>
      </w:r>
      <w:r w:rsidR="00E43E78">
        <w:rPr>
          <w:rFonts w:ascii="Arial" w:hAnsi="Arial" w:cs="Arial"/>
          <w:sz w:val="24"/>
          <w:szCs w:val="24"/>
        </w:rPr>
        <w:t>YOH</w:t>
      </w:r>
      <w:r w:rsidR="009F031D">
        <w:rPr>
          <w:rFonts w:ascii="Arial" w:hAnsi="Arial" w:cs="Arial"/>
          <w:sz w:val="24"/>
          <w:szCs w:val="24"/>
        </w:rPr>
        <w:t xml:space="preserve"> </w:t>
      </w:r>
      <w:r w:rsidR="00ED642F" w:rsidRPr="00065198">
        <w:rPr>
          <w:rFonts w:ascii="Arial" w:hAnsi="Arial" w:cs="Arial"/>
          <w:sz w:val="24"/>
          <w:szCs w:val="24"/>
        </w:rPr>
        <w:t>con</w:t>
      </w:r>
      <w:r w:rsidR="00D26710" w:rsidRPr="00065198">
        <w:rPr>
          <w:rFonts w:ascii="Arial" w:hAnsi="Arial" w:cs="Arial"/>
          <w:sz w:val="24"/>
          <w:szCs w:val="24"/>
        </w:rPr>
        <w:t xml:space="preserve"> dos dosis </w:t>
      </w:r>
      <w:r w:rsidR="009F031D">
        <w:rPr>
          <w:rFonts w:ascii="Arial" w:hAnsi="Arial" w:cs="Arial"/>
          <w:sz w:val="24"/>
          <w:szCs w:val="24"/>
        </w:rPr>
        <w:t xml:space="preserve">diferentes </w:t>
      </w:r>
      <w:r w:rsidR="00D26710" w:rsidRPr="00065198">
        <w:rPr>
          <w:rFonts w:ascii="Arial" w:hAnsi="Arial" w:cs="Arial"/>
          <w:sz w:val="24"/>
          <w:szCs w:val="24"/>
        </w:rPr>
        <w:t>en caballos</w:t>
      </w:r>
      <w:r w:rsidR="00ED642F" w:rsidRPr="00065198">
        <w:rPr>
          <w:rFonts w:ascii="Arial" w:hAnsi="Arial" w:cs="Arial"/>
          <w:sz w:val="24"/>
          <w:szCs w:val="24"/>
        </w:rPr>
        <w:t xml:space="preserve">. En </w:t>
      </w:r>
      <w:r w:rsidR="009F031D">
        <w:rPr>
          <w:rFonts w:ascii="Arial" w:hAnsi="Arial" w:cs="Arial"/>
          <w:sz w:val="24"/>
          <w:szCs w:val="24"/>
        </w:rPr>
        <w:t xml:space="preserve">su diseño experimental, consideraron </w:t>
      </w:r>
      <w:r w:rsidR="00ED642F" w:rsidRPr="00065198">
        <w:rPr>
          <w:rFonts w:ascii="Arial" w:hAnsi="Arial" w:cs="Arial"/>
          <w:sz w:val="24"/>
          <w:szCs w:val="24"/>
        </w:rPr>
        <w:t xml:space="preserve">dos grupos de caballos </w:t>
      </w:r>
      <w:r w:rsidR="009F031D">
        <w:rPr>
          <w:rFonts w:ascii="Arial" w:hAnsi="Arial" w:cs="Arial"/>
          <w:sz w:val="24"/>
          <w:szCs w:val="24"/>
        </w:rPr>
        <w:t xml:space="preserve">y </w:t>
      </w:r>
      <w:r w:rsidR="00ED642F" w:rsidRPr="00065198">
        <w:rPr>
          <w:rFonts w:ascii="Arial" w:hAnsi="Arial" w:cs="Arial"/>
          <w:sz w:val="24"/>
          <w:szCs w:val="24"/>
        </w:rPr>
        <w:t>determinar</w:t>
      </w:r>
      <w:r w:rsidR="009F031D">
        <w:rPr>
          <w:rFonts w:ascii="Arial" w:hAnsi="Arial" w:cs="Arial"/>
          <w:sz w:val="24"/>
          <w:szCs w:val="24"/>
        </w:rPr>
        <w:t>on si la vida media</w:t>
      </w:r>
      <w:r w:rsidR="00ED642F" w:rsidRPr="00065198">
        <w:rPr>
          <w:rFonts w:ascii="Arial" w:hAnsi="Arial" w:cs="Arial"/>
          <w:sz w:val="24"/>
          <w:szCs w:val="24"/>
        </w:rPr>
        <w:t xml:space="preserve"> </w:t>
      </w:r>
      <w:r w:rsidR="00D26710" w:rsidRPr="00065198">
        <w:rPr>
          <w:rFonts w:ascii="Arial" w:hAnsi="Arial" w:cs="Arial"/>
          <w:sz w:val="24"/>
          <w:szCs w:val="24"/>
        </w:rPr>
        <w:t>v</w:t>
      </w:r>
      <w:r w:rsidR="00ED642F" w:rsidRPr="00065198">
        <w:rPr>
          <w:rFonts w:ascii="Arial" w:hAnsi="Arial" w:cs="Arial"/>
          <w:sz w:val="24"/>
          <w:szCs w:val="24"/>
        </w:rPr>
        <w:t>arió cuando la dosis</w:t>
      </w:r>
      <w:r w:rsidR="009F031D">
        <w:rPr>
          <w:rFonts w:ascii="Arial" w:hAnsi="Arial" w:cs="Arial"/>
          <w:sz w:val="24"/>
          <w:szCs w:val="24"/>
        </w:rPr>
        <w:t xml:space="preserve"> fue diferente</w:t>
      </w:r>
      <w:r w:rsidR="00ED642F" w:rsidRPr="00065198">
        <w:rPr>
          <w:rFonts w:ascii="Arial" w:hAnsi="Arial" w:cs="Arial"/>
          <w:sz w:val="24"/>
          <w:szCs w:val="24"/>
        </w:rPr>
        <w:t>.</w:t>
      </w:r>
      <w:r w:rsidR="00D26710" w:rsidRPr="00065198">
        <w:rPr>
          <w:rFonts w:ascii="Arial" w:hAnsi="Arial" w:cs="Arial"/>
          <w:sz w:val="24"/>
          <w:szCs w:val="24"/>
        </w:rPr>
        <w:t xml:space="preserve"> </w:t>
      </w:r>
      <w:r w:rsidR="009F031D">
        <w:rPr>
          <w:rFonts w:ascii="Arial" w:hAnsi="Arial" w:cs="Arial"/>
          <w:sz w:val="24"/>
          <w:szCs w:val="24"/>
        </w:rPr>
        <w:t xml:space="preserve">En el estudio se colectaron </w:t>
      </w:r>
      <w:r w:rsidR="00D26710" w:rsidRPr="00065198">
        <w:rPr>
          <w:rFonts w:ascii="Arial" w:hAnsi="Arial" w:cs="Arial"/>
          <w:sz w:val="24"/>
          <w:szCs w:val="24"/>
        </w:rPr>
        <w:t xml:space="preserve">muestras de sangre </w:t>
      </w:r>
      <w:r w:rsidR="009F031D">
        <w:rPr>
          <w:rFonts w:ascii="Arial" w:hAnsi="Arial" w:cs="Arial"/>
          <w:sz w:val="24"/>
          <w:szCs w:val="24"/>
        </w:rPr>
        <w:t xml:space="preserve">en diferentes momentos </w:t>
      </w:r>
      <w:r w:rsidR="00ED642F" w:rsidRPr="00065198">
        <w:rPr>
          <w:rFonts w:ascii="Arial" w:hAnsi="Arial" w:cs="Arial"/>
          <w:sz w:val="24"/>
          <w:szCs w:val="24"/>
        </w:rPr>
        <w:t xml:space="preserve">antes y </w:t>
      </w:r>
      <w:r w:rsidR="00D26710" w:rsidRPr="00065198">
        <w:rPr>
          <w:rFonts w:ascii="Arial" w:hAnsi="Arial" w:cs="Arial"/>
          <w:sz w:val="24"/>
          <w:szCs w:val="24"/>
        </w:rPr>
        <w:t xml:space="preserve"> hasta 3 h</w:t>
      </w:r>
      <w:r w:rsidR="009F031D">
        <w:rPr>
          <w:rFonts w:ascii="Arial" w:hAnsi="Arial" w:cs="Arial"/>
          <w:sz w:val="24"/>
          <w:szCs w:val="24"/>
        </w:rPr>
        <w:t xml:space="preserve">oras posteriores a </w:t>
      </w:r>
      <w:r w:rsidR="00D26710" w:rsidRPr="00065198">
        <w:rPr>
          <w:rFonts w:ascii="Arial" w:hAnsi="Arial" w:cs="Arial"/>
          <w:sz w:val="24"/>
          <w:szCs w:val="24"/>
        </w:rPr>
        <w:t>la administración de</w:t>
      </w:r>
      <w:r w:rsidR="00ED642F" w:rsidRPr="00065198">
        <w:rPr>
          <w:rFonts w:ascii="Arial" w:hAnsi="Arial" w:cs="Arial"/>
          <w:sz w:val="24"/>
          <w:szCs w:val="24"/>
        </w:rPr>
        <w:t>l</w:t>
      </w:r>
      <w:r w:rsidR="009F031D">
        <w:rPr>
          <w:rFonts w:ascii="Arial" w:hAnsi="Arial" w:cs="Arial"/>
          <w:sz w:val="24"/>
          <w:szCs w:val="24"/>
        </w:rPr>
        <w:t xml:space="preserve"> fármaco</w:t>
      </w:r>
      <w:r w:rsidR="00ED642F" w:rsidRPr="00065198">
        <w:rPr>
          <w:rFonts w:ascii="Arial" w:hAnsi="Arial" w:cs="Arial"/>
          <w:sz w:val="24"/>
          <w:szCs w:val="24"/>
        </w:rPr>
        <w:t>.</w:t>
      </w:r>
      <w:r w:rsidR="00D26710" w:rsidRPr="00065198">
        <w:rPr>
          <w:rFonts w:ascii="Arial" w:hAnsi="Arial" w:cs="Arial"/>
          <w:sz w:val="24"/>
          <w:szCs w:val="24"/>
        </w:rPr>
        <w:t xml:space="preserve"> La</w:t>
      </w:r>
      <w:r w:rsidR="00ED642F" w:rsidRPr="00065198">
        <w:rPr>
          <w:rFonts w:ascii="Arial" w:hAnsi="Arial" w:cs="Arial"/>
          <w:sz w:val="24"/>
          <w:szCs w:val="24"/>
        </w:rPr>
        <w:t xml:space="preserve">s concentraciones séricas de </w:t>
      </w:r>
      <w:r w:rsidR="00E43E78">
        <w:rPr>
          <w:rFonts w:ascii="Arial" w:hAnsi="Arial" w:cs="Arial"/>
          <w:sz w:val="24"/>
          <w:szCs w:val="24"/>
        </w:rPr>
        <w:t>YOH</w:t>
      </w:r>
      <w:r w:rsidR="00D26710" w:rsidRPr="00065198">
        <w:rPr>
          <w:rFonts w:ascii="Arial" w:hAnsi="Arial" w:cs="Arial"/>
          <w:sz w:val="24"/>
          <w:szCs w:val="24"/>
        </w:rPr>
        <w:t xml:space="preserve"> </w:t>
      </w:r>
      <w:r w:rsidR="009F031D">
        <w:rPr>
          <w:rFonts w:ascii="Arial" w:hAnsi="Arial" w:cs="Arial"/>
          <w:sz w:val="24"/>
          <w:szCs w:val="24"/>
        </w:rPr>
        <w:t>fueron determinadas</w:t>
      </w:r>
      <w:r w:rsidR="00D26710" w:rsidRPr="00065198">
        <w:rPr>
          <w:rFonts w:ascii="Arial" w:hAnsi="Arial" w:cs="Arial"/>
          <w:sz w:val="24"/>
          <w:szCs w:val="24"/>
        </w:rPr>
        <w:t xml:space="preserve"> por un método de cromatografía líquida de alta </w:t>
      </w:r>
      <w:r w:rsidR="009F031D">
        <w:rPr>
          <w:rFonts w:ascii="Arial" w:hAnsi="Arial" w:cs="Arial"/>
          <w:sz w:val="24"/>
          <w:szCs w:val="24"/>
        </w:rPr>
        <w:t>eficacia</w:t>
      </w:r>
      <w:r w:rsidR="00D26710" w:rsidRPr="00065198">
        <w:rPr>
          <w:rFonts w:ascii="Arial" w:hAnsi="Arial" w:cs="Arial"/>
          <w:sz w:val="24"/>
          <w:szCs w:val="24"/>
        </w:rPr>
        <w:t xml:space="preserve"> (HPLC). Para el análisis farmacocinético, se utilizó un </w:t>
      </w:r>
      <w:r w:rsidR="009F031D">
        <w:rPr>
          <w:rFonts w:ascii="Arial" w:hAnsi="Arial" w:cs="Arial"/>
          <w:sz w:val="24"/>
          <w:szCs w:val="24"/>
        </w:rPr>
        <w:t>modelo farmacocinético</w:t>
      </w:r>
      <w:r w:rsidR="00D26710" w:rsidRPr="00065198">
        <w:rPr>
          <w:rFonts w:ascii="Arial" w:hAnsi="Arial" w:cs="Arial"/>
          <w:sz w:val="24"/>
          <w:szCs w:val="24"/>
        </w:rPr>
        <w:t xml:space="preserve"> no </w:t>
      </w:r>
      <w:r w:rsidR="00D26710" w:rsidRPr="00784EC8">
        <w:rPr>
          <w:rFonts w:ascii="Arial" w:hAnsi="Arial" w:cs="Arial"/>
          <w:sz w:val="24"/>
          <w:szCs w:val="24"/>
        </w:rPr>
        <w:t xml:space="preserve">compartimental utilizando la teoría </w:t>
      </w:r>
      <w:r w:rsidR="00784EC8" w:rsidRPr="00784EC8">
        <w:rPr>
          <w:rFonts w:ascii="Arial" w:hAnsi="Arial" w:cs="Arial"/>
          <w:sz w:val="24"/>
          <w:szCs w:val="24"/>
        </w:rPr>
        <w:t xml:space="preserve">estadística metodo de los </w:t>
      </w:r>
      <w:r w:rsidR="00D26710" w:rsidRPr="00784EC8">
        <w:rPr>
          <w:rFonts w:ascii="Arial" w:hAnsi="Arial" w:cs="Arial"/>
          <w:sz w:val="24"/>
          <w:szCs w:val="24"/>
        </w:rPr>
        <w:t>momento</w:t>
      </w:r>
      <w:r w:rsidR="00784EC8" w:rsidRPr="00784EC8">
        <w:rPr>
          <w:rFonts w:ascii="Arial" w:hAnsi="Arial" w:cs="Arial"/>
          <w:sz w:val="24"/>
          <w:szCs w:val="24"/>
        </w:rPr>
        <w:t>s</w:t>
      </w:r>
      <w:r w:rsidR="00D26710" w:rsidRPr="00784EC8">
        <w:rPr>
          <w:rFonts w:ascii="Arial" w:hAnsi="Arial" w:cs="Arial"/>
          <w:sz w:val="24"/>
          <w:szCs w:val="24"/>
        </w:rPr>
        <w:t>.</w:t>
      </w:r>
      <w:r w:rsidR="009F031D" w:rsidRPr="00784EC8">
        <w:rPr>
          <w:rFonts w:ascii="Arial" w:hAnsi="Arial" w:cs="Arial"/>
          <w:sz w:val="24"/>
          <w:szCs w:val="24"/>
        </w:rPr>
        <w:t xml:space="preserve"> </w:t>
      </w:r>
      <w:r w:rsidR="00D26710" w:rsidRPr="00784EC8">
        <w:rPr>
          <w:rFonts w:ascii="Arial" w:hAnsi="Arial" w:cs="Arial"/>
          <w:sz w:val="24"/>
          <w:szCs w:val="24"/>
        </w:rPr>
        <w:t>El clorhidrato de yohimbina</w:t>
      </w:r>
      <w:r w:rsidR="00D26710" w:rsidRPr="00065198">
        <w:rPr>
          <w:rFonts w:ascii="Arial" w:hAnsi="Arial" w:cs="Arial"/>
          <w:sz w:val="24"/>
          <w:szCs w:val="24"/>
        </w:rPr>
        <w:t xml:space="preserve"> (Sigma Chemical Co., St. Louis, Missouri)</w:t>
      </w:r>
      <w:r w:rsidR="00ED642F" w:rsidRPr="00065198">
        <w:rPr>
          <w:rFonts w:ascii="Arial" w:hAnsi="Arial" w:cs="Arial"/>
          <w:sz w:val="24"/>
          <w:szCs w:val="24"/>
        </w:rPr>
        <w:t xml:space="preserve"> se </w:t>
      </w:r>
      <w:r w:rsidR="00943E79">
        <w:rPr>
          <w:rFonts w:ascii="Arial" w:hAnsi="Arial" w:cs="Arial"/>
          <w:sz w:val="24"/>
          <w:szCs w:val="24"/>
        </w:rPr>
        <w:t>preparó como un 0.4% peso</w:t>
      </w:r>
      <w:r w:rsidR="00ED642F" w:rsidRPr="00065198">
        <w:rPr>
          <w:rFonts w:ascii="Arial" w:hAnsi="Arial" w:cs="Arial"/>
          <w:sz w:val="24"/>
          <w:szCs w:val="24"/>
        </w:rPr>
        <w:t>/</w:t>
      </w:r>
      <w:r w:rsidR="00943E79">
        <w:rPr>
          <w:rFonts w:ascii="Arial" w:hAnsi="Arial" w:cs="Arial"/>
          <w:sz w:val="24"/>
          <w:szCs w:val="24"/>
        </w:rPr>
        <w:t>volumen</w:t>
      </w:r>
      <w:r w:rsidR="00ED642F" w:rsidRPr="00065198">
        <w:rPr>
          <w:rFonts w:ascii="Arial" w:hAnsi="Arial" w:cs="Arial"/>
          <w:sz w:val="24"/>
          <w:szCs w:val="24"/>
        </w:rPr>
        <w:t xml:space="preserve"> </w:t>
      </w:r>
      <w:r w:rsidR="00943E79">
        <w:rPr>
          <w:rFonts w:ascii="Arial" w:hAnsi="Arial" w:cs="Arial"/>
          <w:sz w:val="24"/>
          <w:szCs w:val="24"/>
        </w:rPr>
        <w:t>0.075 (siete caballos) o 0.</w:t>
      </w:r>
      <w:r w:rsidR="00D26710" w:rsidRPr="00065198">
        <w:rPr>
          <w:rFonts w:ascii="Arial" w:hAnsi="Arial" w:cs="Arial"/>
          <w:sz w:val="24"/>
          <w:szCs w:val="24"/>
        </w:rPr>
        <w:t>15 (cuatro caballo</w:t>
      </w:r>
      <w:r w:rsidR="00943E79">
        <w:rPr>
          <w:rFonts w:ascii="Arial" w:hAnsi="Arial" w:cs="Arial"/>
          <w:sz w:val="24"/>
          <w:szCs w:val="24"/>
        </w:rPr>
        <w:t>s</w:t>
      </w:r>
      <w:r w:rsidR="00D26710" w:rsidRPr="00065198">
        <w:rPr>
          <w:rFonts w:ascii="Arial" w:hAnsi="Arial" w:cs="Arial"/>
          <w:sz w:val="24"/>
          <w:szCs w:val="24"/>
        </w:rPr>
        <w:t xml:space="preserve">) mg/Kg </w:t>
      </w:r>
      <w:r w:rsidR="00943E79">
        <w:rPr>
          <w:rFonts w:ascii="Arial" w:hAnsi="Arial" w:cs="Arial"/>
          <w:sz w:val="24"/>
          <w:szCs w:val="24"/>
        </w:rPr>
        <w:t>y fueron se inyectados</w:t>
      </w:r>
      <w:r w:rsidR="00ED642F" w:rsidRPr="00065198">
        <w:rPr>
          <w:rFonts w:ascii="Arial" w:hAnsi="Arial" w:cs="Arial"/>
          <w:sz w:val="24"/>
          <w:szCs w:val="24"/>
        </w:rPr>
        <w:t xml:space="preserve"> en la vena yugular.</w:t>
      </w:r>
      <w:r w:rsidR="00D26710" w:rsidRPr="00065198">
        <w:rPr>
          <w:rFonts w:ascii="Arial" w:hAnsi="Arial" w:cs="Arial"/>
          <w:sz w:val="24"/>
          <w:szCs w:val="24"/>
        </w:rPr>
        <w:t xml:space="preserve"> Las dosis utilizadas se basaron en </w:t>
      </w:r>
      <w:r w:rsidR="00943E79">
        <w:rPr>
          <w:rFonts w:ascii="Arial" w:hAnsi="Arial" w:cs="Arial"/>
          <w:sz w:val="24"/>
          <w:szCs w:val="24"/>
        </w:rPr>
        <w:t xml:space="preserve">las </w:t>
      </w:r>
      <w:r w:rsidR="00943E79">
        <w:rPr>
          <w:rFonts w:ascii="Arial" w:hAnsi="Arial" w:cs="Arial"/>
          <w:sz w:val="24"/>
          <w:szCs w:val="24"/>
        </w:rPr>
        <w:lastRenderedPageBreak/>
        <w:t xml:space="preserve">concentraciones para antagonizar la xilazina y la </w:t>
      </w:r>
      <w:r w:rsidR="00D26710" w:rsidRPr="00065198">
        <w:rPr>
          <w:rFonts w:ascii="Arial" w:hAnsi="Arial" w:cs="Arial"/>
          <w:sz w:val="24"/>
          <w:szCs w:val="24"/>
        </w:rPr>
        <w:t>ketamina en los caballos</w:t>
      </w:r>
      <w:r w:rsidR="00ED642F" w:rsidRPr="00065198">
        <w:rPr>
          <w:rFonts w:ascii="Arial" w:hAnsi="Arial" w:cs="Arial"/>
          <w:sz w:val="24"/>
          <w:szCs w:val="24"/>
        </w:rPr>
        <w:t xml:space="preserve">. </w:t>
      </w:r>
      <w:r w:rsidR="00D26710" w:rsidRPr="00065198">
        <w:rPr>
          <w:rFonts w:ascii="Arial" w:hAnsi="Arial" w:cs="Arial"/>
          <w:sz w:val="24"/>
          <w:szCs w:val="24"/>
        </w:rPr>
        <w:t xml:space="preserve">No </w:t>
      </w:r>
      <w:r w:rsidR="00943E79">
        <w:rPr>
          <w:rFonts w:ascii="Arial" w:hAnsi="Arial" w:cs="Arial"/>
          <w:sz w:val="24"/>
          <w:szCs w:val="24"/>
        </w:rPr>
        <w:t>hubo</w:t>
      </w:r>
      <w:r w:rsidR="00D26710" w:rsidRPr="00065198">
        <w:rPr>
          <w:rFonts w:ascii="Arial" w:hAnsi="Arial" w:cs="Arial"/>
          <w:sz w:val="24"/>
          <w:szCs w:val="24"/>
        </w:rPr>
        <w:t xml:space="preserve"> diferencias significativas en ninguno de los parámetros farmacocinéticos entre las</w:t>
      </w:r>
      <w:r w:rsidR="00ED642F" w:rsidRPr="00065198">
        <w:rPr>
          <w:rFonts w:ascii="Arial" w:hAnsi="Arial" w:cs="Arial"/>
          <w:sz w:val="24"/>
          <w:szCs w:val="24"/>
        </w:rPr>
        <w:t xml:space="preserve"> </w:t>
      </w:r>
      <w:r w:rsidR="00943E79" w:rsidRPr="00065198">
        <w:rPr>
          <w:rFonts w:ascii="Arial" w:hAnsi="Arial" w:cs="Arial"/>
          <w:sz w:val="24"/>
          <w:szCs w:val="24"/>
        </w:rPr>
        <w:t xml:space="preserve">dosis </w:t>
      </w:r>
      <w:r w:rsidR="00ED642F" w:rsidRPr="00065198">
        <w:rPr>
          <w:rFonts w:ascii="Arial" w:hAnsi="Arial" w:cs="Arial"/>
          <w:sz w:val="24"/>
          <w:szCs w:val="24"/>
        </w:rPr>
        <w:t xml:space="preserve">pequeñas </w:t>
      </w:r>
      <w:r w:rsidR="00943E79">
        <w:rPr>
          <w:rFonts w:ascii="Arial" w:hAnsi="Arial" w:cs="Arial"/>
          <w:sz w:val="24"/>
          <w:szCs w:val="24"/>
        </w:rPr>
        <w:t xml:space="preserve">y </w:t>
      </w:r>
      <w:r w:rsidR="00943E79" w:rsidRPr="00065198">
        <w:rPr>
          <w:rFonts w:ascii="Arial" w:hAnsi="Arial" w:cs="Arial"/>
          <w:sz w:val="24"/>
          <w:szCs w:val="24"/>
        </w:rPr>
        <w:t xml:space="preserve">grandes </w:t>
      </w:r>
      <w:r w:rsidR="00ED642F" w:rsidRPr="00065198">
        <w:rPr>
          <w:rFonts w:ascii="Arial" w:hAnsi="Arial" w:cs="Arial"/>
          <w:sz w:val="24"/>
          <w:szCs w:val="24"/>
        </w:rPr>
        <w:t xml:space="preserve">de </w:t>
      </w:r>
      <w:r w:rsidR="00E43E78">
        <w:rPr>
          <w:rFonts w:ascii="Arial" w:hAnsi="Arial" w:cs="Arial"/>
          <w:sz w:val="24"/>
          <w:szCs w:val="24"/>
        </w:rPr>
        <w:t>YOH</w:t>
      </w:r>
      <w:r w:rsidR="00ED642F" w:rsidRPr="00065198">
        <w:rPr>
          <w:rFonts w:ascii="Arial" w:hAnsi="Arial" w:cs="Arial"/>
          <w:sz w:val="24"/>
          <w:szCs w:val="24"/>
        </w:rPr>
        <w:t xml:space="preserve">. El volumen </w:t>
      </w:r>
      <w:r w:rsidR="00390081" w:rsidRPr="00065198">
        <w:rPr>
          <w:rFonts w:ascii="Arial" w:hAnsi="Arial" w:cs="Arial"/>
          <w:sz w:val="24"/>
          <w:szCs w:val="24"/>
        </w:rPr>
        <w:t xml:space="preserve">de distribución de </w:t>
      </w:r>
      <w:r w:rsidR="00E43E78">
        <w:rPr>
          <w:rFonts w:ascii="Arial" w:hAnsi="Arial" w:cs="Arial"/>
          <w:sz w:val="24"/>
          <w:szCs w:val="24"/>
        </w:rPr>
        <w:t>YOH</w:t>
      </w:r>
      <w:r w:rsidR="00943E79">
        <w:rPr>
          <w:rFonts w:ascii="Arial" w:hAnsi="Arial" w:cs="Arial"/>
          <w:sz w:val="24"/>
          <w:szCs w:val="24"/>
        </w:rPr>
        <w:t xml:space="preserve"> fue de 39.6±16.</w:t>
      </w:r>
      <w:r w:rsidR="00D26710" w:rsidRPr="00065198">
        <w:rPr>
          <w:rFonts w:ascii="Arial" w:hAnsi="Arial" w:cs="Arial"/>
          <w:sz w:val="24"/>
          <w:szCs w:val="24"/>
        </w:rPr>
        <w:t xml:space="preserve">6 </w:t>
      </w:r>
      <w:r w:rsidR="00D26710" w:rsidRPr="00943E79">
        <w:rPr>
          <w:rFonts w:ascii="Arial" w:hAnsi="Arial" w:cs="Arial"/>
          <w:i/>
          <w:sz w:val="24"/>
          <w:szCs w:val="24"/>
        </w:rPr>
        <w:t>vs</w:t>
      </w:r>
      <w:r w:rsidR="00943E79">
        <w:rPr>
          <w:rFonts w:ascii="Arial" w:hAnsi="Arial" w:cs="Arial"/>
          <w:sz w:val="24"/>
          <w:szCs w:val="24"/>
        </w:rPr>
        <w:t>. 34.0±19.</w:t>
      </w:r>
      <w:r w:rsidR="00D26710" w:rsidRPr="00065198">
        <w:rPr>
          <w:rFonts w:ascii="Arial" w:hAnsi="Arial" w:cs="Arial"/>
          <w:sz w:val="24"/>
          <w:szCs w:val="24"/>
        </w:rPr>
        <w:t>4</w:t>
      </w:r>
      <w:r w:rsidR="00943E79">
        <w:rPr>
          <w:rFonts w:ascii="Arial" w:hAnsi="Arial" w:cs="Arial"/>
          <w:sz w:val="24"/>
          <w:szCs w:val="24"/>
        </w:rPr>
        <w:t xml:space="preserve"> mL/min/kg y 4.6±1.</w:t>
      </w:r>
      <w:r w:rsidR="00D26710" w:rsidRPr="00065198">
        <w:rPr>
          <w:rFonts w:ascii="Arial" w:hAnsi="Arial" w:cs="Arial"/>
          <w:sz w:val="24"/>
          <w:szCs w:val="24"/>
        </w:rPr>
        <w:t xml:space="preserve">9 </w:t>
      </w:r>
      <w:r w:rsidR="00D26710" w:rsidRPr="00943E79">
        <w:rPr>
          <w:rFonts w:ascii="Arial" w:hAnsi="Arial" w:cs="Arial"/>
          <w:i/>
          <w:sz w:val="24"/>
          <w:szCs w:val="24"/>
        </w:rPr>
        <w:t>vs</w:t>
      </w:r>
      <w:r w:rsidR="00B73D19">
        <w:rPr>
          <w:rFonts w:ascii="Arial" w:hAnsi="Arial" w:cs="Arial"/>
          <w:sz w:val="24"/>
          <w:szCs w:val="24"/>
        </w:rPr>
        <w:t>. 2.7</w:t>
      </w:r>
      <w:r w:rsidR="00B73D19" w:rsidRPr="00BF1B18">
        <w:rPr>
          <w:rFonts w:ascii="Arial" w:hAnsi="Arial" w:cs="Arial"/>
          <w:color w:val="000000" w:themeColor="text1"/>
          <w:sz w:val="24"/>
          <w:szCs w:val="24"/>
        </w:rPr>
        <w:t>±1.</w:t>
      </w:r>
      <w:r w:rsidR="00943E79" w:rsidRPr="00BF1B18">
        <w:rPr>
          <w:rFonts w:ascii="Arial" w:hAnsi="Arial" w:cs="Arial"/>
          <w:color w:val="000000" w:themeColor="text1"/>
          <w:sz w:val="24"/>
          <w:szCs w:val="24"/>
        </w:rPr>
        <w:t xml:space="preserve">0 </w:t>
      </w:r>
      <w:r w:rsidR="00943E79">
        <w:rPr>
          <w:rFonts w:ascii="Arial" w:hAnsi="Arial" w:cs="Arial"/>
          <w:sz w:val="24"/>
          <w:szCs w:val="24"/>
        </w:rPr>
        <w:t>L/</w:t>
      </w:r>
      <w:r w:rsidR="00D26710" w:rsidRPr="00065198">
        <w:rPr>
          <w:rFonts w:ascii="Arial" w:hAnsi="Arial" w:cs="Arial"/>
          <w:sz w:val="24"/>
          <w:szCs w:val="24"/>
        </w:rPr>
        <w:t>kg en los caballos que recib</w:t>
      </w:r>
      <w:r w:rsidR="00ED642F" w:rsidRPr="00065198">
        <w:rPr>
          <w:rFonts w:ascii="Arial" w:hAnsi="Arial" w:cs="Arial"/>
          <w:sz w:val="24"/>
          <w:szCs w:val="24"/>
        </w:rPr>
        <w:t xml:space="preserve">ieron dosis </w:t>
      </w:r>
      <w:r w:rsidR="00943E79" w:rsidRPr="00065198">
        <w:rPr>
          <w:rFonts w:ascii="Arial" w:hAnsi="Arial" w:cs="Arial"/>
          <w:sz w:val="24"/>
          <w:szCs w:val="24"/>
        </w:rPr>
        <w:t xml:space="preserve">grandes </w:t>
      </w:r>
      <w:r w:rsidR="00943E79">
        <w:rPr>
          <w:rFonts w:ascii="Arial" w:hAnsi="Arial" w:cs="Arial"/>
          <w:sz w:val="24"/>
          <w:szCs w:val="24"/>
        </w:rPr>
        <w:t xml:space="preserve">y </w:t>
      </w:r>
      <w:r w:rsidR="00ED642F" w:rsidRPr="00065198">
        <w:rPr>
          <w:rFonts w:ascii="Arial" w:hAnsi="Arial" w:cs="Arial"/>
          <w:sz w:val="24"/>
          <w:szCs w:val="24"/>
        </w:rPr>
        <w:t xml:space="preserve">pequeñas </w:t>
      </w:r>
      <w:r w:rsidR="00943E79">
        <w:rPr>
          <w:rFonts w:ascii="Arial" w:hAnsi="Arial" w:cs="Arial"/>
          <w:sz w:val="24"/>
          <w:szCs w:val="24"/>
        </w:rPr>
        <w:t>respectivamente</w:t>
      </w:r>
      <w:r w:rsidR="00ED642F" w:rsidRPr="00065198">
        <w:rPr>
          <w:rFonts w:ascii="Arial" w:hAnsi="Arial" w:cs="Arial"/>
          <w:sz w:val="24"/>
          <w:szCs w:val="24"/>
        </w:rPr>
        <w:t xml:space="preserve">. </w:t>
      </w:r>
      <w:r w:rsidR="00D26710" w:rsidRPr="00065198">
        <w:rPr>
          <w:rFonts w:ascii="Arial" w:hAnsi="Arial" w:cs="Arial"/>
          <w:sz w:val="24"/>
          <w:szCs w:val="24"/>
        </w:rPr>
        <w:t xml:space="preserve">La vida media eficaz fue </w:t>
      </w:r>
      <w:r w:rsidR="00943E79">
        <w:rPr>
          <w:rFonts w:ascii="Arial" w:hAnsi="Arial" w:cs="Arial"/>
          <w:sz w:val="24"/>
          <w:szCs w:val="24"/>
        </w:rPr>
        <w:t>de 76.1±23.1 min y 52.8±27.</w:t>
      </w:r>
      <w:r w:rsidR="00D26710" w:rsidRPr="00065198">
        <w:rPr>
          <w:rFonts w:ascii="Arial" w:hAnsi="Arial" w:cs="Arial"/>
          <w:sz w:val="24"/>
          <w:szCs w:val="24"/>
        </w:rPr>
        <w:t>8 min en los caballos que recibieron d</w:t>
      </w:r>
      <w:r w:rsidR="00390081" w:rsidRPr="00065198">
        <w:rPr>
          <w:rFonts w:ascii="Arial" w:hAnsi="Arial" w:cs="Arial"/>
          <w:sz w:val="24"/>
          <w:szCs w:val="24"/>
        </w:rPr>
        <w:t xml:space="preserve">osis grandes </w:t>
      </w:r>
      <w:r w:rsidR="00943E79">
        <w:rPr>
          <w:rFonts w:ascii="Arial" w:hAnsi="Arial" w:cs="Arial"/>
          <w:sz w:val="24"/>
          <w:szCs w:val="24"/>
        </w:rPr>
        <w:t xml:space="preserve">y pequeñas de </w:t>
      </w:r>
      <w:r w:rsidR="00E43E78">
        <w:rPr>
          <w:rFonts w:ascii="Arial" w:hAnsi="Arial" w:cs="Arial"/>
          <w:sz w:val="24"/>
          <w:szCs w:val="24"/>
        </w:rPr>
        <w:t>YOH</w:t>
      </w:r>
      <w:r w:rsidR="00390081" w:rsidRPr="00065198">
        <w:rPr>
          <w:rFonts w:ascii="Arial" w:hAnsi="Arial" w:cs="Arial"/>
          <w:sz w:val="24"/>
          <w:szCs w:val="24"/>
        </w:rPr>
        <w:t xml:space="preserve">. La </w:t>
      </w:r>
      <w:r w:rsidR="00943E79">
        <w:rPr>
          <w:rFonts w:ascii="Arial" w:hAnsi="Arial" w:cs="Arial"/>
          <w:sz w:val="24"/>
          <w:szCs w:val="24"/>
        </w:rPr>
        <w:t>administración</w:t>
      </w:r>
      <w:r w:rsidR="00390081" w:rsidRPr="00065198">
        <w:rPr>
          <w:rFonts w:ascii="Arial" w:hAnsi="Arial" w:cs="Arial"/>
          <w:sz w:val="24"/>
          <w:szCs w:val="24"/>
        </w:rPr>
        <w:t xml:space="preserve"> de </w:t>
      </w:r>
      <w:r w:rsidR="00E43E78">
        <w:rPr>
          <w:rFonts w:ascii="Arial" w:hAnsi="Arial" w:cs="Arial"/>
          <w:sz w:val="24"/>
          <w:szCs w:val="24"/>
        </w:rPr>
        <w:t>YOH</w:t>
      </w:r>
      <w:r w:rsidR="00D26710" w:rsidRPr="00065198">
        <w:rPr>
          <w:rFonts w:ascii="Arial" w:hAnsi="Arial" w:cs="Arial"/>
          <w:sz w:val="24"/>
          <w:szCs w:val="24"/>
        </w:rPr>
        <w:t xml:space="preserve"> no produjo cambios conductuales</w:t>
      </w:r>
      <w:r w:rsidR="00943E79">
        <w:rPr>
          <w:rFonts w:ascii="Arial" w:hAnsi="Arial" w:cs="Arial"/>
          <w:sz w:val="24"/>
          <w:szCs w:val="24"/>
        </w:rPr>
        <w:t xml:space="preserve"> en los caballos, se mantuvieron</w:t>
      </w:r>
      <w:r w:rsidR="00D26710" w:rsidRPr="00065198">
        <w:rPr>
          <w:rFonts w:ascii="Arial" w:hAnsi="Arial" w:cs="Arial"/>
          <w:sz w:val="24"/>
          <w:szCs w:val="24"/>
        </w:rPr>
        <w:t xml:space="preserve"> relajado</w:t>
      </w:r>
      <w:r w:rsidR="00943E79">
        <w:rPr>
          <w:rFonts w:ascii="Arial" w:hAnsi="Arial" w:cs="Arial"/>
          <w:sz w:val="24"/>
          <w:szCs w:val="24"/>
        </w:rPr>
        <w:t>s</w:t>
      </w:r>
      <w:r w:rsidR="00D26710" w:rsidRPr="00065198">
        <w:rPr>
          <w:rFonts w:ascii="Arial" w:hAnsi="Arial" w:cs="Arial"/>
          <w:sz w:val="24"/>
          <w:szCs w:val="24"/>
        </w:rPr>
        <w:t xml:space="preserve"> y sin evidencia de ansiedad. El volumen de distribución</w:t>
      </w:r>
      <w:r w:rsidR="00943E79">
        <w:rPr>
          <w:rFonts w:ascii="Arial" w:hAnsi="Arial" w:cs="Arial"/>
          <w:sz w:val="24"/>
          <w:szCs w:val="24"/>
        </w:rPr>
        <w:t xml:space="preserve"> fue elevado </w:t>
      </w:r>
      <w:r w:rsidR="00D26710" w:rsidRPr="00065198">
        <w:rPr>
          <w:rFonts w:ascii="Arial" w:hAnsi="Arial" w:cs="Arial"/>
          <w:sz w:val="24"/>
          <w:szCs w:val="24"/>
        </w:rPr>
        <w:t xml:space="preserve">debido a </w:t>
      </w:r>
      <w:r w:rsidR="00390081" w:rsidRPr="00065198">
        <w:rPr>
          <w:rFonts w:ascii="Arial" w:hAnsi="Arial" w:cs="Arial"/>
          <w:sz w:val="24"/>
          <w:szCs w:val="24"/>
        </w:rPr>
        <w:t xml:space="preserve">la solubilidad </w:t>
      </w:r>
      <w:r w:rsidR="00943E79">
        <w:rPr>
          <w:rFonts w:ascii="Arial" w:hAnsi="Arial" w:cs="Arial"/>
          <w:sz w:val="24"/>
          <w:szCs w:val="24"/>
        </w:rPr>
        <w:t xml:space="preserve">del fármaco </w:t>
      </w:r>
      <w:r w:rsidR="00390081" w:rsidRPr="00065198">
        <w:rPr>
          <w:rFonts w:ascii="Arial" w:hAnsi="Arial" w:cs="Arial"/>
          <w:sz w:val="24"/>
          <w:szCs w:val="24"/>
        </w:rPr>
        <w:t xml:space="preserve">en </w:t>
      </w:r>
      <w:r w:rsidR="00943E79">
        <w:rPr>
          <w:rFonts w:ascii="Arial" w:hAnsi="Arial" w:cs="Arial"/>
          <w:sz w:val="24"/>
          <w:szCs w:val="24"/>
        </w:rPr>
        <w:t xml:space="preserve">los </w:t>
      </w:r>
      <w:r w:rsidR="00390081" w:rsidRPr="00065198">
        <w:rPr>
          <w:rFonts w:ascii="Arial" w:hAnsi="Arial" w:cs="Arial"/>
          <w:sz w:val="24"/>
          <w:szCs w:val="24"/>
        </w:rPr>
        <w:t xml:space="preserve">lípidos </w:t>
      </w:r>
      <w:r w:rsidR="00D26710" w:rsidRPr="00065198">
        <w:rPr>
          <w:rFonts w:ascii="Arial" w:hAnsi="Arial" w:cs="Arial"/>
          <w:sz w:val="24"/>
          <w:szCs w:val="24"/>
        </w:rPr>
        <w:t xml:space="preserve">y </w:t>
      </w:r>
      <w:r w:rsidR="00943E79">
        <w:rPr>
          <w:rFonts w:ascii="Arial" w:hAnsi="Arial" w:cs="Arial"/>
          <w:sz w:val="24"/>
          <w:szCs w:val="24"/>
        </w:rPr>
        <w:t xml:space="preserve">a su </w:t>
      </w:r>
      <w:r w:rsidR="00D26710" w:rsidRPr="00065198">
        <w:rPr>
          <w:rFonts w:ascii="Arial" w:hAnsi="Arial" w:cs="Arial"/>
          <w:sz w:val="24"/>
          <w:szCs w:val="24"/>
        </w:rPr>
        <w:t xml:space="preserve"> capaci</w:t>
      </w:r>
      <w:r w:rsidR="00390081" w:rsidRPr="00065198">
        <w:rPr>
          <w:rFonts w:ascii="Arial" w:hAnsi="Arial" w:cs="Arial"/>
          <w:sz w:val="24"/>
          <w:szCs w:val="24"/>
        </w:rPr>
        <w:t xml:space="preserve">dad </w:t>
      </w:r>
      <w:r w:rsidR="00943E79">
        <w:rPr>
          <w:rFonts w:ascii="Arial" w:hAnsi="Arial" w:cs="Arial"/>
          <w:sz w:val="24"/>
          <w:szCs w:val="24"/>
        </w:rPr>
        <w:t xml:space="preserve">para </w:t>
      </w:r>
      <w:r w:rsidR="00390081" w:rsidRPr="00065198">
        <w:rPr>
          <w:rFonts w:ascii="Arial" w:hAnsi="Arial" w:cs="Arial"/>
          <w:sz w:val="24"/>
          <w:szCs w:val="24"/>
        </w:rPr>
        <w:t xml:space="preserve">atravesar </w:t>
      </w:r>
      <w:r w:rsidR="00390081" w:rsidRPr="00BF1B18">
        <w:rPr>
          <w:rFonts w:ascii="Arial" w:hAnsi="Arial" w:cs="Arial"/>
          <w:color w:val="000000" w:themeColor="text1"/>
          <w:sz w:val="24"/>
          <w:szCs w:val="24"/>
        </w:rPr>
        <w:t>membranas.</w:t>
      </w:r>
    </w:p>
    <w:p w:rsidR="00D26710" w:rsidRPr="00065198" w:rsidRDefault="00D26710" w:rsidP="00D26710">
      <w:pPr>
        <w:pStyle w:val="NormalWeb"/>
        <w:spacing w:line="360" w:lineRule="auto"/>
        <w:ind w:left="480" w:hanging="480"/>
        <w:rPr>
          <w:rFonts w:ascii="Arial" w:hAnsi="Arial" w:cs="Arial"/>
          <w:sz w:val="24"/>
          <w:szCs w:val="24"/>
        </w:rPr>
      </w:pPr>
    </w:p>
    <w:p w:rsidR="00D82CE3" w:rsidRPr="00065198" w:rsidRDefault="00850617" w:rsidP="00065198">
      <w:pPr>
        <w:pStyle w:val="Ttulo2"/>
        <w:spacing w:line="360" w:lineRule="auto"/>
        <w:rPr>
          <w:sz w:val="24"/>
          <w:szCs w:val="24"/>
        </w:rPr>
      </w:pPr>
      <w:bookmarkStart w:id="6" w:name="_Toc325709839"/>
      <w:r>
        <w:rPr>
          <w:sz w:val="24"/>
          <w:szCs w:val="24"/>
        </w:rPr>
        <w:t>3</w:t>
      </w:r>
      <w:r w:rsidR="007E45B4" w:rsidRPr="007C61CD">
        <w:rPr>
          <w:sz w:val="24"/>
          <w:szCs w:val="24"/>
        </w:rPr>
        <w:t xml:space="preserve">. </w:t>
      </w:r>
      <w:r>
        <w:rPr>
          <w:sz w:val="24"/>
          <w:szCs w:val="24"/>
        </w:rPr>
        <w:t>Efecto de la Yohimbina</w:t>
      </w:r>
      <w:r w:rsidR="00943E79">
        <w:rPr>
          <w:sz w:val="24"/>
          <w:szCs w:val="24"/>
        </w:rPr>
        <w:t xml:space="preserve"> sobre parámetros farmacocinéticos</w:t>
      </w:r>
      <w:r>
        <w:rPr>
          <w:sz w:val="24"/>
          <w:szCs w:val="24"/>
        </w:rPr>
        <w:t>, farmaco</w:t>
      </w:r>
      <w:r w:rsidR="00F511EE">
        <w:rPr>
          <w:sz w:val="24"/>
          <w:szCs w:val="24"/>
        </w:rPr>
        <w:t>diná</w:t>
      </w:r>
      <w:r w:rsidR="00943E79">
        <w:rPr>
          <w:sz w:val="24"/>
          <w:szCs w:val="24"/>
        </w:rPr>
        <w:t>mico</w:t>
      </w:r>
      <w:r>
        <w:rPr>
          <w:sz w:val="24"/>
          <w:szCs w:val="24"/>
        </w:rPr>
        <w:t xml:space="preserve">s y de comportamiento farmacológico en caballos </w:t>
      </w:r>
      <w:r w:rsidR="00943E79">
        <w:rPr>
          <w:sz w:val="24"/>
          <w:szCs w:val="24"/>
        </w:rPr>
        <w:t xml:space="preserve">sedados </w:t>
      </w:r>
      <w:r>
        <w:rPr>
          <w:sz w:val="24"/>
          <w:szCs w:val="24"/>
        </w:rPr>
        <w:t xml:space="preserve">con </w:t>
      </w:r>
      <w:r w:rsidR="004D67F3">
        <w:rPr>
          <w:sz w:val="24"/>
          <w:szCs w:val="24"/>
        </w:rPr>
        <w:t>detomidina</w:t>
      </w:r>
      <w:r w:rsidRPr="00065198">
        <w:rPr>
          <w:sz w:val="24"/>
          <w:szCs w:val="24"/>
        </w:rPr>
        <w:t>.</w:t>
      </w:r>
      <w:bookmarkEnd w:id="6"/>
    </w:p>
    <w:p w:rsidR="00F431EC" w:rsidRPr="00065198" w:rsidRDefault="00F431EC" w:rsidP="00065198">
      <w:pPr>
        <w:spacing w:line="360" w:lineRule="auto"/>
        <w:rPr>
          <w:rFonts w:cs="Arial"/>
        </w:rPr>
      </w:pPr>
    </w:p>
    <w:p w:rsidR="00D543F1" w:rsidRPr="009D09A6" w:rsidRDefault="00A2062B" w:rsidP="00065198">
      <w:pPr>
        <w:spacing w:line="360" w:lineRule="auto"/>
        <w:rPr>
          <w:rStyle w:val="hps"/>
          <w:rFonts w:cs="Arial"/>
          <w:color w:val="222222"/>
          <w:sz w:val="24"/>
          <w:szCs w:val="24"/>
        </w:rPr>
      </w:pPr>
      <w:r w:rsidRPr="00B43431">
        <w:rPr>
          <w:rFonts w:cs="Arial"/>
          <w:sz w:val="24"/>
          <w:szCs w:val="24"/>
        </w:rPr>
        <w:fldChar w:fldCharType="begin" w:fldLock="1"/>
      </w:r>
      <w:r w:rsidR="006F62A5" w:rsidRPr="00B43431">
        <w:rPr>
          <w:rFonts w:cs="Arial"/>
          <w:sz w:val="24"/>
          <w:szCs w:val="24"/>
        </w:rPr>
        <w:instrText>ADDIN CSL_CITATION { "citationItems" : [ { "id" : "ITEM-1", "itemData" : { "DOI" : "10.1111/j.1467-2995.2012.00776.x", "ISSN" : "14672987", "PMID" : "23035904", "abstract" : "OBJECTIVE: To describe selected pharmacodynamic effects of detomidine and yohimbine when administered alone and in sequence.\\n\\nSTUDY DESIGN: Randomized crossover design.\\n\\nANIMALS: Nine healthy adult horses aged 9 \u00b1 4 years and weighing 561 \u00b1 56 kg.\\n\\nMETHODS: Three dose regimens were employed in the current study. 1) 0.03 mg kg(-1) detomidine IV, 2) 0.2 mg kg(-1) yohimbine IV and 3) 0.03 mg kg(-1) detomidine IV followed 15 minutes later by 0.2 mg kg(-1) yohimbine IV. Each horse received all three treatments with a minimum of 1 week between treatments. Blood samples were obtained and plasma analyzed for detomidine and yohimbine concentrations by liquid chromatography-mass spectrometry. Behavioral effects, heart rate and rhythm, glucose, packed cell volume and plasma proteins were monitored.\\n\\nRESULTS: Yohimbine rapidly reversed the sedative effects of detomidine in the horse. Additionally, yohimbine effectively returned heart rate and the percent of atrio-ventricular conduction disturbances to pre-detomidine values when administered 15 minutes post-detomidine administration. Plasma glucose was significantly increased following detomidine administration. The detomidine induced hyperglycemia was effectively reduced by yohimbine administration. Effects on packed cell volume and plasma pro</w:instrText>
      </w:r>
      <w:r w:rsidR="006F62A5" w:rsidRPr="00B43431">
        <w:rPr>
          <w:rFonts w:cs="Arial"/>
          <w:sz w:val="24"/>
          <w:szCs w:val="24"/>
          <w:lang w:val="es-MX"/>
        </w:rPr>
        <w:instrText>teins were variable.\\n\\nCONCLUSIONS AND CLINICAL RELEVANCE: Intravenous administration of yohimbine effectively reversed detomidine induced sedation, bradycardia, atrio-ventricular heart block and hyperglycemia.", "author" : [ { "dropping-particle" : "", "family" : "Dimaio Knych", "given" : "Heather K.", "non-dropping-particle" : "", "parse-names" : false, "suffix" : "" }, { "dropping-particle" : "", "family" : "Covarrubias", "given" : "Vanessa", "non-dropping-particle" : "", "parse-names" : false, "suffix" : "" }, { "dropping-particle" : "", "family" : "Steffey", "given" : "Eugene P.", "non-dropping-particle" : "", "parse-names" : false, "suffix" : "" } ], "container-title" : "Veterinary Anaesthesia and Analgesia", "id" : "ITEM-1", "issue" : "6", "issued" : { "date-parts" : [ [ "2012" ] ] }, "page" : "574-583", "title" : "Effect of yohimbine on detomidine induced changes in behavior, cardiac and blood parameters in the horse", "type" : "article-journal", "volume" : "39" }, "uris" : [ "http://www.mendeley.com/documents/?uuid=22ec7d39-3121-498d-b24c-8a19caec533c" ] } ], "mendeley" : { "formattedCitation" : "(Heather K. Dimaio Knych, Covarrubias, and Steffey 2012)", "plainTextFormattedCitation" : "(Heather K. Dimaio Knych, Covarrubias, and Steffey 2012)", "previouslyFormattedCitation" : "(Heather K. Dimaio Knych, Covarrubias, and Steffey 2012)" }, "properties" : { "noteIndex" : 0 }, "schema" : "https://github.com/citation-style-language/schema/raw/master/csl-citation.json" }</w:instrText>
      </w:r>
      <w:r w:rsidRPr="00B43431">
        <w:rPr>
          <w:rFonts w:cs="Arial"/>
          <w:sz w:val="24"/>
          <w:szCs w:val="24"/>
        </w:rPr>
        <w:fldChar w:fldCharType="separate"/>
      </w:r>
      <w:r w:rsidR="006F62A5" w:rsidRPr="00B43431">
        <w:rPr>
          <w:rFonts w:cs="Arial"/>
          <w:noProof/>
          <w:sz w:val="24"/>
          <w:szCs w:val="24"/>
          <w:lang w:val="es-MX"/>
        </w:rPr>
        <w:t xml:space="preserve">Heather </w:t>
      </w:r>
      <w:r w:rsidR="00B43431" w:rsidRPr="00B43431">
        <w:rPr>
          <w:rFonts w:cs="Arial"/>
          <w:noProof/>
          <w:sz w:val="24"/>
          <w:szCs w:val="24"/>
          <w:lang w:val="es-MX"/>
        </w:rPr>
        <w:t>Dimaio Knych</w:t>
      </w:r>
      <w:r w:rsidR="006F62A5" w:rsidRPr="00B43431">
        <w:rPr>
          <w:rFonts w:cs="Arial"/>
          <w:noProof/>
          <w:sz w:val="24"/>
          <w:szCs w:val="24"/>
          <w:lang w:val="es-MX"/>
        </w:rPr>
        <w:t xml:space="preserve"> </w:t>
      </w:r>
      <w:r w:rsidR="006F62A5" w:rsidRPr="00B43431">
        <w:rPr>
          <w:rFonts w:cs="Arial"/>
          <w:i/>
          <w:noProof/>
          <w:sz w:val="24"/>
          <w:szCs w:val="24"/>
          <w:lang w:val="es-MX"/>
        </w:rPr>
        <w:t>et al</w:t>
      </w:r>
      <w:r w:rsidR="00B43431">
        <w:rPr>
          <w:rFonts w:cs="Arial"/>
          <w:noProof/>
          <w:sz w:val="24"/>
          <w:szCs w:val="24"/>
          <w:lang w:val="es-MX"/>
        </w:rPr>
        <w:t>.</w:t>
      </w:r>
      <w:r w:rsidR="006F62A5" w:rsidRPr="00B43431">
        <w:rPr>
          <w:rFonts w:cs="Arial"/>
          <w:noProof/>
          <w:sz w:val="24"/>
          <w:szCs w:val="24"/>
          <w:lang w:val="es-MX"/>
        </w:rPr>
        <w:t xml:space="preserve"> </w:t>
      </w:r>
      <w:r w:rsidR="00B43431" w:rsidRPr="00B43431">
        <w:rPr>
          <w:rFonts w:cs="Arial"/>
          <w:noProof/>
          <w:sz w:val="24"/>
          <w:szCs w:val="24"/>
          <w:lang w:val="es-MX"/>
        </w:rPr>
        <w:t>(</w:t>
      </w:r>
      <w:r w:rsidR="006F62A5" w:rsidRPr="00B43431">
        <w:rPr>
          <w:rFonts w:cs="Arial"/>
          <w:noProof/>
          <w:sz w:val="24"/>
          <w:szCs w:val="24"/>
          <w:lang w:val="es-MX"/>
        </w:rPr>
        <w:t>2012)</w:t>
      </w:r>
      <w:r w:rsidRPr="00B43431">
        <w:rPr>
          <w:rFonts w:cs="Arial"/>
          <w:sz w:val="24"/>
          <w:szCs w:val="24"/>
        </w:rPr>
        <w:fldChar w:fldCharType="end"/>
      </w:r>
      <w:r w:rsidR="00B43431">
        <w:rPr>
          <w:rFonts w:cs="Arial"/>
          <w:sz w:val="24"/>
          <w:szCs w:val="24"/>
        </w:rPr>
        <w:t>, describieron</w:t>
      </w:r>
      <w:r w:rsidR="000F0C2A" w:rsidRPr="00065198">
        <w:rPr>
          <w:rFonts w:cs="Arial"/>
          <w:sz w:val="24"/>
          <w:szCs w:val="24"/>
        </w:rPr>
        <w:t xml:space="preserve"> la </w:t>
      </w:r>
      <w:r w:rsidR="006F62A5" w:rsidRPr="00065198">
        <w:rPr>
          <w:rStyle w:val="hps"/>
          <w:rFonts w:cs="Arial"/>
          <w:color w:val="222222"/>
          <w:sz w:val="24"/>
          <w:szCs w:val="24"/>
        </w:rPr>
        <w:t>farmacodinamia</w:t>
      </w:r>
      <w:r w:rsidR="000F0C2A" w:rsidRPr="00065198">
        <w:rPr>
          <w:rStyle w:val="hps"/>
          <w:rFonts w:cs="Arial"/>
          <w:color w:val="222222"/>
          <w:sz w:val="24"/>
          <w:szCs w:val="24"/>
        </w:rPr>
        <w:t xml:space="preserve"> y</w:t>
      </w:r>
      <w:r w:rsidR="006F62A5" w:rsidRPr="00065198">
        <w:rPr>
          <w:rFonts w:cs="Arial"/>
          <w:color w:val="222222"/>
          <w:sz w:val="24"/>
          <w:szCs w:val="24"/>
        </w:rPr>
        <w:t xml:space="preserve"> </w:t>
      </w:r>
      <w:r w:rsidR="00B43431">
        <w:rPr>
          <w:rFonts w:cs="Arial"/>
          <w:color w:val="222222"/>
          <w:sz w:val="24"/>
          <w:szCs w:val="24"/>
        </w:rPr>
        <w:t xml:space="preserve">los </w:t>
      </w:r>
      <w:r w:rsidR="000F0C2A" w:rsidRPr="00065198">
        <w:rPr>
          <w:rStyle w:val="hps"/>
          <w:rFonts w:cs="Arial"/>
          <w:color w:val="222222"/>
          <w:sz w:val="24"/>
          <w:szCs w:val="24"/>
        </w:rPr>
        <w:t xml:space="preserve">efectos de la </w:t>
      </w:r>
      <w:r w:rsidR="00E43E78">
        <w:rPr>
          <w:rStyle w:val="hps"/>
          <w:rFonts w:cs="Arial"/>
          <w:color w:val="222222"/>
          <w:sz w:val="24"/>
          <w:szCs w:val="24"/>
        </w:rPr>
        <w:t>YOH</w:t>
      </w:r>
      <w:r w:rsidR="000F0C2A" w:rsidRPr="00065198">
        <w:rPr>
          <w:rStyle w:val="hps"/>
          <w:rFonts w:cs="Arial"/>
          <w:color w:val="222222"/>
          <w:sz w:val="24"/>
          <w:szCs w:val="24"/>
        </w:rPr>
        <w:t xml:space="preserve"> en caballos sedados previamente con </w:t>
      </w:r>
      <w:r w:rsidR="00B56224">
        <w:rPr>
          <w:rStyle w:val="hps"/>
          <w:rFonts w:cs="Arial"/>
          <w:color w:val="222222"/>
          <w:sz w:val="24"/>
          <w:szCs w:val="24"/>
        </w:rPr>
        <w:t>DET</w:t>
      </w:r>
      <w:r w:rsidR="000F0C2A" w:rsidRPr="00065198">
        <w:rPr>
          <w:rStyle w:val="hps"/>
          <w:rFonts w:cs="Arial"/>
          <w:color w:val="222222"/>
          <w:sz w:val="24"/>
          <w:szCs w:val="24"/>
        </w:rPr>
        <w:t>.</w:t>
      </w:r>
      <w:r w:rsidR="000F0C2A" w:rsidRPr="00065198">
        <w:rPr>
          <w:rStyle w:val="hps"/>
          <w:rFonts w:cs="Arial"/>
          <w:sz w:val="24"/>
          <w:szCs w:val="24"/>
        </w:rPr>
        <w:t xml:space="preserve"> </w:t>
      </w:r>
      <w:r w:rsidR="006F62A5" w:rsidRPr="00065198">
        <w:rPr>
          <w:rStyle w:val="hps"/>
          <w:rFonts w:cs="Arial"/>
          <w:color w:val="222222"/>
          <w:sz w:val="24"/>
          <w:szCs w:val="24"/>
        </w:rPr>
        <w:t>Nueve caballos adultos</w:t>
      </w:r>
      <w:r w:rsidR="00B43431">
        <w:rPr>
          <w:rStyle w:val="hps"/>
          <w:rFonts w:cs="Arial"/>
          <w:color w:val="222222"/>
          <w:sz w:val="24"/>
          <w:szCs w:val="24"/>
        </w:rPr>
        <w:t xml:space="preserve"> fueron usados en el estudio, en los cuales se obtuvieron </w:t>
      </w:r>
      <w:r w:rsidR="006F62A5" w:rsidRPr="00065198">
        <w:rPr>
          <w:rStyle w:val="hps"/>
          <w:rFonts w:cs="Arial"/>
          <w:color w:val="222222"/>
          <w:sz w:val="24"/>
          <w:szCs w:val="24"/>
        </w:rPr>
        <w:t xml:space="preserve">muestras de sangre </w:t>
      </w:r>
      <w:r w:rsidR="00B43431">
        <w:rPr>
          <w:rStyle w:val="hps"/>
          <w:rFonts w:cs="Arial"/>
          <w:color w:val="222222"/>
          <w:sz w:val="24"/>
          <w:szCs w:val="24"/>
        </w:rPr>
        <w:t xml:space="preserve">en distintos momentos, desde antes </w:t>
      </w:r>
      <w:r w:rsidR="000F0C2A" w:rsidRPr="00065198">
        <w:rPr>
          <w:rStyle w:val="hps"/>
          <w:rFonts w:cs="Arial"/>
          <w:color w:val="222222"/>
          <w:sz w:val="24"/>
          <w:szCs w:val="24"/>
        </w:rPr>
        <w:t xml:space="preserve">y </w:t>
      </w:r>
      <w:r w:rsidR="006F62A5" w:rsidRPr="00065198">
        <w:rPr>
          <w:rStyle w:val="hps"/>
          <w:rFonts w:cs="Arial"/>
          <w:color w:val="222222"/>
          <w:sz w:val="24"/>
          <w:szCs w:val="24"/>
        </w:rPr>
        <w:t xml:space="preserve"> </w:t>
      </w:r>
      <w:r w:rsidR="006F62A5" w:rsidRPr="009D09A6">
        <w:rPr>
          <w:rStyle w:val="hps"/>
          <w:rFonts w:cs="Arial"/>
          <w:color w:val="222222"/>
          <w:sz w:val="24"/>
          <w:szCs w:val="24"/>
        </w:rPr>
        <w:t>hasta 72 h</w:t>
      </w:r>
      <w:r w:rsidR="00B43431" w:rsidRPr="009D09A6">
        <w:rPr>
          <w:rStyle w:val="hps"/>
          <w:rFonts w:cs="Arial"/>
          <w:color w:val="222222"/>
          <w:sz w:val="24"/>
          <w:szCs w:val="24"/>
        </w:rPr>
        <w:t>oras</w:t>
      </w:r>
      <w:r w:rsidR="006F62A5" w:rsidRPr="009D09A6">
        <w:rPr>
          <w:rStyle w:val="hps"/>
          <w:rFonts w:cs="Arial"/>
          <w:color w:val="222222"/>
          <w:sz w:val="24"/>
          <w:szCs w:val="24"/>
        </w:rPr>
        <w:t xml:space="preserve"> después de la administración de</w:t>
      </w:r>
      <w:r w:rsidR="00B43431" w:rsidRPr="009D09A6">
        <w:rPr>
          <w:rStyle w:val="hps"/>
          <w:rFonts w:cs="Arial"/>
          <w:color w:val="222222"/>
          <w:sz w:val="24"/>
          <w:szCs w:val="24"/>
        </w:rPr>
        <w:t>l fármaco</w:t>
      </w:r>
      <w:r w:rsidR="006F62A5" w:rsidRPr="009D09A6">
        <w:rPr>
          <w:rStyle w:val="hps"/>
          <w:rFonts w:cs="Arial"/>
          <w:color w:val="222222"/>
          <w:sz w:val="24"/>
          <w:szCs w:val="24"/>
        </w:rPr>
        <w:t xml:space="preserve">. Las muestras se analizaron mediante </w:t>
      </w:r>
      <w:r w:rsidR="00B43431" w:rsidRPr="009D09A6">
        <w:rPr>
          <w:rFonts w:cs="Arial"/>
          <w:sz w:val="24"/>
          <w:szCs w:val="24"/>
        </w:rPr>
        <w:t xml:space="preserve">cromatografía líquida por espectrometría de masa y las </w:t>
      </w:r>
      <w:r w:rsidR="00B43431" w:rsidRPr="009D09A6">
        <w:rPr>
          <w:rStyle w:val="hps"/>
          <w:rFonts w:cs="Arial"/>
          <w:sz w:val="24"/>
          <w:szCs w:val="24"/>
        </w:rPr>
        <w:t>e</w:t>
      </w:r>
      <w:r w:rsidR="006F62A5" w:rsidRPr="009D09A6">
        <w:rPr>
          <w:rStyle w:val="hps"/>
          <w:rFonts w:cs="Arial"/>
          <w:color w:val="222222"/>
          <w:sz w:val="24"/>
          <w:szCs w:val="24"/>
        </w:rPr>
        <w:t xml:space="preserve">valuaciones de comportamiento </w:t>
      </w:r>
      <w:r w:rsidR="00B43431" w:rsidRPr="009D09A6">
        <w:rPr>
          <w:rStyle w:val="hps"/>
          <w:rFonts w:cs="Arial"/>
          <w:color w:val="222222"/>
          <w:sz w:val="24"/>
          <w:szCs w:val="24"/>
        </w:rPr>
        <w:t xml:space="preserve">fueron subjetivas, las cuales </w:t>
      </w:r>
      <w:r w:rsidR="006F62A5" w:rsidRPr="009D09A6">
        <w:rPr>
          <w:rStyle w:val="hps"/>
          <w:rFonts w:cs="Arial"/>
          <w:color w:val="222222"/>
          <w:sz w:val="24"/>
          <w:szCs w:val="24"/>
        </w:rPr>
        <w:t xml:space="preserve">se realizaron </w:t>
      </w:r>
      <w:r w:rsidR="00B43431" w:rsidRPr="009D09A6">
        <w:rPr>
          <w:rStyle w:val="hps"/>
          <w:rFonts w:cs="Arial"/>
          <w:color w:val="222222"/>
          <w:sz w:val="24"/>
          <w:szCs w:val="24"/>
        </w:rPr>
        <w:t xml:space="preserve">durante el estudio. Además se incluyó </w:t>
      </w:r>
      <w:r w:rsidR="006F62A5" w:rsidRPr="009D09A6">
        <w:rPr>
          <w:rStyle w:val="hps"/>
          <w:rFonts w:cs="Arial"/>
          <w:color w:val="222222"/>
          <w:sz w:val="24"/>
          <w:szCs w:val="24"/>
        </w:rPr>
        <w:t xml:space="preserve">el monitoreo de </w:t>
      </w:r>
      <w:r w:rsidR="00B43431" w:rsidRPr="009D09A6">
        <w:rPr>
          <w:rStyle w:val="hps"/>
          <w:rFonts w:cs="Arial"/>
          <w:color w:val="222222"/>
          <w:sz w:val="24"/>
          <w:szCs w:val="24"/>
        </w:rPr>
        <w:t xml:space="preserve">los </w:t>
      </w:r>
      <w:r w:rsidR="006F62A5" w:rsidRPr="009D09A6">
        <w:rPr>
          <w:rStyle w:val="hps"/>
          <w:rFonts w:cs="Arial"/>
          <w:color w:val="222222"/>
          <w:sz w:val="24"/>
          <w:szCs w:val="24"/>
        </w:rPr>
        <w:t>signos de sedación, exc</w:t>
      </w:r>
      <w:r w:rsidR="00B43431" w:rsidRPr="009D09A6">
        <w:rPr>
          <w:rStyle w:val="hps"/>
          <w:rFonts w:cs="Arial"/>
          <w:color w:val="222222"/>
          <w:sz w:val="24"/>
          <w:szCs w:val="24"/>
        </w:rPr>
        <w:t>itación y/</w:t>
      </w:r>
      <w:r w:rsidR="006F62A5" w:rsidRPr="009D09A6">
        <w:rPr>
          <w:rStyle w:val="hps"/>
          <w:rFonts w:cs="Arial"/>
          <w:color w:val="222222"/>
          <w:sz w:val="24"/>
          <w:szCs w:val="24"/>
        </w:rPr>
        <w:t>o agitación.</w:t>
      </w:r>
      <w:r w:rsidR="000F0C2A" w:rsidRPr="009D09A6">
        <w:rPr>
          <w:rStyle w:val="hps"/>
          <w:rFonts w:cs="Arial"/>
          <w:sz w:val="24"/>
          <w:szCs w:val="24"/>
        </w:rPr>
        <w:t xml:space="preserve"> </w:t>
      </w:r>
      <w:r w:rsidR="000F0C2A" w:rsidRPr="009D09A6">
        <w:rPr>
          <w:rStyle w:val="hps"/>
          <w:rFonts w:cs="Arial"/>
          <w:color w:val="222222"/>
          <w:sz w:val="24"/>
          <w:szCs w:val="24"/>
        </w:rPr>
        <w:t>Los e</w:t>
      </w:r>
      <w:r w:rsidR="006F62A5" w:rsidRPr="009D09A6">
        <w:rPr>
          <w:rStyle w:val="hps"/>
          <w:rFonts w:cs="Arial"/>
          <w:color w:val="222222"/>
          <w:sz w:val="24"/>
          <w:szCs w:val="24"/>
        </w:rPr>
        <w:t xml:space="preserve">fectos </w:t>
      </w:r>
      <w:r w:rsidR="00B43431" w:rsidRPr="009D09A6">
        <w:rPr>
          <w:rStyle w:val="hps"/>
          <w:rFonts w:cs="Arial"/>
          <w:color w:val="222222"/>
          <w:sz w:val="24"/>
          <w:szCs w:val="24"/>
        </w:rPr>
        <w:t xml:space="preserve">del fármaco sobre </w:t>
      </w:r>
      <w:r w:rsidR="006F62A5" w:rsidRPr="009D09A6">
        <w:rPr>
          <w:rStyle w:val="hps"/>
          <w:rFonts w:cs="Arial"/>
          <w:color w:val="222222"/>
          <w:sz w:val="24"/>
          <w:szCs w:val="24"/>
        </w:rPr>
        <w:t>el comportamiento, la frecuencia y el ritmo</w:t>
      </w:r>
      <w:r w:rsidR="00B43431" w:rsidRPr="009D09A6">
        <w:rPr>
          <w:rStyle w:val="hps"/>
          <w:rFonts w:cs="Arial"/>
          <w:color w:val="222222"/>
          <w:sz w:val="24"/>
          <w:szCs w:val="24"/>
        </w:rPr>
        <w:t xml:space="preserve"> cardiaco</w:t>
      </w:r>
      <w:r w:rsidR="006F62A5" w:rsidRPr="009D09A6">
        <w:rPr>
          <w:rStyle w:val="hps"/>
          <w:rFonts w:cs="Arial"/>
          <w:color w:val="222222"/>
          <w:sz w:val="24"/>
          <w:szCs w:val="24"/>
        </w:rPr>
        <w:t>,</w:t>
      </w:r>
      <w:r w:rsidR="00B43431" w:rsidRPr="009D09A6">
        <w:rPr>
          <w:rStyle w:val="hps"/>
          <w:rFonts w:cs="Arial"/>
          <w:color w:val="222222"/>
          <w:sz w:val="24"/>
          <w:szCs w:val="24"/>
        </w:rPr>
        <w:t xml:space="preserve"> los niveles de </w:t>
      </w:r>
      <w:r w:rsidR="006F62A5" w:rsidRPr="009D09A6">
        <w:rPr>
          <w:rStyle w:val="hps"/>
          <w:rFonts w:cs="Arial"/>
          <w:color w:val="222222"/>
          <w:sz w:val="24"/>
          <w:szCs w:val="24"/>
        </w:rPr>
        <w:t xml:space="preserve">glucosa, el volumen </w:t>
      </w:r>
      <w:r w:rsidR="00B43431" w:rsidRPr="009D09A6">
        <w:rPr>
          <w:rStyle w:val="hps"/>
          <w:rFonts w:cs="Arial"/>
          <w:color w:val="222222"/>
          <w:sz w:val="24"/>
          <w:szCs w:val="24"/>
        </w:rPr>
        <w:t xml:space="preserve">de paquete </w:t>
      </w:r>
      <w:r w:rsidR="006F62A5" w:rsidRPr="009D09A6">
        <w:rPr>
          <w:rStyle w:val="hps"/>
          <w:rFonts w:cs="Arial"/>
          <w:color w:val="222222"/>
          <w:sz w:val="24"/>
          <w:szCs w:val="24"/>
        </w:rPr>
        <w:t xml:space="preserve">celular </w:t>
      </w:r>
      <w:r w:rsidR="00B43431" w:rsidRPr="009D09A6">
        <w:rPr>
          <w:rStyle w:val="hps"/>
          <w:rFonts w:cs="Arial"/>
          <w:color w:val="222222"/>
          <w:sz w:val="24"/>
          <w:szCs w:val="24"/>
        </w:rPr>
        <w:t>(PCV) y la concentración de</w:t>
      </w:r>
      <w:r w:rsidR="006F62A5" w:rsidRPr="009D09A6">
        <w:rPr>
          <w:rStyle w:val="hps"/>
          <w:rFonts w:cs="Arial"/>
          <w:color w:val="222222"/>
          <w:sz w:val="24"/>
          <w:szCs w:val="24"/>
        </w:rPr>
        <w:t xml:space="preserve"> proteínas plasmáticas </w:t>
      </w:r>
      <w:r w:rsidR="00B43431" w:rsidRPr="009D09A6">
        <w:rPr>
          <w:rStyle w:val="hps"/>
          <w:rFonts w:cs="Arial"/>
          <w:color w:val="222222"/>
          <w:sz w:val="24"/>
          <w:szCs w:val="24"/>
        </w:rPr>
        <w:t>fueron medidas</w:t>
      </w:r>
      <w:r w:rsidR="006F62A5" w:rsidRPr="009D09A6">
        <w:rPr>
          <w:rStyle w:val="hps"/>
          <w:rFonts w:cs="Arial"/>
          <w:color w:val="222222"/>
          <w:sz w:val="24"/>
          <w:szCs w:val="24"/>
        </w:rPr>
        <w:t>.</w:t>
      </w:r>
      <w:r w:rsidR="000F0C2A" w:rsidRPr="009D09A6">
        <w:rPr>
          <w:rStyle w:val="hps"/>
          <w:rFonts w:cs="Arial"/>
          <w:sz w:val="24"/>
          <w:szCs w:val="24"/>
        </w:rPr>
        <w:t xml:space="preserve"> </w:t>
      </w:r>
      <w:r w:rsidR="000F0C2A" w:rsidRPr="009D09A6">
        <w:rPr>
          <w:rStyle w:val="hps"/>
          <w:rFonts w:cs="Arial"/>
          <w:color w:val="222222"/>
          <w:sz w:val="24"/>
          <w:szCs w:val="24"/>
        </w:rPr>
        <w:t>En dicho estudio se</w:t>
      </w:r>
      <w:r w:rsidR="006F62A5" w:rsidRPr="009D09A6">
        <w:rPr>
          <w:rStyle w:val="hps"/>
          <w:rFonts w:cs="Arial"/>
          <w:color w:val="222222"/>
          <w:sz w:val="24"/>
          <w:szCs w:val="24"/>
        </w:rPr>
        <w:t xml:space="preserve"> emplearon tres regímenes de dosificación. 1) 0.</w:t>
      </w:r>
      <w:r w:rsidR="006F62A5" w:rsidRPr="00BF1B18">
        <w:rPr>
          <w:rStyle w:val="hps"/>
          <w:rFonts w:cs="Arial"/>
          <w:color w:val="000000" w:themeColor="text1"/>
          <w:sz w:val="24"/>
          <w:szCs w:val="24"/>
        </w:rPr>
        <w:t>03 mg</w:t>
      </w:r>
      <w:r w:rsidR="00B73D19" w:rsidRPr="00BF1B18">
        <w:rPr>
          <w:rStyle w:val="hps"/>
          <w:rFonts w:cs="Arial"/>
          <w:color w:val="000000" w:themeColor="text1"/>
          <w:sz w:val="24"/>
          <w:szCs w:val="24"/>
        </w:rPr>
        <w:t>/</w:t>
      </w:r>
      <w:r w:rsidR="006F62A5" w:rsidRPr="00BF1B18">
        <w:rPr>
          <w:rStyle w:val="hps"/>
          <w:rFonts w:cs="Arial"/>
          <w:color w:val="000000" w:themeColor="text1"/>
          <w:sz w:val="24"/>
          <w:szCs w:val="24"/>
        </w:rPr>
        <w:t>kg DET (Dormosedan, Pfizer Sal</w:t>
      </w:r>
      <w:r w:rsidR="007D212D" w:rsidRPr="00BF1B18">
        <w:rPr>
          <w:rStyle w:val="hps"/>
          <w:rFonts w:cs="Arial"/>
          <w:color w:val="000000" w:themeColor="text1"/>
          <w:sz w:val="24"/>
          <w:szCs w:val="24"/>
        </w:rPr>
        <w:t xml:space="preserve">ud Animal, </w:t>
      </w:r>
      <w:r w:rsidR="00BF1A65" w:rsidRPr="00BF1B18">
        <w:rPr>
          <w:rStyle w:val="hps"/>
          <w:rFonts w:cs="Arial"/>
          <w:color w:val="000000" w:themeColor="text1"/>
          <w:sz w:val="24"/>
          <w:szCs w:val="24"/>
        </w:rPr>
        <w:t>Pennsylvania</w:t>
      </w:r>
      <w:r w:rsidR="007D212D" w:rsidRPr="00BF1B18">
        <w:rPr>
          <w:rStyle w:val="hps"/>
          <w:rFonts w:cs="Arial"/>
          <w:color w:val="000000" w:themeColor="text1"/>
          <w:sz w:val="24"/>
          <w:szCs w:val="24"/>
        </w:rPr>
        <w:t>, EE.UU.) IV. 2) 0.</w:t>
      </w:r>
      <w:r w:rsidR="00B73D19" w:rsidRPr="00BF1B18">
        <w:rPr>
          <w:rStyle w:val="hps"/>
          <w:rFonts w:cs="Arial"/>
          <w:color w:val="000000" w:themeColor="text1"/>
          <w:sz w:val="24"/>
          <w:szCs w:val="24"/>
        </w:rPr>
        <w:t>2 mg/</w:t>
      </w:r>
      <w:r w:rsidR="006F62A5" w:rsidRPr="00BF1B18">
        <w:rPr>
          <w:rStyle w:val="hps"/>
          <w:rFonts w:cs="Arial"/>
          <w:color w:val="000000" w:themeColor="text1"/>
          <w:sz w:val="24"/>
          <w:szCs w:val="24"/>
        </w:rPr>
        <w:t>kg YOH (Yobine, Lloyd lab</w:t>
      </w:r>
      <w:r w:rsidR="007D212D" w:rsidRPr="00BF1B18">
        <w:rPr>
          <w:rStyle w:val="hps"/>
          <w:rFonts w:cs="Arial"/>
          <w:color w:val="000000" w:themeColor="text1"/>
          <w:sz w:val="24"/>
          <w:szCs w:val="24"/>
        </w:rPr>
        <w:t>oratorios, IA, EE.UU.) IV. 3) 0.</w:t>
      </w:r>
      <w:r w:rsidR="00B73D19" w:rsidRPr="00BF1B18">
        <w:rPr>
          <w:rStyle w:val="hps"/>
          <w:rFonts w:cs="Arial"/>
          <w:color w:val="000000" w:themeColor="text1"/>
          <w:sz w:val="24"/>
          <w:szCs w:val="24"/>
        </w:rPr>
        <w:t>03 mg/</w:t>
      </w:r>
      <w:r w:rsidR="006F62A5" w:rsidRPr="00BF1B18">
        <w:rPr>
          <w:rStyle w:val="hps"/>
          <w:rFonts w:cs="Arial"/>
          <w:color w:val="000000" w:themeColor="text1"/>
          <w:sz w:val="24"/>
          <w:szCs w:val="24"/>
        </w:rPr>
        <w:t xml:space="preserve">kg DET IV seguido </w:t>
      </w:r>
      <w:r w:rsidR="007D212D" w:rsidRPr="00BF1B18">
        <w:rPr>
          <w:rStyle w:val="hps"/>
          <w:rFonts w:cs="Arial"/>
          <w:color w:val="000000" w:themeColor="text1"/>
          <w:sz w:val="24"/>
          <w:szCs w:val="24"/>
        </w:rPr>
        <w:t>por 0.</w:t>
      </w:r>
      <w:r w:rsidR="000F0C2A" w:rsidRPr="00BF1B18">
        <w:rPr>
          <w:rStyle w:val="hps"/>
          <w:rFonts w:cs="Arial"/>
          <w:color w:val="000000" w:themeColor="text1"/>
          <w:sz w:val="24"/>
          <w:szCs w:val="24"/>
        </w:rPr>
        <w:t>2 mg</w:t>
      </w:r>
      <w:r w:rsidR="00B73D19" w:rsidRPr="00BF1B18">
        <w:rPr>
          <w:rStyle w:val="hps"/>
          <w:rFonts w:cs="Arial"/>
          <w:color w:val="000000" w:themeColor="text1"/>
          <w:sz w:val="24"/>
          <w:szCs w:val="24"/>
        </w:rPr>
        <w:t>/</w:t>
      </w:r>
      <w:r w:rsidR="000F0C2A" w:rsidRPr="00BF1B18">
        <w:rPr>
          <w:rStyle w:val="hps"/>
          <w:rFonts w:cs="Arial"/>
          <w:color w:val="000000" w:themeColor="text1"/>
          <w:sz w:val="24"/>
          <w:szCs w:val="24"/>
        </w:rPr>
        <w:t xml:space="preserve">kg </w:t>
      </w:r>
      <w:r w:rsidR="007D212D" w:rsidRPr="00BF1B18">
        <w:rPr>
          <w:rStyle w:val="hps"/>
          <w:rFonts w:cs="Arial"/>
          <w:color w:val="000000" w:themeColor="text1"/>
          <w:sz w:val="24"/>
          <w:szCs w:val="24"/>
        </w:rPr>
        <w:t xml:space="preserve">de </w:t>
      </w:r>
      <w:r w:rsidR="000F0C2A" w:rsidRPr="009D09A6">
        <w:rPr>
          <w:rStyle w:val="hps"/>
          <w:rFonts w:cs="Arial"/>
          <w:color w:val="222222"/>
          <w:sz w:val="24"/>
          <w:szCs w:val="24"/>
        </w:rPr>
        <w:t xml:space="preserve">YOH </w:t>
      </w:r>
      <w:r w:rsidR="007D212D" w:rsidRPr="009D09A6">
        <w:rPr>
          <w:rStyle w:val="hps"/>
          <w:rFonts w:cs="Arial"/>
          <w:color w:val="222222"/>
          <w:sz w:val="24"/>
          <w:szCs w:val="24"/>
        </w:rPr>
        <w:t xml:space="preserve">vía </w:t>
      </w:r>
      <w:r w:rsidR="000F0C2A" w:rsidRPr="009D09A6">
        <w:rPr>
          <w:rStyle w:val="hps"/>
          <w:rFonts w:cs="Arial"/>
          <w:color w:val="222222"/>
          <w:sz w:val="24"/>
          <w:szCs w:val="24"/>
        </w:rPr>
        <w:t xml:space="preserve">IV. </w:t>
      </w:r>
      <w:r w:rsidR="006F62A5" w:rsidRPr="009D09A6">
        <w:rPr>
          <w:rStyle w:val="hps"/>
          <w:rFonts w:cs="Arial"/>
          <w:color w:val="222222"/>
          <w:sz w:val="24"/>
          <w:szCs w:val="24"/>
        </w:rPr>
        <w:t xml:space="preserve">Cada caballo recibió los tres tratamientos </w:t>
      </w:r>
      <w:r w:rsidR="007D212D" w:rsidRPr="009D09A6">
        <w:rPr>
          <w:rStyle w:val="hps"/>
          <w:rFonts w:cs="Arial"/>
          <w:color w:val="222222"/>
          <w:sz w:val="24"/>
          <w:szCs w:val="24"/>
        </w:rPr>
        <w:t xml:space="preserve">y se </w:t>
      </w:r>
      <w:r w:rsidR="00146395" w:rsidRPr="009D09A6">
        <w:rPr>
          <w:rStyle w:val="hps"/>
          <w:rFonts w:cs="Arial"/>
          <w:color w:val="222222"/>
          <w:sz w:val="24"/>
          <w:szCs w:val="24"/>
        </w:rPr>
        <w:t>consideró</w:t>
      </w:r>
      <w:r w:rsidR="007D212D" w:rsidRPr="009D09A6">
        <w:rPr>
          <w:rStyle w:val="hps"/>
          <w:rFonts w:cs="Arial"/>
          <w:color w:val="222222"/>
          <w:sz w:val="24"/>
          <w:szCs w:val="24"/>
        </w:rPr>
        <w:t xml:space="preserve"> un periodo de lavado </w:t>
      </w:r>
      <w:r w:rsidR="006F62A5" w:rsidRPr="009D09A6">
        <w:rPr>
          <w:rStyle w:val="hps"/>
          <w:rFonts w:cs="Arial"/>
          <w:color w:val="222222"/>
          <w:sz w:val="24"/>
          <w:szCs w:val="24"/>
        </w:rPr>
        <w:t>mínimo de 1 semana entre tratamientos</w:t>
      </w:r>
      <w:r w:rsidR="007D212D" w:rsidRPr="009D09A6">
        <w:rPr>
          <w:rStyle w:val="hps"/>
          <w:rFonts w:cs="Arial"/>
          <w:color w:val="222222"/>
          <w:sz w:val="24"/>
          <w:szCs w:val="24"/>
        </w:rPr>
        <w:t>.</w:t>
      </w:r>
      <w:r w:rsidR="00785933" w:rsidRPr="009D09A6">
        <w:rPr>
          <w:rStyle w:val="hps"/>
          <w:rFonts w:cs="Arial"/>
          <w:sz w:val="24"/>
          <w:szCs w:val="24"/>
        </w:rPr>
        <w:t xml:space="preserve"> </w:t>
      </w:r>
      <w:r w:rsidR="00784EC8" w:rsidRPr="009D09A6">
        <w:rPr>
          <w:rStyle w:val="hps"/>
          <w:rFonts w:cs="Arial"/>
          <w:color w:val="222222"/>
          <w:sz w:val="24"/>
          <w:szCs w:val="24"/>
        </w:rPr>
        <w:t xml:space="preserve">Se </w:t>
      </w:r>
      <w:r w:rsidR="00784EC8" w:rsidRPr="009D09A6">
        <w:rPr>
          <w:rStyle w:val="hps"/>
          <w:rFonts w:cs="Arial"/>
          <w:color w:val="222222"/>
          <w:sz w:val="24"/>
          <w:szCs w:val="24"/>
        </w:rPr>
        <w:lastRenderedPageBreak/>
        <w:t>identificó que</w:t>
      </w:r>
      <w:r w:rsidR="00F60CF9" w:rsidRPr="009D09A6">
        <w:rPr>
          <w:rStyle w:val="hps"/>
          <w:rFonts w:cs="Arial"/>
          <w:color w:val="222222"/>
          <w:sz w:val="24"/>
          <w:szCs w:val="24"/>
        </w:rPr>
        <w:t xml:space="preserve"> d</w:t>
      </w:r>
      <w:r w:rsidR="006F62A5" w:rsidRPr="009D09A6">
        <w:rPr>
          <w:rStyle w:val="hps"/>
          <w:rFonts w:cs="Arial"/>
          <w:color w:val="222222"/>
          <w:sz w:val="24"/>
          <w:szCs w:val="24"/>
        </w:rPr>
        <w:t>os caballos mostraron signos de sedación.</w:t>
      </w:r>
      <w:r w:rsidR="00785933" w:rsidRPr="009D09A6">
        <w:rPr>
          <w:rStyle w:val="hps"/>
          <w:rFonts w:cs="Arial"/>
          <w:color w:val="222222"/>
          <w:sz w:val="24"/>
          <w:szCs w:val="24"/>
        </w:rPr>
        <w:t xml:space="preserve"> La </w:t>
      </w:r>
      <w:r w:rsidR="00E43E78">
        <w:rPr>
          <w:rStyle w:val="hps"/>
          <w:rFonts w:cs="Arial"/>
          <w:color w:val="222222"/>
          <w:sz w:val="24"/>
          <w:szCs w:val="24"/>
        </w:rPr>
        <w:t>YOH</w:t>
      </w:r>
      <w:r w:rsidR="00F60CF9" w:rsidRPr="009D09A6">
        <w:rPr>
          <w:rStyle w:val="hps"/>
          <w:rFonts w:cs="Arial"/>
          <w:color w:val="222222"/>
          <w:sz w:val="24"/>
          <w:szCs w:val="24"/>
        </w:rPr>
        <w:t xml:space="preserve"> </w:t>
      </w:r>
      <w:r w:rsidR="00784EC8" w:rsidRPr="009D09A6">
        <w:rPr>
          <w:rStyle w:val="hps"/>
          <w:rFonts w:cs="Arial"/>
          <w:color w:val="222222"/>
          <w:sz w:val="24"/>
          <w:szCs w:val="24"/>
        </w:rPr>
        <w:t xml:space="preserve">regulo </w:t>
      </w:r>
      <w:r w:rsidR="006F62A5" w:rsidRPr="009D09A6">
        <w:rPr>
          <w:rStyle w:val="hps"/>
          <w:rFonts w:cs="Arial"/>
          <w:color w:val="222222"/>
          <w:sz w:val="24"/>
          <w:szCs w:val="24"/>
        </w:rPr>
        <w:t>efectivamente la frecuencia cardíaca y el porcentaje de alteraciones de la conducción</w:t>
      </w:r>
      <w:r w:rsidR="00785933" w:rsidRPr="009D09A6">
        <w:rPr>
          <w:rStyle w:val="hps"/>
          <w:rFonts w:cs="Arial"/>
          <w:color w:val="222222"/>
          <w:sz w:val="24"/>
          <w:szCs w:val="24"/>
        </w:rPr>
        <w:t xml:space="preserve"> atrio</w:t>
      </w:r>
      <w:r w:rsidR="00F60CF9" w:rsidRPr="009D09A6">
        <w:rPr>
          <w:rStyle w:val="hps"/>
          <w:rFonts w:cs="Arial"/>
          <w:color w:val="222222"/>
          <w:sz w:val="24"/>
          <w:szCs w:val="24"/>
        </w:rPr>
        <w:t>-</w:t>
      </w:r>
      <w:r w:rsidR="00E72D5B" w:rsidRPr="009D09A6">
        <w:rPr>
          <w:rStyle w:val="hps"/>
          <w:rFonts w:cs="Arial"/>
          <w:color w:val="222222"/>
          <w:sz w:val="24"/>
          <w:szCs w:val="24"/>
        </w:rPr>
        <w:t xml:space="preserve">ventricular, estos </w:t>
      </w:r>
      <w:r w:rsidR="006F62A5" w:rsidRPr="009D09A6">
        <w:rPr>
          <w:rStyle w:val="hps"/>
          <w:rFonts w:cs="Arial"/>
          <w:color w:val="222222"/>
          <w:sz w:val="24"/>
          <w:szCs w:val="24"/>
        </w:rPr>
        <w:t>valores</w:t>
      </w:r>
      <w:r w:rsidR="00E72D5B" w:rsidRPr="009D09A6">
        <w:rPr>
          <w:rStyle w:val="hps"/>
          <w:rFonts w:cs="Arial"/>
          <w:color w:val="222222"/>
          <w:sz w:val="24"/>
          <w:szCs w:val="24"/>
        </w:rPr>
        <w:t xml:space="preserve"> se demostraron</w:t>
      </w:r>
      <w:r w:rsidR="00784EC8" w:rsidRPr="009D09A6">
        <w:rPr>
          <w:rStyle w:val="hps"/>
          <w:rFonts w:cs="Arial"/>
          <w:color w:val="222222"/>
          <w:sz w:val="24"/>
          <w:szCs w:val="24"/>
        </w:rPr>
        <w:t xml:space="preserve"> cuando se administró</w:t>
      </w:r>
      <w:r w:rsidR="00E72D5B" w:rsidRPr="009D09A6">
        <w:rPr>
          <w:rStyle w:val="hps"/>
          <w:rFonts w:cs="Arial"/>
          <w:color w:val="222222"/>
          <w:sz w:val="24"/>
          <w:szCs w:val="24"/>
        </w:rPr>
        <w:t xml:space="preserve"> la </w:t>
      </w:r>
      <w:r w:rsidR="00E43E78">
        <w:rPr>
          <w:rStyle w:val="hps"/>
          <w:rFonts w:cs="Arial"/>
          <w:color w:val="222222"/>
          <w:sz w:val="24"/>
          <w:szCs w:val="24"/>
        </w:rPr>
        <w:t>YOH</w:t>
      </w:r>
      <w:r w:rsidR="006F62A5" w:rsidRPr="009D09A6">
        <w:rPr>
          <w:rStyle w:val="hps"/>
          <w:rFonts w:cs="Arial"/>
          <w:color w:val="222222"/>
          <w:sz w:val="24"/>
          <w:szCs w:val="24"/>
        </w:rPr>
        <w:t xml:space="preserve"> 15 minutos</w:t>
      </w:r>
      <w:r w:rsidR="00E72D5B" w:rsidRPr="009D09A6">
        <w:rPr>
          <w:rStyle w:val="hps"/>
          <w:rFonts w:cs="Arial"/>
          <w:color w:val="222222"/>
          <w:sz w:val="24"/>
          <w:szCs w:val="24"/>
        </w:rPr>
        <w:t xml:space="preserve"> </w:t>
      </w:r>
      <w:r w:rsidR="00784EC8" w:rsidRPr="009D09A6">
        <w:rPr>
          <w:rStyle w:val="hps"/>
          <w:rFonts w:cs="Arial"/>
          <w:color w:val="222222"/>
          <w:sz w:val="24"/>
          <w:szCs w:val="24"/>
        </w:rPr>
        <w:t xml:space="preserve">posteriores a </w:t>
      </w:r>
      <w:r w:rsidR="00E72D5B" w:rsidRPr="009D09A6">
        <w:rPr>
          <w:rStyle w:val="hps"/>
          <w:rFonts w:cs="Arial"/>
          <w:color w:val="222222"/>
          <w:sz w:val="24"/>
          <w:szCs w:val="24"/>
        </w:rPr>
        <w:t xml:space="preserve">la administración de </w:t>
      </w:r>
      <w:r w:rsidR="00B56224">
        <w:rPr>
          <w:rStyle w:val="hps"/>
          <w:rFonts w:cs="Arial"/>
          <w:color w:val="222222"/>
          <w:sz w:val="24"/>
          <w:szCs w:val="24"/>
        </w:rPr>
        <w:t>DET</w:t>
      </w:r>
      <w:r w:rsidR="006F62A5" w:rsidRPr="009D09A6">
        <w:rPr>
          <w:rStyle w:val="hps"/>
          <w:rFonts w:cs="Arial"/>
          <w:color w:val="222222"/>
          <w:sz w:val="24"/>
          <w:szCs w:val="24"/>
        </w:rPr>
        <w:t xml:space="preserve">. Antes de la administración del fármaco, la frecuencia cardíaca disminuyó significativamente </w:t>
      </w:r>
      <w:r w:rsidR="00D543F1" w:rsidRPr="009D09A6">
        <w:rPr>
          <w:rStyle w:val="hps"/>
          <w:rFonts w:cs="Arial"/>
          <w:color w:val="222222"/>
          <w:sz w:val="24"/>
          <w:szCs w:val="24"/>
        </w:rPr>
        <w:t xml:space="preserve">en </w:t>
      </w:r>
      <w:r w:rsidR="006F62A5" w:rsidRPr="009D09A6">
        <w:rPr>
          <w:rStyle w:val="hps"/>
          <w:rFonts w:cs="Arial"/>
          <w:color w:val="222222"/>
          <w:sz w:val="24"/>
          <w:szCs w:val="24"/>
        </w:rPr>
        <w:t>todos los caballos</w:t>
      </w:r>
      <w:r w:rsidR="00D543F1" w:rsidRPr="009D09A6">
        <w:rPr>
          <w:rStyle w:val="hps"/>
          <w:rFonts w:cs="Arial"/>
          <w:color w:val="222222"/>
          <w:sz w:val="24"/>
          <w:szCs w:val="24"/>
        </w:rPr>
        <w:t xml:space="preserve"> bajo estudio.</w:t>
      </w:r>
      <w:r w:rsidR="00F60CF9" w:rsidRPr="009D09A6">
        <w:rPr>
          <w:rStyle w:val="hps"/>
          <w:rFonts w:cs="Arial"/>
          <w:color w:val="222222"/>
          <w:sz w:val="24"/>
          <w:szCs w:val="24"/>
        </w:rPr>
        <w:t xml:space="preserve"> La bradicardia inducida por la </w:t>
      </w:r>
      <w:r w:rsidR="00B56224">
        <w:rPr>
          <w:rStyle w:val="hps"/>
          <w:rFonts w:cs="Arial"/>
          <w:color w:val="222222"/>
          <w:sz w:val="24"/>
          <w:szCs w:val="24"/>
        </w:rPr>
        <w:t>DET</w:t>
      </w:r>
      <w:r w:rsidR="00F60CF9" w:rsidRPr="009D09A6">
        <w:rPr>
          <w:rStyle w:val="hps"/>
          <w:rFonts w:cs="Arial"/>
          <w:color w:val="222222"/>
          <w:sz w:val="24"/>
          <w:szCs w:val="24"/>
        </w:rPr>
        <w:t xml:space="preserve"> persistió durante</w:t>
      </w:r>
      <w:r w:rsidR="006F62A5" w:rsidRPr="009D09A6">
        <w:rPr>
          <w:rStyle w:val="hps"/>
          <w:rFonts w:cs="Arial"/>
          <w:color w:val="222222"/>
          <w:sz w:val="24"/>
          <w:szCs w:val="24"/>
        </w:rPr>
        <w:t xml:space="preserve"> 1 hora</w:t>
      </w:r>
      <w:r w:rsidR="00D543F1" w:rsidRPr="009D09A6">
        <w:rPr>
          <w:rStyle w:val="hps"/>
          <w:rFonts w:cs="Arial"/>
          <w:color w:val="222222"/>
          <w:sz w:val="24"/>
          <w:szCs w:val="24"/>
        </w:rPr>
        <w:t>.</w:t>
      </w:r>
      <w:r w:rsidR="00785933" w:rsidRPr="009D09A6">
        <w:rPr>
          <w:rStyle w:val="hps"/>
          <w:rFonts w:cs="Arial"/>
          <w:color w:val="222222"/>
          <w:sz w:val="24"/>
          <w:szCs w:val="24"/>
        </w:rPr>
        <w:t xml:space="preserve"> </w:t>
      </w:r>
    </w:p>
    <w:p w:rsidR="009D09A6" w:rsidRPr="00BF1B18" w:rsidRDefault="00D543F1" w:rsidP="00065198">
      <w:pPr>
        <w:spacing w:line="360" w:lineRule="auto"/>
        <w:rPr>
          <w:rFonts w:cs="Arial"/>
          <w:color w:val="000000" w:themeColor="text1"/>
          <w:sz w:val="24"/>
          <w:szCs w:val="24"/>
        </w:rPr>
      </w:pPr>
      <w:r w:rsidRPr="009D09A6">
        <w:rPr>
          <w:rStyle w:val="hps"/>
          <w:rFonts w:cs="Arial"/>
          <w:color w:val="222222"/>
          <w:sz w:val="24"/>
          <w:szCs w:val="24"/>
        </w:rPr>
        <w:t xml:space="preserve">Los niveles de glucosa fueron obtenidos, identificando </w:t>
      </w:r>
      <w:r w:rsidR="00E72D5B" w:rsidRPr="009D09A6">
        <w:rPr>
          <w:rStyle w:val="hps"/>
          <w:rFonts w:cs="Arial"/>
          <w:color w:val="222222"/>
          <w:sz w:val="24"/>
          <w:szCs w:val="24"/>
        </w:rPr>
        <w:t xml:space="preserve">hiperglucemia </w:t>
      </w:r>
      <w:r w:rsidRPr="009D09A6">
        <w:rPr>
          <w:rStyle w:val="hps"/>
          <w:rFonts w:cs="Arial"/>
          <w:color w:val="222222"/>
          <w:sz w:val="24"/>
          <w:szCs w:val="24"/>
        </w:rPr>
        <w:t xml:space="preserve">causada por efecto de la </w:t>
      </w:r>
      <w:r w:rsidR="00B56224" w:rsidRPr="00BF1B18">
        <w:rPr>
          <w:rStyle w:val="hps"/>
          <w:rFonts w:cs="Arial"/>
          <w:color w:val="000000" w:themeColor="text1"/>
          <w:sz w:val="24"/>
          <w:szCs w:val="24"/>
        </w:rPr>
        <w:t>DET</w:t>
      </w:r>
      <w:r w:rsidRPr="00BF1B18">
        <w:rPr>
          <w:rStyle w:val="hps"/>
          <w:rFonts w:cs="Arial"/>
          <w:color w:val="000000" w:themeColor="text1"/>
          <w:sz w:val="24"/>
          <w:szCs w:val="24"/>
        </w:rPr>
        <w:t xml:space="preserve">, la cual desapareció por un efecto benéfico de la </w:t>
      </w:r>
      <w:r w:rsidR="00E43E78" w:rsidRPr="00BF1B18">
        <w:rPr>
          <w:rStyle w:val="hps"/>
          <w:rFonts w:cs="Arial"/>
          <w:color w:val="000000" w:themeColor="text1"/>
          <w:sz w:val="24"/>
          <w:szCs w:val="24"/>
        </w:rPr>
        <w:t>YOH</w:t>
      </w:r>
      <w:r w:rsidR="006F62A5" w:rsidRPr="00BF1B18">
        <w:rPr>
          <w:rStyle w:val="hps"/>
          <w:rFonts w:cs="Arial"/>
          <w:color w:val="000000" w:themeColor="text1"/>
          <w:sz w:val="24"/>
          <w:szCs w:val="24"/>
        </w:rPr>
        <w:t>. Las concentraciones de</w:t>
      </w:r>
      <w:r w:rsidR="00BD5800" w:rsidRPr="00BF1B18">
        <w:rPr>
          <w:rStyle w:val="hps"/>
          <w:rFonts w:cs="Arial"/>
          <w:color w:val="000000" w:themeColor="text1"/>
          <w:sz w:val="24"/>
          <w:szCs w:val="24"/>
        </w:rPr>
        <w:t xml:space="preserve"> glucosa en plasma </w:t>
      </w:r>
      <w:r w:rsidR="006F62A5" w:rsidRPr="00BF1B18">
        <w:rPr>
          <w:rStyle w:val="hps"/>
          <w:rFonts w:cs="Arial"/>
          <w:color w:val="000000" w:themeColor="text1"/>
          <w:sz w:val="24"/>
          <w:szCs w:val="24"/>
        </w:rPr>
        <w:t xml:space="preserve"> aumentaron significativamente durante un máximo de 3 horas </w:t>
      </w:r>
      <w:r w:rsidR="00BD5800" w:rsidRPr="00BF1B18">
        <w:rPr>
          <w:rStyle w:val="hps"/>
          <w:rFonts w:cs="Arial"/>
          <w:color w:val="000000" w:themeColor="text1"/>
          <w:sz w:val="24"/>
          <w:szCs w:val="24"/>
        </w:rPr>
        <w:t xml:space="preserve">después de la administración de </w:t>
      </w:r>
      <w:r w:rsidR="00B56224" w:rsidRPr="00BF1B18">
        <w:rPr>
          <w:rStyle w:val="hps"/>
          <w:rFonts w:cs="Arial"/>
          <w:color w:val="000000" w:themeColor="text1"/>
          <w:sz w:val="24"/>
          <w:szCs w:val="24"/>
        </w:rPr>
        <w:t>DET</w:t>
      </w:r>
      <w:r w:rsidRPr="00BF1B18">
        <w:rPr>
          <w:rStyle w:val="hps"/>
          <w:rFonts w:cs="Arial"/>
          <w:color w:val="000000" w:themeColor="text1"/>
          <w:sz w:val="24"/>
          <w:szCs w:val="24"/>
        </w:rPr>
        <w:t xml:space="preserve"> (31 mg/</w:t>
      </w:r>
      <w:r w:rsidR="006F62A5" w:rsidRPr="00BF1B18">
        <w:rPr>
          <w:rStyle w:val="hps"/>
          <w:rFonts w:cs="Arial"/>
          <w:color w:val="000000" w:themeColor="text1"/>
          <w:sz w:val="24"/>
          <w:szCs w:val="24"/>
        </w:rPr>
        <w:t>d</w:t>
      </w:r>
      <w:r w:rsidRPr="00BF1B18">
        <w:rPr>
          <w:rStyle w:val="hps"/>
          <w:rFonts w:cs="Arial"/>
          <w:color w:val="000000" w:themeColor="text1"/>
          <w:sz w:val="24"/>
          <w:szCs w:val="24"/>
        </w:rPr>
        <w:t>L</w:t>
      </w:r>
      <w:r w:rsidR="00BD5800" w:rsidRPr="00BF1B18">
        <w:rPr>
          <w:rStyle w:val="hps"/>
          <w:rFonts w:cs="Arial"/>
          <w:color w:val="000000" w:themeColor="text1"/>
          <w:sz w:val="24"/>
          <w:szCs w:val="24"/>
        </w:rPr>
        <w:t xml:space="preserve">) en el grupo de los caballos tratados solamente con </w:t>
      </w:r>
      <w:r w:rsidR="00B56224" w:rsidRPr="00BF1B18">
        <w:rPr>
          <w:rStyle w:val="hps"/>
          <w:rFonts w:cs="Arial"/>
          <w:color w:val="000000" w:themeColor="text1"/>
          <w:sz w:val="24"/>
          <w:szCs w:val="24"/>
        </w:rPr>
        <w:t>DET</w:t>
      </w:r>
      <w:r w:rsidR="00BD5800" w:rsidRPr="00BF1B18">
        <w:rPr>
          <w:rStyle w:val="hps"/>
          <w:rFonts w:cs="Arial"/>
          <w:color w:val="000000" w:themeColor="text1"/>
          <w:sz w:val="24"/>
          <w:szCs w:val="24"/>
        </w:rPr>
        <w:t xml:space="preserve">. </w:t>
      </w:r>
      <w:r w:rsidR="00785933" w:rsidRPr="00BF1B18">
        <w:rPr>
          <w:rStyle w:val="hps"/>
          <w:rFonts w:cs="Arial"/>
          <w:color w:val="000000" w:themeColor="text1"/>
          <w:sz w:val="24"/>
          <w:szCs w:val="24"/>
        </w:rPr>
        <w:t xml:space="preserve">La </w:t>
      </w:r>
      <w:r w:rsidR="00B56224" w:rsidRPr="00BF1B18">
        <w:rPr>
          <w:rStyle w:val="hps"/>
          <w:rFonts w:cs="Arial"/>
          <w:color w:val="000000" w:themeColor="text1"/>
          <w:sz w:val="24"/>
          <w:szCs w:val="24"/>
        </w:rPr>
        <w:t>DET</w:t>
      </w:r>
      <w:r w:rsidR="006F62A5" w:rsidRPr="00BF1B18">
        <w:rPr>
          <w:rFonts w:cs="Arial"/>
          <w:color w:val="000000" w:themeColor="text1"/>
          <w:sz w:val="24"/>
          <w:szCs w:val="24"/>
        </w:rPr>
        <w:t xml:space="preserve"> </w:t>
      </w:r>
      <w:r w:rsidR="006F62A5" w:rsidRPr="00BF1B18">
        <w:rPr>
          <w:rStyle w:val="hps"/>
          <w:rFonts w:cs="Arial"/>
          <w:color w:val="000000" w:themeColor="text1"/>
          <w:sz w:val="24"/>
          <w:szCs w:val="24"/>
        </w:rPr>
        <w:t>es eficaz</w:t>
      </w:r>
      <w:r w:rsidR="006F62A5" w:rsidRPr="00BF1B18">
        <w:rPr>
          <w:rFonts w:cs="Arial"/>
          <w:color w:val="000000" w:themeColor="text1"/>
          <w:sz w:val="24"/>
          <w:szCs w:val="24"/>
        </w:rPr>
        <w:t xml:space="preserve"> </w:t>
      </w:r>
      <w:r w:rsidR="006F62A5" w:rsidRPr="00BF1B18">
        <w:rPr>
          <w:rStyle w:val="hps"/>
          <w:rFonts w:cs="Arial"/>
          <w:color w:val="000000" w:themeColor="text1"/>
          <w:sz w:val="24"/>
          <w:szCs w:val="24"/>
        </w:rPr>
        <w:t>en la inducción de</w:t>
      </w:r>
      <w:r w:rsidR="006F62A5" w:rsidRPr="00BF1B18">
        <w:rPr>
          <w:rFonts w:cs="Arial"/>
          <w:color w:val="000000" w:themeColor="text1"/>
          <w:sz w:val="24"/>
          <w:szCs w:val="24"/>
        </w:rPr>
        <w:t xml:space="preserve"> </w:t>
      </w:r>
      <w:r w:rsidR="006F62A5" w:rsidRPr="00BF1B18">
        <w:rPr>
          <w:rStyle w:val="hps"/>
          <w:rFonts w:cs="Arial"/>
          <w:color w:val="000000" w:themeColor="text1"/>
          <w:sz w:val="24"/>
          <w:szCs w:val="24"/>
        </w:rPr>
        <w:t>la sedación con</w:t>
      </w:r>
      <w:r w:rsidR="006F62A5" w:rsidRPr="00BF1B18">
        <w:rPr>
          <w:rFonts w:cs="Arial"/>
          <w:color w:val="000000" w:themeColor="text1"/>
          <w:sz w:val="24"/>
          <w:szCs w:val="24"/>
        </w:rPr>
        <w:t xml:space="preserve"> </w:t>
      </w:r>
      <w:r w:rsidR="006F62A5" w:rsidRPr="00BF1B18">
        <w:rPr>
          <w:rStyle w:val="hps"/>
          <w:rFonts w:cs="Arial"/>
          <w:color w:val="000000" w:themeColor="text1"/>
          <w:sz w:val="24"/>
          <w:szCs w:val="24"/>
        </w:rPr>
        <w:t>efectos</w:t>
      </w:r>
      <w:r w:rsidR="006F62A5" w:rsidRPr="00BF1B18">
        <w:rPr>
          <w:rFonts w:cs="Arial"/>
          <w:color w:val="000000" w:themeColor="text1"/>
          <w:sz w:val="24"/>
          <w:szCs w:val="24"/>
        </w:rPr>
        <w:t xml:space="preserve"> </w:t>
      </w:r>
      <w:r w:rsidR="006F62A5" w:rsidRPr="00BF1B18">
        <w:rPr>
          <w:rStyle w:val="hps"/>
          <w:rFonts w:cs="Arial"/>
          <w:color w:val="000000" w:themeColor="text1"/>
          <w:sz w:val="24"/>
          <w:szCs w:val="24"/>
        </w:rPr>
        <w:t>pronunciados</w:t>
      </w:r>
      <w:r w:rsidR="006F62A5" w:rsidRPr="00BF1B18">
        <w:rPr>
          <w:rFonts w:cs="Arial"/>
          <w:color w:val="000000" w:themeColor="text1"/>
          <w:sz w:val="24"/>
          <w:szCs w:val="24"/>
        </w:rPr>
        <w:t xml:space="preserve"> </w:t>
      </w:r>
      <w:r w:rsidR="006F62A5" w:rsidRPr="00BF1B18">
        <w:rPr>
          <w:rStyle w:val="hps"/>
          <w:rFonts w:cs="Arial"/>
          <w:color w:val="000000" w:themeColor="text1"/>
          <w:sz w:val="24"/>
          <w:szCs w:val="24"/>
        </w:rPr>
        <w:t>sobre los efectos</w:t>
      </w:r>
      <w:r w:rsidR="006F62A5" w:rsidRPr="00BF1B18">
        <w:rPr>
          <w:rFonts w:cs="Arial"/>
          <w:color w:val="000000" w:themeColor="text1"/>
          <w:sz w:val="24"/>
          <w:szCs w:val="24"/>
        </w:rPr>
        <w:t xml:space="preserve"> </w:t>
      </w:r>
      <w:r w:rsidR="006F62A5" w:rsidRPr="00BF1B18">
        <w:rPr>
          <w:rStyle w:val="hps"/>
          <w:rFonts w:cs="Arial"/>
          <w:color w:val="000000" w:themeColor="text1"/>
          <w:sz w:val="24"/>
          <w:szCs w:val="24"/>
        </w:rPr>
        <w:t>cardíacos</w:t>
      </w:r>
      <w:r w:rsidR="006F62A5" w:rsidRPr="009D09A6">
        <w:rPr>
          <w:rFonts w:cs="Arial"/>
          <w:color w:val="222222"/>
          <w:sz w:val="24"/>
          <w:szCs w:val="24"/>
        </w:rPr>
        <w:t xml:space="preserve">, incluyendo </w:t>
      </w:r>
      <w:r w:rsidR="006F62A5" w:rsidRPr="009D09A6">
        <w:rPr>
          <w:rStyle w:val="hps"/>
          <w:rFonts w:cs="Arial"/>
          <w:color w:val="222222"/>
          <w:sz w:val="24"/>
          <w:szCs w:val="24"/>
        </w:rPr>
        <w:t>una notable disminución</w:t>
      </w:r>
      <w:r w:rsidR="006F62A5" w:rsidRPr="009D09A6">
        <w:rPr>
          <w:rFonts w:cs="Arial"/>
          <w:color w:val="222222"/>
          <w:sz w:val="24"/>
          <w:szCs w:val="24"/>
        </w:rPr>
        <w:t xml:space="preserve"> </w:t>
      </w:r>
      <w:r w:rsidR="006F62A5" w:rsidRPr="009D09A6">
        <w:rPr>
          <w:rStyle w:val="hps"/>
          <w:rFonts w:cs="Arial"/>
          <w:color w:val="222222"/>
          <w:sz w:val="24"/>
          <w:szCs w:val="24"/>
        </w:rPr>
        <w:t>en la frecuencia cardíaca</w:t>
      </w:r>
      <w:r w:rsidR="006F62A5" w:rsidRPr="009D09A6">
        <w:rPr>
          <w:rFonts w:cs="Arial"/>
          <w:color w:val="222222"/>
          <w:sz w:val="24"/>
          <w:szCs w:val="24"/>
        </w:rPr>
        <w:t xml:space="preserve"> </w:t>
      </w:r>
      <w:r w:rsidR="006F62A5" w:rsidRPr="009D09A6">
        <w:rPr>
          <w:rStyle w:val="hps"/>
          <w:rFonts w:cs="Arial"/>
          <w:color w:val="222222"/>
          <w:sz w:val="24"/>
          <w:szCs w:val="24"/>
        </w:rPr>
        <w:t>y</w:t>
      </w:r>
      <w:r w:rsidR="006F62A5" w:rsidRPr="009D09A6">
        <w:rPr>
          <w:rFonts w:cs="Arial"/>
          <w:color w:val="222222"/>
          <w:sz w:val="24"/>
          <w:szCs w:val="24"/>
        </w:rPr>
        <w:t xml:space="preserve"> </w:t>
      </w:r>
      <w:r w:rsidR="006F62A5" w:rsidRPr="009D09A6">
        <w:rPr>
          <w:rStyle w:val="hps"/>
          <w:rFonts w:cs="Arial"/>
          <w:color w:val="222222"/>
          <w:sz w:val="24"/>
          <w:szCs w:val="24"/>
        </w:rPr>
        <w:t>una mayor incidencia de</w:t>
      </w:r>
      <w:r w:rsidR="006F62A5" w:rsidRPr="009D09A6">
        <w:rPr>
          <w:rFonts w:cs="Arial"/>
          <w:color w:val="222222"/>
          <w:sz w:val="24"/>
          <w:szCs w:val="24"/>
        </w:rPr>
        <w:t xml:space="preserve"> </w:t>
      </w:r>
      <w:r w:rsidR="006F62A5" w:rsidRPr="009D09A6">
        <w:rPr>
          <w:rStyle w:val="hps"/>
          <w:rFonts w:cs="Arial"/>
          <w:color w:val="222222"/>
          <w:sz w:val="24"/>
          <w:szCs w:val="24"/>
        </w:rPr>
        <w:t>bloqueos de la conducción</w:t>
      </w:r>
      <w:r w:rsidR="006F62A5" w:rsidRPr="009D09A6">
        <w:rPr>
          <w:rFonts w:cs="Arial"/>
          <w:color w:val="222222"/>
          <w:sz w:val="24"/>
          <w:szCs w:val="24"/>
        </w:rPr>
        <w:t xml:space="preserve"> </w:t>
      </w:r>
      <w:r w:rsidR="006F62A5" w:rsidRPr="009D09A6">
        <w:rPr>
          <w:rStyle w:val="hps"/>
          <w:rFonts w:cs="Arial"/>
          <w:color w:val="222222"/>
          <w:sz w:val="24"/>
          <w:szCs w:val="24"/>
        </w:rPr>
        <w:t>AV.</w:t>
      </w:r>
      <w:r w:rsidR="006F62A5" w:rsidRPr="009D09A6">
        <w:rPr>
          <w:rFonts w:cs="Arial"/>
          <w:color w:val="222222"/>
          <w:sz w:val="24"/>
          <w:szCs w:val="24"/>
        </w:rPr>
        <w:t xml:space="preserve"> </w:t>
      </w:r>
      <w:r w:rsidRPr="009D09A6">
        <w:rPr>
          <w:rFonts w:cs="Arial"/>
          <w:color w:val="222222"/>
          <w:sz w:val="24"/>
          <w:szCs w:val="24"/>
        </w:rPr>
        <w:t xml:space="preserve">Los investigadores determinaron que </w:t>
      </w:r>
      <w:r w:rsidRPr="009D09A6">
        <w:rPr>
          <w:rStyle w:val="hps"/>
          <w:rFonts w:cs="Arial"/>
          <w:color w:val="222222"/>
          <w:sz w:val="24"/>
          <w:szCs w:val="24"/>
        </w:rPr>
        <w:t>l</w:t>
      </w:r>
      <w:r w:rsidR="006F62A5" w:rsidRPr="009D09A6">
        <w:rPr>
          <w:rStyle w:val="hps"/>
          <w:rFonts w:cs="Arial"/>
          <w:color w:val="222222"/>
          <w:sz w:val="24"/>
          <w:szCs w:val="24"/>
        </w:rPr>
        <w:t>a administración intravenosa de</w:t>
      </w:r>
      <w:r w:rsidR="006F62A5" w:rsidRPr="00B73D19">
        <w:rPr>
          <w:rFonts w:cs="Arial"/>
          <w:color w:val="FF0000"/>
          <w:sz w:val="24"/>
          <w:szCs w:val="24"/>
        </w:rPr>
        <w:t xml:space="preserve"> </w:t>
      </w:r>
      <w:r w:rsidR="00E43E78" w:rsidRPr="00BF1B18">
        <w:rPr>
          <w:rStyle w:val="hps"/>
          <w:rFonts w:cs="Arial"/>
          <w:color w:val="000000" w:themeColor="text1"/>
          <w:sz w:val="24"/>
          <w:szCs w:val="24"/>
        </w:rPr>
        <w:t>YOH</w:t>
      </w:r>
      <w:r w:rsidR="006F62A5" w:rsidRPr="00BF1B18">
        <w:rPr>
          <w:rFonts w:cs="Arial"/>
          <w:color w:val="000000" w:themeColor="text1"/>
          <w:sz w:val="24"/>
          <w:szCs w:val="24"/>
        </w:rPr>
        <w:t xml:space="preserve"> </w:t>
      </w:r>
      <w:r w:rsidRPr="00BF1B18">
        <w:rPr>
          <w:rStyle w:val="hps"/>
          <w:rFonts w:cs="Arial"/>
          <w:color w:val="000000" w:themeColor="text1"/>
          <w:sz w:val="24"/>
          <w:szCs w:val="24"/>
        </w:rPr>
        <w:t xml:space="preserve">resulta ser </w:t>
      </w:r>
      <w:r w:rsidR="006F62A5" w:rsidRPr="00BF1B18">
        <w:rPr>
          <w:rStyle w:val="hps"/>
          <w:rFonts w:cs="Arial"/>
          <w:color w:val="000000" w:themeColor="text1"/>
          <w:sz w:val="24"/>
          <w:szCs w:val="24"/>
        </w:rPr>
        <w:t>eficaz</w:t>
      </w:r>
      <w:r w:rsidR="006F62A5" w:rsidRPr="00BF1B18">
        <w:rPr>
          <w:rFonts w:cs="Arial"/>
          <w:color w:val="000000" w:themeColor="text1"/>
          <w:sz w:val="24"/>
          <w:szCs w:val="24"/>
        </w:rPr>
        <w:t xml:space="preserve"> </w:t>
      </w:r>
      <w:r w:rsidRPr="00BF1B18">
        <w:rPr>
          <w:rStyle w:val="hps"/>
          <w:rFonts w:cs="Arial"/>
          <w:color w:val="000000" w:themeColor="text1"/>
          <w:sz w:val="24"/>
          <w:szCs w:val="24"/>
        </w:rPr>
        <w:t xml:space="preserve">para revertir </w:t>
      </w:r>
      <w:r w:rsidR="006F62A5" w:rsidRPr="00BF1B18">
        <w:rPr>
          <w:rStyle w:val="hps"/>
          <w:rFonts w:cs="Arial"/>
          <w:color w:val="000000" w:themeColor="text1"/>
          <w:sz w:val="24"/>
          <w:szCs w:val="24"/>
        </w:rPr>
        <w:t>los</w:t>
      </w:r>
      <w:r w:rsidR="006F62A5" w:rsidRPr="00BF1B18">
        <w:rPr>
          <w:rFonts w:cs="Arial"/>
          <w:color w:val="000000" w:themeColor="text1"/>
          <w:sz w:val="24"/>
          <w:szCs w:val="24"/>
        </w:rPr>
        <w:t xml:space="preserve"> </w:t>
      </w:r>
      <w:r w:rsidR="006F62A5" w:rsidRPr="00BF1B18">
        <w:rPr>
          <w:rStyle w:val="hps"/>
          <w:rFonts w:cs="Arial"/>
          <w:color w:val="000000" w:themeColor="text1"/>
          <w:sz w:val="24"/>
          <w:szCs w:val="24"/>
        </w:rPr>
        <w:t xml:space="preserve">efectos </w:t>
      </w:r>
      <w:r w:rsidRPr="00BF1B18">
        <w:rPr>
          <w:rStyle w:val="hps"/>
          <w:rFonts w:cs="Arial"/>
          <w:color w:val="000000" w:themeColor="text1"/>
          <w:sz w:val="24"/>
          <w:szCs w:val="24"/>
        </w:rPr>
        <w:t xml:space="preserve">sobre </w:t>
      </w:r>
      <w:r w:rsidR="006F62A5" w:rsidRPr="00BF1B18">
        <w:rPr>
          <w:rStyle w:val="hps"/>
          <w:rFonts w:cs="Arial"/>
          <w:color w:val="000000" w:themeColor="text1"/>
          <w:sz w:val="24"/>
          <w:szCs w:val="24"/>
        </w:rPr>
        <w:t>cardiovasculares de</w:t>
      </w:r>
      <w:r w:rsidR="00785933" w:rsidRPr="00BF1B18">
        <w:rPr>
          <w:rStyle w:val="hps"/>
          <w:rFonts w:cs="Arial"/>
          <w:color w:val="000000" w:themeColor="text1"/>
          <w:sz w:val="24"/>
          <w:szCs w:val="24"/>
        </w:rPr>
        <w:t xml:space="preserve"> la </w:t>
      </w:r>
      <w:r w:rsidR="00B56224" w:rsidRPr="00BF1B18">
        <w:rPr>
          <w:rStyle w:val="hps"/>
          <w:rFonts w:cs="Arial"/>
          <w:color w:val="000000" w:themeColor="text1"/>
          <w:sz w:val="24"/>
          <w:szCs w:val="24"/>
        </w:rPr>
        <w:t>DET</w:t>
      </w:r>
      <w:r w:rsidR="006F62A5" w:rsidRPr="00BF1B18">
        <w:rPr>
          <w:rStyle w:val="hps"/>
          <w:rFonts w:cs="Arial"/>
          <w:color w:val="000000" w:themeColor="text1"/>
          <w:sz w:val="24"/>
          <w:szCs w:val="24"/>
        </w:rPr>
        <w:t>.</w:t>
      </w:r>
      <w:r w:rsidRPr="00BF1B18">
        <w:rPr>
          <w:rFonts w:cs="Arial"/>
          <w:color w:val="000000" w:themeColor="text1"/>
          <w:sz w:val="24"/>
          <w:szCs w:val="24"/>
        </w:rPr>
        <w:t xml:space="preserve"> </w:t>
      </w:r>
    </w:p>
    <w:p w:rsidR="009D09A6" w:rsidRPr="00BF1B18" w:rsidRDefault="009D09A6" w:rsidP="00065198">
      <w:pPr>
        <w:spacing w:line="360" w:lineRule="auto"/>
        <w:rPr>
          <w:rFonts w:cs="Arial"/>
          <w:color w:val="000000" w:themeColor="text1"/>
          <w:sz w:val="24"/>
          <w:szCs w:val="24"/>
        </w:rPr>
      </w:pPr>
    </w:p>
    <w:p w:rsidR="007D372C" w:rsidRDefault="00A2062B" w:rsidP="00065198">
      <w:pPr>
        <w:spacing w:line="360" w:lineRule="auto"/>
        <w:rPr>
          <w:rFonts w:cs="Arial"/>
          <w:b/>
          <w:sz w:val="24"/>
          <w:szCs w:val="24"/>
        </w:rPr>
      </w:pPr>
      <w:r w:rsidRPr="00BF1B18">
        <w:rPr>
          <w:rFonts w:cs="Arial"/>
          <w:color w:val="000000" w:themeColor="text1"/>
          <w:sz w:val="24"/>
          <w:szCs w:val="24"/>
        </w:rPr>
        <w:fldChar w:fldCharType="begin" w:fldLock="1"/>
      </w:r>
      <w:r w:rsidR="006F62A5" w:rsidRPr="00BF1B18">
        <w:rPr>
          <w:rFonts w:cs="Arial"/>
          <w:color w:val="000000" w:themeColor="text1"/>
          <w:sz w:val="24"/>
          <w:szCs w:val="24"/>
        </w:rPr>
        <w:instrText>ADDIN CSL_CITATION { "citationItems" : [ { "id" : "ITEM-1", "itemData" : { "DOI" : "10.1111/j.1467-2995.2011.00690.x", "ISSN" : "14672987", "PMID" : "22405129", "abstract" : "OBJECTIVE: To describe the pharmacokinetics of detomidine and yohimbine when administered in combination.\\n\\nSTUDY DESIGN: Randomized crossover design.\\n\\nANIMALS: Nine healthy adult horses aged 9 \u00b1 4 years and weighing of 561 \u00b1 56 kg.\\n\\nMETHODS: Three dose regimens were employed in the current study. 1) 0.03 mg kg(-1) detomidine IV (D), 2) 0.2 mg kg(-1) yohimbine IV (Y) and 3) 0.03 mg kg(-1) detomidine IV followed 15 minutes later by 0.2 mg kg(-1) yohimbine IV (DY). Each horse received all three dose regimens with a minimum of 1 week in between subsequent regimens. Blood samples were obtained and plasma analyzed for detomidine and yohimbine concentrations by liquid chromatography-mass spectrometry. Data were analyzed using both non-compartmental and compartmental analysis.\\n\\nRESULTS: The maximum measured detomidine concentrations were 76.0 and 129.9 ng mL(-1) for the D and DY treatments, respectively. Systemic clearance and volume of distribution of detomidine were not significantly different for either treatment. There was a significant increase in the maximum measured yohimbine plasma concentrations from Y (173.9 ng mL(-1)) to DY (289.8 ng mL(-1)). Both the Cl and V(d) for yohimbine were significantly less (6.8 mL minute(-1) kg(-1) (Cl) and 1.7 L kg(-1) (V(d) )) for the DY as compared to the Y treatments (13.9 mL minute(-1) kg(-1) (Cl) and 2.7 L kg(-1) (V(d))). Plasma concentrations were below the limit of quantitation (0.05 and 0.5 ng mL(-1)) by 18 hours for both detomidine and yohimbine.\\n\\nCONCLUSION AND CLINICAL RELEVANCE: The Cl and V(d) of yohimbine were affected by prior administration of detomidine. The elimination half life of yohimbine remained unaffected when administered subsequent to detomidine. However, the increased plasma concentrations in the presence of detomidine has the potential to cause untoward effects and therefore further studies to assess the physiologic effects of this combination of drugs are warranted.", "author" : [ { "dropping-particle" : "", "family" : "Knych", "given" : "Heather K.", "non-dropping-particle" : "", "parse-names" : false, "suffix" : "" }, { "dropping-particle" : "", "family" : "Steffey", "given" : "Eugene P.", "non-dropping-particle" : "", "parse-names" : false, "suffix" : "" }, { "dropping-particle" : "", "family" : "Stanley", "given" : "Scott D.", "non-dropping-particle" : "", "parse-names" : false, "suffix" : "" } ], "container-title" : "Veterinary Anaesthesia and Analgesia", "id" : "ITEM-1", "issue" : "3", "issued" : { "date-parts" : [ [ "2012" ] ] }, "page" : "221-229", "title" : "The effects of yohimbine on the pharmacokinetic parameters of detomidine in the horse", "type" : "article-journal", "volume" : "39" }, "uris" : [ "http://www.mendeley.com/documents/?uuid=0bee472b-93d6-4056-b8e8-6c1df4527d01" ] } ], "mendeley" : { "formattedCitation" : "(Knych, Steffey, and Stanley 2012)", "plainTextFormattedCitation" : "(Knych, Steffey, and Stanley 2012)", "previouslyFormattedCitation" : "(Knych, Steffey, and Stanley 2012)" }, "properties" : { "noteIndex" : 0 }, "schema" : "https://github.com/citation-style-language/schema/raw/master/csl-citation.json" }</w:instrText>
      </w:r>
      <w:r w:rsidRPr="00BF1B18">
        <w:rPr>
          <w:rFonts w:cs="Arial"/>
          <w:color w:val="000000" w:themeColor="text1"/>
          <w:sz w:val="24"/>
          <w:szCs w:val="24"/>
        </w:rPr>
        <w:fldChar w:fldCharType="separate"/>
      </w:r>
      <w:r w:rsidR="006F62A5" w:rsidRPr="00BF1B18">
        <w:rPr>
          <w:rFonts w:cs="Arial"/>
          <w:color w:val="000000" w:themeColor="text1"/>
          <w:sz w:val="24"/>
          <w:szCs w:val="24"/>
        </w:rPr>
        <w:t>Knych</w:t>
      </w:r>
      <w:r w:rsidR="007D372C" w:rsidRPr="00BF1B18">
        <w:rPr>
          <w:rFonts w:cs="Arial"/>
          <w:color w:val="000000" w:themeColor="text1"/>
          <w:sz w:val="24"/>
          <w:szCs w:val="24"/>
        </w:rPr>
        <w:t xml:space="preserve"> </w:t>
      </w:r>
      <w:r w:rsidR="009D09A6" w:rsidRPr="00BF1B18">
        <w:rPr>
          <w:rFonts w:cs="Arial"/>
          <w:i/>
          <w:color w:val="000000" w:themeColor="text1"/>
          <w:sz w:val="24"/>
          <w:szCs w:val="24"/>
        </w:rPr>
        <w:t>et al</w:t>
      </w:r>
      <w:r w:rsidR="009D09A6" w:rsidRPr="00BF1B18">
        <w:rPr>
          <w:rFonts w:cs="Arial"/>
          <w:color w:val="000000" w:themeColor="text1"/>
          <w:sz w:val="24"/>
          <w:szCs w:val="24"/>
        </w:rPr>
        <w:t>.</w:t>
      </w:r>
      <w:r w:rsidR="001D25A2" w:rsidRPr="00BF1B18">
        <w:rPr>
          <w:rFonts w:cs="Arial"/>
          <w:color w:val="000000" w:themeColor="text1"/>
          <w:sz w:val="24"/>
          <w:szCs w:val="24"/>
        </w:rPr>
        <w:t xml:space="preserve"> (</w:t>
      </w:r>
      <w:r w:rsidR="006F62A5" w:rsidRPr="00BF1B18">
        <w:rPr>
          <w:rFonts w:cs="Arial"/>
          <w:color w:val="000000" w:themeColor="text1"/>
          <w:sz w:val="24"/>
          <w:szCs w:val="24"/>
        </w:rPr>
        <w:t>2012)</w:t>
      </w:r>
      <w:r w:rsidRPr="00BF1B18">
        <w:rPr>
          <w:rFonts w:cs="Arial"/>
          <w:color w:val="000000" w:themeColor="text1"/>
          <w:sz w:val="24"/>
          <w:szCs w:val="24"/>
        </w:rPr>
        <w:fldChar w:fldCharType="end"/>
      </w:r>
      <w:r w:rsidR="00785933" w:rsidRPr="00BF1B18">
        <w:rPr>
          <w:rFonts w:cs="Arial"/>
          <w:color w:val="000000" w:themeColor="text1"/>
          <w:sz w:val="24"/>
          <w:szCs w:val="24"/>
        </w:rPr>
        <w:t>, describ</w:t>
      </w:r>
      <w:r w:rsidR="009D09A6" w:rsidRPr="00BF1B18">
        <w:rPr>
          <w:rFonts w:cs="Arial"/>
          <w:color w:val="000000" w:themeColor="text1"/>
          <w:sz w:val="24"/>
          <w:szCs w:val="24"/>
        </w:rPr>
        <w:t>i</w:t>
      </w:r>
      <w:r w:rsidR="00785933" w:rsidRPr="00BF1B18">
        <w:rPr>
          <w:rFonts w:cs="Arial"/>
          <w:color w:val="000000" w:themeColor="text1"/>
          <w:sz w:val="24"/>
          <w:szCs w:val="24"/>
        </w:rPr>
        <w:t>e</w:t>
      </w:r>
      <w:r w:rsidR="009D09A6" w:rsidRPr="00BF1B18">
        <w:rPr>
          <w:rFonts w:cs="Arial"/>
          <w:color w:val="000000" w:themeColor="text1"/>
          <w:sz w:val="24"/>
          <w:szCs w:val="24"/>
        </w:rPr>
        <w:t>ron</w:t>
      </w:r>
      <w:r w:rsidR="00785933" w:rsidRPr="00BF1B18">
        <w:rPr>
          <w:rFonts w:cs="Arial"/>
          <w:color w:val="000000" w:themeColor="text1"/>
          <w:sz w:val="24"/>
          <w:szCs w:val="24"/>
        </w:rPr>
        <w:t xml:space="preserve"> </w:t>
      </w:r>
      <w:r w:rsidR="007D372C" w:rsidRPr="00BF1B18">
        <w:rPr>
          <w:rStyle w:val="hps"/>
          <w:rFonts w:cs="Arial"/>
          <w:color w:val="000000" w:themeColor="text1"/>
          <w:sz w:val="24"/>
          <w:szCs w:val="24"/>
        </w:rPr>
        <w:t>la farmacocinética de</w:t>
      </w:r>
      <w:r w:rsidR="007D372C" w:rsidRPr="00BF1B18">
        <w:rPr>
          <w:rFonts w:cs="Arial"/>
          <w:color w:val="000000" w:themeColor="text1"/>
          <w:sz w:val="24"/>
          <w:szCs w:val="24"/>
        </w:rPr>
        <w:t xml:space="preserve"> </w:t>
      </w:r>
      <w:r w:rsidR="009D09A6" w:rsidRPr="00BF1B18">
        <w:rPr>
          <w:rFonts w:cs="Arial"/>
          <w:color w:val="000000" w:themeColor="text1"/>
          <w:sz w:val="24"/>
          <w:szCs w:val="24"/>
        </w:rPr>
        <w:t xml:space="preserve">la </w:t>
      </w:r>
      <w:r w:rsidR="00B56224" w:rsidRPr="00BF1B18">
        <w:rPr>
          <w:rStyle w:val="hps"/>
          <w:rFonts w:cs="Arial"/>
          <w:color w:val="000000" w:themeColor="text1"/>
          <w:sz w:val="24"/>
          <w:szCs w:val="24"/>
        </w:rPr>
        <w:t>DET</w:t>
      </w:r>
      <w:r w:rsidR="007D372C" w:rsidRPr="00BF1B18">
        <w:rPr>
          <w:rFonts w:cs="Arial"/>
          <w:color w:val="000000" w:themeColor="text1"/>
          <w:sz w:val="24"/>
          <w:szCs w:val="24"/>
        </w:rPr>
        <w:t xml:space="preserve"> </w:t>
      </w:r>
      <w:r w:rsidR="007D372C" w:rsidRPr="00BF1B18">
        <w:rPr>
          <w:rStyle w:val="hps"/>
          <w:rFonts w:cs="Arial"/>
          <w:color w:val="000000" w:themeColor="text1"/>
          <w:sz w:val="24"/>
          <w:szCs w:val="24"/>
        </w:rPr>
        <w:t>y</w:t>
      </w:r>
      <w:r w:rsidR="007D372C" w:rsidRPr="00BF1B18">
        <w:rPr>
          <w:rFonts w:cs="Arial"/>
          <w:color w:val="000000" w:themeColor="text1"/>
          <w:sz w:val="24"/>
          <w:szCs w:val="24"/>
        </w:rPr>
        <w:t xml:space="preserve"> </w:t>
      </w:r>
      <w:r w:rsidR="00E43E78" w:rsidRPr="00BF1B18">
        <w:rPr>
          <w:rStyle w:val="hps"/>
          <w:rFonts w:cs="Arial"/>
          <w:color w:val="000000" w:themeColor="text1"/>
          <w:sz w:val="24"/>
          <w:szCs w:val="24"/>
        </w:rPr>
        <w:t>YOH</w:t>
      </w:r>
      <w:r w:rsidR="009D09A6" w:rsidRPr="00BF1B18">
        <w:rPr>
          <w:rFonts w:cs="Arial"/>
          <w:color w:val="000000" w:themeColor="text1"/>
          <w:sz w:val="24"/>
          <w:szCs w:val="24"/>
        </w:rPr>
        <w:t xml:space="preserve">, en el estudio </w:t>
      </w:r>
      <w:r w:rsidR="009D09A6" w:rsidRPr="009D09A6">
        <w:rPr>
          <w:rFonts w:cs="Arial"/>
          <w:color w:val="222222"/>
          <w:sz w:val="24"/>
          <w:szCs w:val="24"/>
        </w:rPr>
        <w:t xml:space="preserve">se </w:t>
      </w:r>
      <w:r w:rsidR="00275C67" w:rsidRPr="009D09A6">
        <w:rPr>
          <w:rStyle w:val="hps"/>
          <w:rFonts w:cs="Arial"/>
          <w:color w:val="222222"/>
          <w:sz w:val="24"/>
          <w:szCs w:val="24"/>
        </w:rPr>
        <w:t>incluyeron</w:t>
      </w:r>
      <w:r w:rsidR="009D09A6" w:rsidRPr="009D09A6">
        <w:rPr>
          <w:rStyle w:val="hps"/>
          <w:rFonts w:cs="Arial"/>
          <w:color w:val="222222"/>
          <w:sz w:val="24"/>
          <w:szCs w:val="24"/>
        </w:rPr>
        <w:t xml:space="preserve"> n</w:t>
      </w:r>
      <w:r w:rsidR="007D372C" w:rsidRPr="009D09A6">
        <w:rPr>
          <w:rStyle w:val="hps"/>
          <w:rFonts w:cs="Arial"/>
          <w:color w:val="222222"/>
          <w:sz w:val="24"/>
          <w:szCs w:val="24"/>
        </w:rPr>
        <w:t>ueve</w:t>
      </w:r>
      <w:r w:rsidR="007D372C" w:rsidRPr="009D09A6">
        <w:rPr>
          <w:rFonts w:cs="Arial"/>
          <w:color w:val="222222"/>
          <w:sz w:val="24"/>
          <w:szCs w:val="24"/>
        </w:rPr>
        <w:t xml:space="preserve"> </w:t>
      </w:r>
      <w:r w:rsidR="007D372C" w:rsidRPr="009D09A6">
        <w:rPr>
          <w:rStyle w:val="hps"/>
          <w:rFonts w:cs="Arial"/>
          <w:color w:val="222222"/>
          <w:sz w:val="24"/>
          <w:szCs w:val="24"/>
        </w:rPr>
        <w:t>caballos</w:t>
      </w:r>
      <w:r w:rsidR="000C0B23" w:rsidRPr="009D09A6">
        <w:rPr>
          <w:rStyle w:val="hps"/>
          <w:rFonts w:cs="Arial"/>
          <w:color w:val="222222"/>
          <w:sz w:val="24"/>
          <w:szCs w:val="24"/>
        </w:rPr>
        <w:t xml:space="preserve"> adultos clínicamente</w:t>
      </w:r>
      <w:r w:rsidR="009D09A6" w:rsidRPr="009D09A6">
        <w:rPr>
          <w:rStyle w:val="hps"/>
          <w:rFonts w:cs="Arial"/>
          <w:color w:val="222222"/>
          <w:sz w:val="24"/>
          <w:szCs w:val="24"/>
        </w:rPr>
        <w:t xml:space="preserve"> sanos</w:t>
      </w:r>
      <w:r w:rsidR="000C0B23" w:rsidRPr="009D09A6">
        <w:rPr>
          <w:rStyle w:val="hps"/>
          <w:rFonts w:cs="Arial"/>
          <w:color w:val="222222"/>
          <w:sz w:val="24"/>
          <w:szCs w:val="24"/>
        </w:rPr>
        <w:t>, c</w:t>
      </w:r>
      <w:r w:rsidR="007D372C" w:rsidRPr="009D09A6">
        <w:rPr>
          <w:rStyle w:val="hps"/>
          <w:rFonts w:cs="Arial"/>
          <w:color w:val="222222"/>
          <w:sz w:val="24"/>
          <w:szCs w:val="24"/>
        </w:rPr>
        <w:t>ada</w:t>
      </w:r>
      <w:r w:rsidR="007D372C" w:rsidRPr="009D09A6">
        <w:rPr>
          <w:rFonts w:cs="Arial"/>
          <w:color w:val="222222"/>
          <w:sz w:val="24"/>
          <w:szCs w:val="24"/>
        </w:rPr>
        <w:t xml:space="preserve"> </w:t>
      </w:r>
      <w:r w:rsidR="000C0B23" w:rsidRPr="009D09A6">
        <w:rPr>
          <w:rStyle w:val="hps"/>
          <w:rFonts w:cs="Arial"/>
          <w:color w:val="222222"/>
          <w:sz w:val="24"/>
          <w:szCs w:val="24"/>
        </w:rPr>
        <w:t>c</w:t>
      </w:r>
      <w:r w:rsidR="007D372C" w:rsidRPr="009D09A6">
        <w:rPr>
          <w:rStyle w:val="hps"/>
          <w:rFonts w:cs="Arial"/>
          <w:color w:val="222222"/>
          <w:sz w:val="24"/>
          <w:szCs w:val="24"/>
        </w:rPr>
        <w:t>aballo</w:t>
      </w:r>
      <w:r w:rsidR="007D372C" w:rsidRPr="009D09A6">
        <w:rPr>
          <w:rFonts w:cs="Arial"/>
          <w:color w:val="222222"/>
          <w:sz w:val="24"/>
          <w:szCs w:val="24"/>
        </w:rPr>
        <w:t xml:space="preserve"> </w:t>
      </w:r>
      <w:r w:rsidR="000C0B23" w:rsidRPr="009D09A6">
        <w:rPr>
          <w:rStyle w:val="hps"/>
          <w:rFonts w:cs="Arial"/>
          <w:color w:val="222222"/>
          <w:sz w:val="24"/>
          <w:szCs w:val="24"/>
        </w:rPr>
        <w:t>recibió</w:t>
      </w:r>
      <w:r w:rsidR="007D372C" w:rsidRPr="009D09A6">
        <w:rPr>
          <w:rFonts w:cs="Arial"/>
          <w:color w:val="222222"/>
          <w:sz w:val="24"/>
          <w:szCs w:val="24"/>
        </w:rPr>
        <w:t xml:space="preserve"> </w:t>
      </w:r>
      <w:r w:rsidR="000C0B23" w:rsidRPr="009D09A6">
        <w:rPr>
          <w:rStyle w:val="hps"/>
          <w:rFonts w:cs="Arial"/>
          <w:color w:val="222222"/>
          <w:sz w:val="24"/>
          <w:szCs w:val="24"/>
        </w:rPr>
        <w:t>t</w:t>
      </w:r>
      <w:r w:rsidR="007D372C" w:rsidRPr="009D09A6">
        <w:rPr>
          <w:rStyle w:val="hps"/>
          <w:rFonts w:cs="Arial"/>
          <w:color w:val="222222"/>
          <w:sz w:val="24"/>
          <w:szCs w:val="24"/>
        </w:rPr>
        <w:t>res</w:t>
      </w:r>
      <w:r w:rsidR="007D372C" w:rsidRPr="009D09A6">
        <w:rPr>
          <w:rFonts w:cs="Arial"/>
          <w:color w:val="222222"/>
          <w:sz w:val="24"/>
          <w:szCs w:val="24"/>
        </w:rPr>
        <w:t xml:space="preserve"> </w:t>
      </w:r>
      <w:r w:rsidR="000C0B23" w:rsidRPr="009D09A6">
        <w:rPr>
          <w:rStyle w:val="hps"/>
          <w:rFonts w:cs="Arial"/>
          <w:color w:val="222222"/>
          <w:sz w:val="24"/>
          <w:szCs w:val="24"/>
        </w:rPr>
        <w:t>r</w:t>
      </w:r>
      <w:r w:rsidR="007D372C" w:rsidRPr="009D09A6">
        <w:rPr>
          <w:rStyle w:val="hps"/>
          <w:rFonts w:cs="Arial"/>
          <w:color w:val="222222"/>
          <w:sz w:val="24"/>
          <w:szCs w:val="24"/>
        </w:rPr>
        <w:t>egímenes</w:t>
      </w:r>
      <w:r w:rsidR="007D372C" w:rsidRPr="009D09A6">
        <w:rPr>
          <w:rFonts w:cs="Arial"/>
          <w:color w:val="222222"/>
          <w:sz w:val="24"/>
          <w:szCs w:val="24"/>
        </w:rPr>
        <w:t xml:space="preserve"> </w:t>
      </w:r>
      <w:r w:rsidR="007D372C" w:rsidRPr="009D09A6">
        <w:rPr>
          <w:rStyle w:val="hps"/>
          <w:rFonts w:cs="Arial"/>
          <w:color w:val="222222"/>
          <w:sz w:val="24"/>
          <w:szCs w:val="24"/>
        </w:rPr>
        <w:t>de</w:t>
      </w:r>
      <w:r w:rsidR="007D372C" w:rsidRPr="009D09A6">
        <w:rPr>
          <w:rFonts w:cs="Arial"/>
          <w:color w:val="222222"/>
          <w:sz w:val="24"/>
          <w:szCs w:val="24"/>
        </w:rPr>
        <w:t xml:space="preserve"> </w:t>
      </w:r>
      <w:r w:rsidR="000C0B23" w:rsidRPr="009D09A6">
        <w:rPr>
          <w:rStyle w:val="hps"/>
          <w:rFonts w:cs="Arial"/>
          <w:color w:val="222222"/>
          <w:sz w:val="24"/>
          <w:szCs w:val="24"/>
        </w:rPr>
        <w:t>d</w:t>
      </w:r>
      <w:r w:rsidR="007D372C" w:rsidRPr="009D09A6">
        <w:rPr>
          <w:rStyle w:val="hps"/>
          <w:rFonts w:cs="Arial"/>
          <w:color w:val="222222"/>
          <w:sz w:val="24"/>
          <w:szCs w:val="24"/>
        </w:rPr>
        <w:t>osis</w:t>
      </w:r>
      <w:r w:rsidR="007D372C" w:rsidRPr="009D09A6">
        <w:rPr>
          <w:rFonts w:cs="Arial"/>
          <w:color w:val="222222"/>
          <w:sz w:val="24"/>
          <w:szCs w:val="24"/>
        </w:rPr>
        <w:t xml:space="preserve"> </w:t>
      </w:r>
      <w:r w:rsidR="000C0B23" w:rsidRPr="009D09A6">
        <w:rPr>
          <w:rStyle w:val="hps"/>
          <w:rFonts w:cs="Arial"/>
          <w:color w:val="222222"/>
          <w:sz w:val="24"/>
          <w:szCs w:val="24"/>
        </w:rPr>
        <w:t xml:space="preserve">con </w:t>
      </w:r>
      <w:r w:rsidR="009D09A6" w:rsidRPr="009D09A6">
        <w:rPr>
          <w:rStyle w:val="hps"/>
          <w:rFonts w:cs="Arial"/>
          <w:color w:val="222222"/>
          <w:sz w:val="24"/>
          <w:szCs w:val="24"/>
        </w:rPr>
        <w:t xml:space="preserve">periodo de lavado de </w:t>
      </w:r>
      <w:r w:rsidR="007D372C" w:rsidRPr="009D09A6">
        <w:rPr>
          <w:rStyle w:val="hps"/>
          <w:rFonts w:cs="Arial"/>
          <w:color w:val="222222"/>
          <w:sz w:val="24"/>
          <w:szCs w:val="24"/>
        </w:rPr>
        <w:t>1 semana</w:t>
      </w:r>
      <w:r w:rsidR="000C0B23" w:rsidRPr="009D09A6">
        <w:rPr>
          <w:rStyle w:val="hps"/>
          <w:rFonts w:cs="Arial"/>
          <w:color w:val="222222"/>
          <w:sz w:val="24"/>
          <w:szCs w:val="24"/>
        </w:rPr>
        <w:t xml:space="preserve"> e</w:t>
      </w:r>
      <w:r w:rsidR="007D372C" w:rsidRPr="009D09A6">
        <w:rPr>
          <w:rStyle w:val="hps"/>
          <w:rFonts w:cs="Arial"/>
          <w:color w:val="222222"/>
          <w:sz w:val="24"/>
          <w:szCs w:val="24"/>
        </w:rPr>
        <w:t>ntre</w:t>
      </w:r>
      <w:r w:rsidR="007D372C" w:rsidRPr="009D09A6">
        <w:rPr>
          <w:rFonts w:cs="Arial"/>
          <w:color w:val="222222"/>
          <w:sz w:val="24"/>
          <w:szCs w:val="24"/>
        </w:rPr>
        <w:t xml:space="preserve"> </w:t>
      </w:r>
      <w:r w:rsidR="000C0B23" w:rsidRPr="009D09A6">
        <w:rPr>
          <w:rStyle w:val="hps"/>
          <w:rFonts w:cs="Arial"/>
          <w:color w:val="222222"/>
          <w:sz w:val="24"/>
          <w:szCs w:val="24"/>
        </w:rPr>
        <w:t>cada</w:t>
      </w:r>
      <w:r w:rsidR="007D372C" w:rsidRPr="009D09A6">
        <w:rPr>
          <w:rFonts w:cs="Arial"/>
          <w:color w:val="222222"/>
          <w:sz w:val="24"/>
          <w:szCs w:val="24"/>
        </w:rPr>
        <w:t xml:space="preserve"> </w:t>
      </w:r>
      <w:r w:rsidR="000C0B23" w:rsidRPr="009D09A6">
        <w:rPr>
          <w:rStyle w:val="hps"/>
          <w:rFonts w:cs="Arial"/>
          <w:color w:val="222222"/>
          <w:sz w:val="24"/>
          <w:szCs w:val="24"/>
        </w:rPr>
        <w:t>tratamiento.</w:t>
      </w:r>
      <w:r w:rsidR="009D09A6" w:rsidRPr="009D09A6">
        <w:rPr>
          <w:rFonts w:cs="Arial"/>
          <w:color w:val="222222"/>
          <w:sz w:val="24"/>
          <w:szCs w:val="24"/>
        </w:rPr>
        <w:t xml:space="preserve"> </w:t>
      </w:r>
      <w:r w:rsidR="007D372C" w:rsidRPr="009D09A6">
        <w:rPr>
          <w:rStyle w:val="hps"/>
          <w:rFonts w:cs="Arial"/>
          <w:color w:val="222222"/>
          <w:sz w:val="24"/>
          <w:szCs w:val="24"/>
        </w:rPr>
        <w:t>Se</w:t>
      </w:r>
      <w:r w:rsidR="007D372C" w:rsidRPr="009D09A6">
        <w:rPr>
          <w:rFonts w:cs="Arial"/>
          <w:color w:val="222222"/>
          <w:sz w:val="24"/>
          <w:szCs w:val="24"/>
        </w:rPr>
        <w:t xml:space="preserve"> </w:t>
      </w:r>
      <w:r w:rsidR="001310F4" w:rsidRPr="009D09A6">
        <w:rPr>
          <w:rStyle w:val="hps"/>
          <w:rFonts w:cs="Arial"/>
          <w:color w:val="222222"/>
          <w:sz w:val="24"/>
          <w:szCs w:val="24"/>
        </w:rPr>
        <w:t>recolectaron</w:t>
      </w:r>
      <w:r w:rsidR="007D372C" w:rsidRPr="009D09A6">
        <w:rPr>
          <w:rFonts w:cs="Arial"/>
          <w:color w:val="222222"/>
          <w:sz w:val="24"/>
          <w:szCs w:val="24"/>
        </w:rPr>
        <w:t xml:space="preserve"> </w:t>
      </w:r>
      <w:r w:rsidR="001310F4" w:rsidRPr="009D09A6">
        <w:rPr>
          <w:rStyle w:val="hps"/>
          <w:rFonts w:cs="Arial"/>
          <w:color w:val="222222"/>
          <w:sz w:val="24"/>
          <w:szCs w:val="24"/>
        </w:rPr>
        <w:t>m</w:t>
      </w:r>
      <w:r w:rsidR="007D372C" w:rsidRPr="009D09A6">
        <w:rPr>
          <w:rStyle w:val="hps"/>
          <w:rFonts w:cs="Arial"/>
          <w:color w:val="222222"/>
          <w:sz w:val="24"/>
          <w:szCs w:val="24"/>
        </w:rPr>
        <w:t>uestras</w:t>
      </w:r>
      <w:r w:rsidR="007D372C" w:rsidRPr="009D09A6">
        <w:rPr>
          <w:rFonts w:cs="Arial"/>
          <w:color w:val="222222"/>
          <w:sz w:val="24"/>
          <w:szCs w:val="24"/>
        </w:rPr>
        <w:t xml:space="preserve"> </w:t>
      </w:r>
      <w:r w:rsidR="007D372C" w:rsidRPr="009D09A6">
        <w:rPr>
          <w:rStyle w:val="hps"/>
          <w:rFonts w:cs="Arial"/>
          <w:color w:val="222222"/>
          <w:sz w:val="24"/>
          <w:szCs w:val="24"/>
        </w:rPr>
        <w:t>de sangre</w:t>
      </w:r>
      <w:r w:rsidR="007D372C" w:rsidRPr="009D09A6">
        <w:rPr>
          <w:rFonts w:cs="Arial"/>
          <w:color w:val="222222"/>
          <w:sz w:val="24"/>
          <w:szCs w:val="24"/>
        </w:rPr>
        <w:t xml:space="preserve"> </w:t>
      </w:r>
      <w:r w:rsidR="001310F4" w:rsidRPr="009D09A6">
        <w:rPr>
          <w:rStyle w:val="hps"/>
          <w:rFonts w:cs="Arial"/>
          <w:color w:val="222222"/>
          <w:sz w:val="24"/>
          <w:szCs w:val="24"/>
        </w:rPr>
        <w:t xml:space="preserve">y </w:t>
      </w:r>
      <w:r w:rsidR="007D372C" w:rsidRPr="009D09A6">
        <w:rPr>
          <w:rStyle w:val="hps"/>
          <w:rFonts w:cs="Arial"/>
          <w:color w:val="222222"/>
          <w:sz w:val="24"/>
          <w:szCs w:val="24"/>
        </w:rPr>
        <w:t>se</w:t>
      </w:r>
      <w:r w:rsidR="007D372C" w:rsidRPr="009D09A6">
        <w:rPr>
          <w:rFonts w:cs="Arial"/>
          <w:color w:val="222222"/>
          <w:sz w:val="24"/>
          <w:szCs w:val="24"/>
        </w:rPr>
        <w:t xml:space="preserve"> </w:t>
      </w:r>
      <w:r w:rsidR="000C0B23" w:rsidRPr="009D09A6">
        <w:rPr>
          <w:rStyle w:val="hps"/>
          <w:rFonts w:cs="Arial"/>
          <w:color w:val="222222"/>
          <w:sz w:val="24"/>
          <w:szCs w:val="24"/>
        </w:rPr>
        <w:t>analizó</w:t>
      </w:r>
      <w:r w:rsidR="007D372C" w:rsidRPr="009D09A6">
        <w:rPr>
          <w:rFonts w:cs="Arial"/>
          <w:color w:val="222222"/>
          <w:sz w:val="24"/>
          <w:szCs w:val="24"/>
        </w:rPr>
        <w:t xml:space="preserve"> </w:t>
      </w:r>
      <w:r w:rsidR="00CE706B" w:rsidRPr="009D09A6">
        <w:rPr>
          <w:rStyle w:val="hps"/>
          <w:rFonts w:cs="Arial"/>
          <w:color w:val="222222"/>
          <w:sz w:val="24"/>
          <w:szCs w:val="24"/>
        </w:rPr>
        <w:t xml:space="preserve">la concentración de </w:t>
      </w:r>
      <w:r w:rsidR="009D09A6" w:rsidRPr="009D09A6">
        <w:rPr>
          <w:rStyle w:val="hps"/>
          <w:rFonts w:cs="Arial"/>
          <w:color w:val="222222"/>
          <w:sz w:val="24"/>
          <w:szCs w:val="24"/>
        </w:rPr>
        <w:t xml:space="preserve">la </w:t>
      </w:r>
      <w:r w:rsidR="00B56224">
        <w:rPr>
          <w:rStyle w:val="hps"/>
          <w:rFonts w:cs="Arial"/>
          <w:color w:val="222222"/>
          <w:sz w:val="24"/>
          <w:szCs w:val="24"/>
        </w:rPr>
        <w:t>DET</w:t>
      </w:r>
      <w:r w:rsidR="001310F4" w:rsidRPr="009D09A6">
        <w:rPr>
          <w:rStyle w:val="hps"/>
          <w:rFonts w:cs="Arial"/>
          <w:color w:val="222222"/>
          <w:sz w:val="24"/>
          <w:szCs w:val="24"/>
        </w:rPr>
        <w:t xml:space="preserve"> y</w:t>
      </w:r>
      <w:r w:rsidR="00CE706B" w:rsidRPr="009D09A6">
        <w:rPr>
          <w:rStyle w:val="hps"/>
          <w:rFonts w:cs="Arial"/>
          <w:color w:val="222222"/>
          <w:sz w:val="24"/>
          <w:szCs w:val="24"/>
        </w:rPr>
        <w:t xml:space="preserve"> de</w:t>
      </w:r>
      <w:r w:rsidR="001310F4" w:rsidRPr="009D09A6">
        <w:rPr>
          <w:rStyle w:val="hps"/>
          <w:rFonts w:cs="Arial"/>
          <w:color w:val="222222"/>
          <w:sz w:val="24"/>
          <w:szCs w:val="24"/>
        </w:rPr>
        <w:t xml:space="preserve"> </w:t>
      </w:r>
      <w:r w:rsidR="009D09A6" w:rsidRPr="009D09A6">
        <w:rPr>
          <w:rFonts w:cs="Arial"/>
          <w:color w:val="222222"/>
          <w:sz w:val="24"/>
          <w:szCs w:val="24"/>
        </w:rPr>
        <w:t xml:space="preserve">la </w:t>
      </w:r>
      <w:r w:rsidR="00E43E78">
        <w:rPr>
          <w:rStyle w:val="hps"/>
          <w:rFonts w:cs="Arial"/>
          <w:color w:val="222222"/>
          <w:sz w:val="24"/>
          <w:szCs w:val="24"/>
        </w:rPr>
        <w:t>YOH</w:t>
      </w:r>
      <w:r w:rsidR="007D372C" w:rsidRPr="009D09A6">
        <w:rPr>
          <w:rFonts w:cs="Arial"/>
          <w:color w:val="222222"/>
          <w:sz w:val="24"/>
          <w:szCs w:val="24"/>
        </w:rPr>
        <w:t xml:space="preserve"> </w:t>
      </w:r>
      <w:r w:rsidR="001310F4" w:rsidRPr="009D09A6">
        <w:rPr>
          <w:rFonts w:cs="Arial"/>
          <w:sz w:val="24"/>
          <w:szCs w:val="24"/>
        </w:rPr>
        <w:t>mediante cromatografía líquida por espectrometría de masas</w:t>
      </w:r>
      <w:r w:rsidR="007D372C" w:rsidRPr="009D09A6">
        <w:rPr>
          <w:rFonts w:cs="Arial"/>
          <w:color w:val="222222"/>
          <w:sz w:val="24"/>
          <w:szCs w:val="24"/>
        </w:rPr>
        <w:t xml:space="preserve">. </w:t>
      </w:r>
      <w:r w:rsidR="007D372C" w:rsidRPr="009D09A6">
        <w:rPr>
          <w:rStyle w:val="hps"/>
          <w:rFonts w:cs="Arial"/>
          <w:color w:val="222222"/>
          <w:sz w:val="24"/>
          <w:szCs w:val="24"/>
        </w:rPr>
        <w:t>Los</w:t>
      </w:r>
      <w:r w:rsidR="007D372C" w:rsidRPr="009D09A6">
        <w:rPr>
          <w:rFonts w:cs="Arial"/>
          <w:color w:val="222222"/>
          <w:sz w:val="24"/>
          <w:szCs w:val="24"/>
        </w:rPr>
        <w:t xml:space="preserve"> </w:t>
      </w:r>
      <w:r w:rsidR="007D372C" w:rsidRPr="009D09A6">
        <w:rPr>
          <w:rStyle w:val="hps"/>
          <w:rFonts w:cs="Arial"/>
          <w:color w:val="222222"/>
          <w:sz w:val="24"/>
          <w:szCs w:val="24"/>
        </w:rPr>
        <w:t>Datos</w:t>
      </w:r>
      <w:r w:rsidR="001310F4" w:rsidRPr="009D09A6">
        <w:rPr>
          <w:rStyle w:val="hps"/>
          <w:rFonts w:cs="Arial"/>
          <w:color w:val="222222"/>
          <w:sz w:val="24"/>
          <w:szCs w:val="24"/>
        </w:rPr>
        <w:t xml:space="preserve"> fueron</w:t>
      </w:r>
      <w:r w:rsidR="007D372C" w:rsidRPr="009D09A6">
        <w:rPr>
          <w:rFonts w:cs="Arial"/>
          <w:color w:val="222222"/>
          <w:sz w:val="24"/>
          <w:szCs w:val="24"/>
        </w:rPr>
        <w:t xml:space="preserve"> </w:t>
      </w:r>
      <w:r w:rsidR="007D372C" w:rsidRPr="009D09A6">
        <w:rPr>
          <w:rStyle w:val="hps"/>
          <w:rFonts w:cs="Arial"/>
          <w:color w:val="222222"/>
          <w:sz w:val="24"/>
          <w:szCs w:val="24"/>
        </w:rPr>
        <w:t>analizados</w:t>
      </w:r>
      <w:r w:rsidR="001310F4" w:rsidRPr="009D09A6">
        <w:rPr>
          <w:rFonts w:cs="Arial"/>
          <w:color w:val="222222"/>
          <w:sz w:val="24"/>
          <w:szCs w:val="24"/>
        </w:rPr>
        <w:t xml:space="preserve"> mediante un </w:t>
      </w:r>
      <w:r w:rsidR="00CE706B" w:rsidRPr="009D09A6">
        <w:rPr>
          <w:rFonts w:cs="Arial"/>
          <w:color w:val="222222"/>
          <w:sz w:val="24"/>
          <w:szCs w:val="24"/>
        </w:rPr>
        <w:t>análisis</w:t>
      </w:r>
      <w:r w:rsidR="007D372C" w:rsidRPr="009D09A6">
        <w:rPr>
          <w:rFonts w:cs="Arial"/>
          <w:color w:val="222222"/>
          <w:sz w:val="24"/>
          <w:szCs w:val="24"/>
        </w:rPr>
        <w:t xml:space="preserve"> </w:t>
      </w:r>
      <w:r w:rsidR="007D372C" w:rsidRPr="009D09A6">
        <w:rPr>
          <w:rStyle w:val="hps"/>
          <w:rFonts w:cs="Arial"/>
          <w:color w:val="222222"/>
          <w:sz w:val="24"/>
          <w:szCs w:val="24"/>
        </w:rPr>
        <w:t>no</w:t>
      </w:r>
      <w:r w:rsidR="007D372C" w:rsidRPr="009D09A6">
        <w:rPr>
          <w:rFonts w:cs="Arial"/>
          <w:color w:val="222222"/>
          <w:sz w:val="24"/>
          <w:szCs w:val="24"/>
        </w:rPr>
        <w:t xml:space="preserve"> </w:t>
      </w:r>
      <w:r w:rsidR="007D372C" w:rsidRPr="009D09A6">
        <w:rPr>
          <w:rStyle w:val="hps"/>
          <w:rFonts w:cs="Arial"/>
          <w:color w:val="222222"/>
          <w:sz w:val="24"/>
          <w:szCs w:val="24"/>
        </w:rPr>
        <w:t>compartimental</w:t>
      </w:r>
      <w:r w:rsidR="001310F4" w:rsidRPr="009D09A6">
        <w:rPr>
          <w:rStyle w:val="hps"/>
          <w:rFonts w:cs="Arial"/>
          <w:color w:val="222222"/>
          <w:sz w:val="24"/>
          <w:szCs w:val="24"/>
        </w:rPr>
        <w:t xml:space="preserve"> y</w:t>
      </w:r>
      <w:r w:rsidR="007D372C" w:rsidRPr="009D09A6">
        <w:rPr>
          <w:rFonts w:cs="Arial"/>
          <w:color w:val="222222"/>
          <w:sz w:val="24"/>
          <w:szCs w:val="24"/>
        </w:rPr>
        <w:t xml:space="preserve"> </w:t>
      </w:r>
      <w:r w:rsidR="001310F4" w:rsidRPr="009D09A6">
        <w:rPr>
          <w:rFonts w:cs="Arial"/>
          <w:color w:val="222222"/>
          <w:sz w:val="24"/>
          <w:szCs w:val="24"/>
        </w:rPr>
        <w:t xml:space="preserve">otro </w:t>
      </w:r>
      <w:r w:rsidR="007D372C" w:rsidRPr="009D09A6">
        <w:rPr>
          <w:rStyle w:val="hps"/>
          <w:rFonts w:cs="Arial"/>
          <w:color w:val="222222"/>
          <w:sz w:val="24"/>
          <w:szCs w:val="24"/>
        </w:rPr>
        <w:t>compartimental</w:t>
      </w:r>
      <w:r w:rsidR="007D372C" w:rsidRPr="009D09A6">
        <w:rPr>
          <w:rFonts w:cs="Arial"/>
          <w:color w:val="222222"/>
          <w:sz w:val="24"/>
          <w:szCs w:val="24"/>
        </w:rPr>
        <w:t>.</w:t>
      </w:r>
      <w:r w:rsidR="009D09A6" w:rsidRPr="009D09A6">
        <w:rPr>
          <w:rFonts w:cs="Arial"/>
          <w:color w:val="222222"/>
          <w:sz w:val="24"/>
          <w:szCs w:val="24"/>
        </w:rPr>
        <w:t xml:space="preserve"> </w:t>
      </w:r>
      <w:r w:rsidR="007D372C" w:rsidRPr="009D09A6">
        <w:rPr>
          <w:rStyle w:val="hps"/>
          <w:rFonts w:cs="Arial"/>
          <w:color w:val="222222"/>
          <w:sz w:val="24"/>
          <w:szCs w:val="24"/>
        </w:rPr>
        <w:t>Las</w:t>
      </w:r>
      <w:r w:rsidR="007D372C" w:rsidRPr="009D09A6">
        <w:rPr>
          <w:rFonts w:cs="Arial"/>
          <w:color w:val="222222"/>
          <w:sz w:val="24"/>
          <w:szCs w:val="24"/>
        </w:rPr>
        <w:t xml:space="preserve"> </w:t>
      </w:r>
      <w:r w:rsidR="009D09A6" w:rsidRPr="009D09A6">
        <w:rPr>
          <w:rStyle w:val="hps"/>
          <w:rFonts w:cs="Arial"/>
          <w:color w:val="222222"/>
          <w:sz w:val="24"/>
          <w:szCs w:val="24"/>
        </w:rPr>
        <w:t>m</w:t>
      </w:r>
      <w:r w:rsidR="007D372C" w:rsidRPr="009D09A6">
        <w:rPr>
          <w:rStyle w:val="hps"/>
          <w:rFonts w:cs="Arial"/>
          <w:color w:val="222222"/>
          <w:sz w:val="24"/>
          <w:szCs w:val="24"/>
        </w:rPr>
        <w:t>uestras</w:t>
      </w:r>
      <w:r w:rsidR="007D372C" w:rsidRPr="009D09A6">
        <w:rPr>
          <w:rFonts w:cs="Arial"/>
          <w:color w:val="222222"/>
          <w:sz w:val="24"/>
          <w:szCs w:val="24"/>
        </w:rPr>
        <w:t xml:space="preserve"> </w:t>
      </w:r>
      <w:r w:rsidR="007D372C" w:rsidRPr="009D09A6">
        <w:rPr>
          <w:rStyle w:val="hps"/>
          <w:rFonts w:cs="Arial"/>
          <w:color w:val="222222"/>
          <w:sz w:val="24"/>
          <w:szCs w:val="24"/>
        </w:rPr>
        <w:t>de sangre</w:t>
      </w:r>
      <w:r w:rsidR="007D372C" w:rsidRPr="009D09A6">
        <w:rPr>
          <w:rFonts w:cs="Arial"/>
          <w:color w:val="222222"/>
          <w:sz w:val="24"/>
          <w:szCs w:val="24"/>
        </w:rPr>
        <w:t xml:space="preserve"> </w:t>
      </w:r>
      <w:r w:rsidR="007D372C" w:rsidRPr="009D09A6">
        <w:rPr>
          <w:rStyle w:val="hps"/>
          <w:rFonts w:cs="Arial"/>
          <w:color w:val="222222"/>
          <w:sz w:val="24"/>
          <w:szCs w:val="24"/>
        </w:rPr>
        <w:t>se</w:t>
      </w:r>
      <w:r w:rsidR="007D372C" w:rsidRPr="009D09A6">
        <w:rPr>
          <w:rFonts w:cs="Arial"/>
          <w:color w:val="222222"/>
          <w:sz w:val="24"/>
          <w:szCs w:val="24"/>
        </w:rPr>
        <w:t xml:space="preserve"> </w:t>
      </w:r>
      <w:r w:rsidR="00CE706B" w:rsidRPr="009D09A6">
        <w:rPr>
          <w:rStyle w:val="hps"/>
          <w:rFonts w:cs="Arial"/>
          <w:color w:val="222222"/>
          <w:sz w:val="24"/>
          <w:szCs w:val="24"/>
        </w:rPr>
        <w:t>recolectaron</w:t>
      </w:r>
      <w:r w:rsidR="007D372C" w:rsidRPr="009D09A6">
        <w:rPr>
          <w:rFonts w:cs="Arial"/>
          <w:color w:val="222222"/>
          <w:sz w:val="24"/>
          <w:szCs w:val="24"/>
        </w:rPr>
        <w:t xml:space="preserve"> </w:t>
      </w:r>
      <w:r w:rsidR="007D372C" w:rsidRPr="009D09A6">
        <w:rPr>
          <w:rStyle w:val="hps"/>
          <w:rFonts w:cs="Arial"/>
          <w:color w:val="222222"/>
          <w:sz w:val="24"/>
          <w:szCs w:val="24"/>
        </w:rPr>
        <w:t>en</w:t>
      </w:r>
      <w:r w:rsidR="007D372C" w:rsidRPr="009D09A6">
        <w:rPr>
          <w:rFonts w:cs="Arial"/>
          <w:color w:val="222222"/>
          <w:sz w:val="24"/>
          <w:szCs w:val="24"/>
        </w:rPr>
        <w:t xml:space="preserve"> </w:t>
      </w:r>
      <w:r w:rsidR="0009169E" w:rsidRPr="009D09A6">
        <w:rPr>
          <w:rStyle w:val="hps"/>
          <w:rFonts w:cs="Arial"/>
          <w:color w:val="222222"/>
          <w:sz w:val="24"/>
          <w:szCs w:val="24"/>
        </w:rPr>
        <w:t>el m</w:t>
      </w:r>
      <w:r w:rsidR="007D372C" w:rsidRPr="009D09A6">
        <w:rPr>
          <w:rStyle w:val="hps"/>
          <w:rFonts w:cs="Arial"/>
          <w:color w:val="222222"/>
          <w:sz w:val="24"/>
          <w:szCs w:val="24"/>
        </w:rPr>
        <w:t>omento</w:t>
      </w:r>
      <w:r w:rsidR="007D372C" w:rsidRPr="009D09A6">
        <w:rPr>
          <w:rFonts w:cs="Arial"/>
          <w:color w:val="222222"/>
          <w:sz w:val="24"/>
          <w:szCs w:val="24"/>
        </w:rPr>
        <w:t xml:space="preserve"> </w:t>
      </w:r>
      <w:r w:rsidR="007D372C" w:rsidRPr="009D09A6">
        <w:rPr>
          <w:rStyle w:val="hps"/>
          <w:rFonts w:cs="Arial"/>
          <w:color w:val="222222"/>
          <w:sz w:val="24"/>
          <w:szCs w:val="24"/>
        </w:rPr>
        <w:t>0</w:t>
      </w:r>
      <w:r w:rsidR="007D372C" w:rsidRPr="009D09A6">
        <w:rPr>
          <w:rFonts w:cs="Arial"/>
          <w:color w:val="222222"/>
          <w:sz w:val="24"/>
          <w:szCs w:val="24"/>
        </w:rPr>
        <w:t xml:space="preserve"> </w:t>
      </w:r>
      <w:r w:rsidR="007D372C" w:rsidRPr="009D09A6">
        <w:rPr>
          <w:rStyle w:val="hps"/>
          <w:rFonts w:cs="Arial"/>
          <w:color w:val="222222"/>
          <w:sz w:val="24"/>
          <w:szCs w:val="24"/>
        </w:rPr>
        <w:t>(antes</w:t>
      </w:r>
      <w:r w:rsidR="007D372C" w:rsidRPr="009D09A6">
        <w:rPr>
          <w:rFonts w:cs="Arial"/>
          <w:color w:val="222222"/>
          <w:sz w:val="24"/>
          <w:szCs w:val="24"/>
        </w:rPr>
        <w:t xml:space="preserve"> </w:t>
      </w:r>
      <w:r w:rsidR="007D372C" w:rsidRPr="009D09A6">
        <w:rPr>
          <w:rStyle w:val="hps"/>
          <w:rFonts w:cs="Arial"/>
          <w:color w:val="222222"/>
          <w:sz w:val="24"/>
          <w:szCs w:val="24"/>
        </w:rPr>
        <w:t xml:space="preserve">de </w:t>
      </w:r>
      <w:r w:rsidR="009D09A6" w:rsidRPr="009D09A6">
        <w:rPr>
          <w:rStyle w:val="hps"/>
          <w:rFonts w:cs="Arial"/>
          <w:color w:val="222222"/>
          <w:sz w:val="24"/>
          <w:szCs w:val="24"/>
        </w:rPr>
        <w:t xml:space="preserve">administrar </w:t>
      </w:r>
      <w:r w:rsidR="007D372C" w:rsidRPr="00BF1B18">
        <w:rPr>
          <w:rStyle w:val="hps"/>
          <w:rFonts w:cs="Arial"/>
          <w:color w:val="000000" w:themeColor="text1"/>
          <w:sz w:val="24"/>
          <w:szCs w:val="24"/>
        </w:rPr>
        <w:t>DET</w:t>
      </w:r>
      <w:r w:rsidR="007D372C" w:rsidRPr="00BF1B18">
        <w:rPr>
          <w:rFonts w:cs="Arial"/>
          <w:color w:val="000000" w:themeColor="text1"/>
          <w:sz w:val="24"/>
          <w:szCs w:val="24"/>
        </w:rPr>
        <w:t xml:space="preserve">) </w:t>
      </w:r>
      <w:r w:rsidR="007D372C" w:rsidRPr="00BF1B18">
        <w:rPr>
          <w:rStyle w:val="hps"/>
          <w:rFonts w:cs="Arial"/>
          <w:color w:val="000000" w:themeColor="text1"/>
          <w:sz w:val="24"/>
          <w:szCs w:val="24"/>
        </w:rPr>
        <w:t>y</w:t>
      </w:r>
      <w:r w:rsidR="007D372C" w:rsidRPr="00BF1B18">
        <w:rPr>
          <w:rFonts w:cs="Arial"/>
          <w:color w:val="000000" w:themeColor="text1"/>
          <w:sz w:val="24"/>
          <w:szCs w:val="24"/>
        </w:rPr>
        <w:t xml:space="preserve"> </w:t>
      </w:r>
      <w:r w:rsidR="009D09A6" w:rsidRPr="00BF1B18">
        <w:rPr>
          <w:rFonts w:cs="Arial"/>
          <w:color w:val="000000" w:themeColor="text1"/>
          <w:sz w:val="24"/>
          <w:szCs w:val="24"/>
        </w:rPr>
        <w:t xml:space="preserve">1 </w:t>
      </w:r>
      <w:r w:rsidR="007D372C" w:rsidRPr="00BF1B18">
        <w:rPr>
          <w:rStyle w:val="hps"/>
          <w:rFonts w:cs="Arial"/>
          <w:color w:val="000000" w:themeColor="text1"/>
          <w:sz w:val="24"/>
          <w:szCs w:val="24"/>
        </w:rPr>
        <w:t>hora</w:t>
      </w:r>
      <w:r w:rsidR="007D372C" w:rsidRPr="00BF1B18">
        <w:rPr>
          <w:rFonts w:cs="Arial"/>
          <w:color w:val="000000" w:themeColor="text1"/>
          <w:sz w:val="24"/>
          <w:szCs w:val="24"/>
        </w:rPr>
        <w:t xml:space="preserve"> </w:t>
      </w:r>
      <w:r w:rsidR="007D372C" w:rsidRPr="00BF1B18">
        <w:rPr>
          <w:rStyle w:val="hps"/>
          <w:rFonts w:cs="Arial"/>
          <w:color w:val="000000" w:themeColor="text1"/>
          <w:sz w:val="24"/>
          <w:szCs w:val="24"/>
        </w:rPr>
        <w:t>(antes</w:t>
      </w:r>
      <w:r w:rsidR="007D372C" w:rsidRPr="00BF1B18">
        <w:rPr>
          <w:rFonts w:cs="Arial"/>
          <w:color w:val="000000" w:themeColor="text1"/>
          <w:sz w:val="24"/>
          <w:szCs w:val="24"/>
        </w:rPr>
        <w:t xml:space="preserve"> </w:t>
      </w:r>
      <w:r w:rsidR="007D372C" w:rsidRPr="00BF1B18">
        <w:rPr>
          <w:rStyle w:val="hps"/>
          <w:rFonts w:cs="Arial"/>
          <w:color w:val="000000" w:themeColor="text1"/>
          <w:sz w:val="24"/>
          <w:szCs w:val="24"/>
        </w:rPr>
        <w:t>de la</w:t>
      </w:r>
      <w:r w:rsidR="007D372C" w:rsidRPr="00BF1B18">
        <w:rPr>
          <w:rFonts w:cs="Arial"/>
          <w:color w:val="000000" w:themeColor="text1"/>
          <w:sz w:val="24"/>
          <w:szCs w:val="24"/>
        </w:rPr>
        <w:t xml:space="preserve"> </w:t>
      </w:r>
      <w:r w:rsidR="009D09A6" w:rsidRPr="00BF1B18">
        <w:rPr>
          <w:rStyle w:val="hps"/>
          <w:rFonts w:cs="Arial"/>
          <w:color w:val="000000" w:themeColor="text1"/>
          <w:sz w:val="24"/>
          <w:szCs w:val="24"/>
        </w:rPr>
        <w:t xml:space="preserve">administración del </w:t>
      </w:r>
      <w:r w:rsidR="007D372C" w:rsidRPr="00BF1B18">
        <w:rPr>
          <w:rStyle w:val="hps"/>
          <w:rFonts w:cs="Arial"/>
          <w:color w:val="000000" w:themeColor="text1"/>
          <w:sz w:val="24"/>
          <w:szCs w:val="24"/>
        </w:rPr>
        <w:t>antagonista</w:t>
      </w:r>
      <w:r w:rsidR="007D372C" w:rsidRPr="00BF1B18">
        <w:rPr>
          <w:rFonts w:cs="Arial"/>
          <w:color w:val="000000" w:themeColor="text1"/>
          <w:sz w:val="24"/>
          <w:szCs w:val="24"/>
        </w:rPr>
        <w:t xml:space="preserve">) </w:t>
      </w:r>
      <w:r w:rsidR="007D372C" w:rsidRPr="00BF1B18">
        <w:rPr>
          <w:rStyle w:val="hps"/>
          <w:rFonts w:cs="Arial"/>
          <w:color w:val="000000" w:themeColor="text1"/>
          <w:sz w:val="24"/>
          <w:szCs w:val="24"/>
        </w:rPr>
        <w:t>y</w:t>
      </w:r>
      <w:r w:rsidR="007D372C" w:rsidRPr="00BF1B18">
        <w:rPr>
          <w:rFonts w:cs="Arial"/>
          <w:color w:val="000000" w:themeColor="text1"/>
          <w:sz w:val="24"/>
          <w:szCs w:val="24"/>
        </w:rPr>
        <w:t xml:space="preserve"> </w:t>
      </w:r>
      <w:r w:rsidR="009D09A6" w:rsidRPr="00BF1B18">
        <w:rPr>
          <w:rStyle w:val="hps"/>
          <w:rFonts w:cs="Arial"/>
          <w:color w:val="000000" w:themeColor="text1"/>
          <w:sz w:val="24"/>
          <w:szCs w:val="24"/>
        </w:rPr>
        <w:t xml:space="preserve">a los </w:t>
      </w:r>
      <w:r w:rsidR="007D372C" w:rsidRPr="00BF1B18">
        <w:rPr>
          <w:rStyle w:val="hps"/>
          <w:rFonts w:cs="Arial"/>
          <w:color w:val="000000" w:themeColor="text1"/>
          <w:sz w:val="24"/>
          <w:szCs w:val="24"/>
        </w:rPr>
        <w:t>5</w:t>
      </w:r>
      <w:r w:rsidR="007D372C" w:rsidRPr="00BF1B18">
        <w:rPr>
          <w:rFonts w:cs="Arial"/>
          <w:color w:val="000000" w:themeColor="text1"/>
          <w:sz w:val="24"/>
          <w:szCs w:val="24"/>
        </w:rPr>
        <w:t xml:space="preserve">, </w:t>
      </w:r>
      <w:r w:rsidR="007D372C" w:rsidRPr="00BF1B18">
        <w:rPr>
          <w:rStyle w:val="hps"/>
          <w:rFonts w:cs="Arial"/>
          <w:color w:val="000000" w:themeColor="text1"/>
          <w:sz w:val="24"/>
          <w:szCs w:val="24"/>
        </w:rPr>
        <w:t>10</w:t>
      </w:r>
      <w:r w:rsidR="007D372C" w:rsidRPr="00BF1B18">
        <w:rPr>
          <w:rFonts w:cs="Arial"/>
          <w:color w:val="000000" w:themeColor="text1"/>
          <w:sz w:val="24"/>
          <w:szCs w:val="24"/>
        </w:rPr>
        <w:t xml:space="preserve">, </w:t>
      </w:r>
      <w:r w:rsidR="007D372C" w:rsidRPr="00BF1B18">
        <w:rPr>
          <w:rStyle w:val="hps"/>
          <w:rFonts w:cs="Arial"/>
          <w:color w:val="000000" w:themeColor="text1"/>
          <w:sz w:val="24"/>
          <w:szCs w:val="24"/>
        </w:rPr>
        <w:t>15</w:t>
      </w:r>
      <w:r w:rsidR="007D372C" w:rsidRPr="00BF1B18">
        <w:rPr>
          <w:rFonts w:cs="Arial"/>
          <w:color w:val="000000" w:themeColor="text1"/>
          <w:sz w:val="24"/>
          <w:szCs w:val="24"/>
        </w:rPr>
        <w:t xml:space="preserve">, </w:t>
      </w:r>
      <w:r w:rsidR="007D372C" w:rsidRPr="00BF1B18">
        <w:rPr>
          <w:rStyle w:val="hps"/>
          <w:rFonts w:cs="Arial"/>
          <w:color w:val="000000" w:themeColor="text1"/>
          <w:sz w:val="24"/>
          <w:szCs w:val="24"/>
        </w:rPr>
        <w:t>30</w:t>
      </w:r>
      <w:r w:rsidR="007D372C" w:rsidRPr="00BF1B18">
        <w:rPr>
          <w:rFonts w:cs="Arial"/>
          <w:color w:val="000000" w:themeColor="text1"/>
          <w:sz w:val="24"/>
          <w:szCs w:val="24"/>
        </w:rPr>
        <w:t xml:space="preserve">, </w:t>
      </w:r>
      <w:r w:rsidR="007D372C" w:rsidRPr="00BF1B18">
        <w:rPr>
          <w:rStyle w:val="hps"/>
          <w:rFonts w:cs="Arial"/>
          <w:color w:val="000000" w:themeColor="text1"/>
          <w:sz w:val="24"/>
          <w:szCs w:val="24"/>
        </w:rPr>
        <w:t>45</w:t>
      </w:r>
      <w:r w:rsidR="007D372C" w:rsidRPr="00BF1B18">
        <w:rPr>
          <w:rFonts w:cs="Arial"/>
          <w:color w:val="000000" w:themeColor="text1"/>
          <w:sz w:val="24"/>
          <w:szCs w:val="24"/>
        </w:rPr>
        <w:t xml:space="preserve"> </w:t>
      </w:r>
      <w:r w:rsidR="009D09A6" w:rsidRPr="00BF1B18">
        <w:rPr>
          <w:rStyle w:val="hps"/>
          <w:rFonts w:cs="Arial"/>
          <w:color w:val="000000" w:themeColor="text1"/>
          <w:sz w:val="24"/>
          <w:szCs w:val="24"/>
        </w:rPr>
        <w:t>m</w:t>
      </w:r>
      <w:r w:rsidR="007D372C" w:rsidRPr="00BF1B18">
        <w:rPr>
          <w:rStyle w:val="hps"/>
          <w:rFonts w:cs="Arial"/>
          <w:color w:val="000000" w:themeColor="text1"/>
          <w:sz w:val="24"/>
          <w:szCs w:val="24"/>
        </w:rPr>
        <w:t>inutos</w:t>
      </w:r>
      <w:r w:rsidR="007D372C" w:rsidRPr="00BF1B18">
        <w:rPr>
          <w:rFonts w:cs="Arial"/>
          <w:color w:val="000000" w:themeColor="text1"/>
          <w:sz w:val="24"/>
          <w:szCs w:val="24"/>
        </w:rPr>
        <w:t xml:space="preserve"> </w:t>
      </w:r>
      <w:r w:rsidR="007D372C" w:rsidRPr="00BF1B18">
        <w:rPr>
          <w:rStyle w:val="hps"/>
          <w:rFonts w:cs="Arial"/>
          <w:color w:val="000000" w:themeColor="text1"/>
          <w:sz w:val="24"/>
          <w:szCs w:val="24"/>
        </w:rPr>
        <w:t>y 1,</w:t>
      </w:r>
      <w:r w:rsidR="007D372C" w:rsidRPr="00BF1B18">
        <w:rPr>
          <w:rFonts w:cs="Arial"/>
          <w:color w:val="000000" w:themeColor="text1"/>
          <w:sz w:val="24"/>
          <w:szCs w:val="24"/>
        </w:rPr>
        <w:t xml:space="preserve"> </w:t>
      </w:r>
      <w:r w:rsidR="009D09A6" w:rsidRPr="00BF1B18">
        <w:rPr>
          <w:rStyle w:val="hps"/>
          <w:rFonts w:cs="Arial"/>
          <w:color w:val="000000" w:themeColor="text1"/>
          <w:sz w:val="24"/>
          <w:szCs w:val="24"/>
        </w:rPr>
        <w:t xml:space="preserve">1. </w:t>
      </w:r>
      <w:r w:rsidR="007D372C" w:rsidRPr="00BF1B18">
        <w:rPr>
          <w:rStyle w:val="hps"/>
          <w:rFonts w:cs="Arial"/>
          <w:color w:val="000000" w:themeColor="text1"/>
          <w:sz w:val="24"/>
          <w:szCs w:val="24"/>
        </w:rPr>
        <w:t>5</w:t>
      </w:r>
      <w:r w:rsidR="007D372C" w:rsidRPr="00BF1B18">
        <w:rPr>
          <w:rFonts w:cs="Arial"/>
          <w:color w:val="000000" w:themeColor="text1"/>
          <w:sz w:val="24"/>
          <w:szCs w:val="24"/>
        </w:rPr>
        <w:t xml:space="preserve">, </w:t>
      </w:r>
      <w:r w:rsidR="007D372C" w:rsidRPr="00BF1B18">
        <w:rPr>
          <w:rStyle w:val="hps"/>
          <w:rFonts w:cs="Arial"/>
          <w:color w:val="000000" w:themeColor="text1"/>
          <w:sz w:val="24"/>
          <w:szCs w:val="24"/>
        </w:rPr>
        <w:t>2</w:t>
      </w:r>
      <w:r w:rsidR="009D09A6" w:rsidRPr="00BF1B18">
        <w:rPr>
          <w:rFonts w:cs="Arial"/>
          <w:color w:val="000000" w:themeColor="text1"/>
          <w:sz w:val="24"/>
          <w:szCs w:val="24"/>
        </w:rPr>
        <w:t>, 2.</w:t>
      </w:r>
      <w:r w:rsidR="007D372C" w:rsidRPr="00BF1B18">
        <w:rPr>
          <w:rFonts w:cs="Arial"/>
          <w:color w:val="000000" w:themeColor="text1"/>
          <w:sz w:val="24"/>
          <w:szCs w:val="24"/>
        </w:rPr>
        <w:t xml:space="preserve">5, </w:t>
      </w:r>
      <w:r w:rsidR="007D372C" w:rsidRPr="00BF1B18">
        <w:rPr>
          <w:rStyle w:val="hps"/>
          <w:rFonts w:cs="Arial"/>
          <w:color w:val="000000" w:themeColor="text1"/>
          <w:sz w:val="24"/>
          <w:szCs w:val="24"/>
        </w:rPr>
        <w:t>3</w:t>
      </w:r>
      <w:r w:rsidR="007D372C" w:rsidRPr="00BF1B18">
        <w:rPr>
          <w:rFonts w:cs="Arial"/>
          <w:color w:val="000000" w:themeColor="text1"/>
          <w:sz w:val="24"/>
          <w:szCs w:val="24"/>
        </w:rPr>
        <w:t xml:space="preserve">, </w:t>
      </w:r>
      <w:r w:rsidR="007D372C" w:rsidRPr="00BF1B18">
        <w:rPr>
          <w:rStyle w:val="hps"/>
          <w:rFonts w:cs="Arial"/>
          <w:color w:val="000000" w:themeColor="text1"/>
          <w:sz w:val="24"/>
          <w:szCs w:val="24"/>
        </w:rPr>
        <w:t>4</w:t>
      </w:r>
      <w:r w:rsidR="007D372C" w:rsidRPr="00BF1B18">
        <w:rPr>
          <w:rFonts w:cs="Arial"/>
          <w:color w:val="000000" w:themeColor="text1"/>
          <w:sz w:val="24"/>
          <w:szCs w:val="24"/>
        </w:rPr>
        <w:t xml:space="preserve">, </w:t>
      </w:r>
      <w:r w:rsidR="007D372C" w:rsidRPr="00BF1B18">
        <w:rPr>
          <w:rStyle w:val="hps"/>
          <w:rFonts w:cs="Arial"/>
          <w:color w:val="000000" w:themeColor="text1"/>
          <w:sz w:val="24"/>
          <w:szCs w:val="24"/>
        </w:rPr>
        <w:t>5</w:t>
      </w:r>
      <w:r w:rsidR="007D372C" w:rsidRPr="00BF1B18">
        <w:rPr>
          <w:rFonts w:cs="Arial"/>
          <w:color w:val="000000" w:themeColor="text1"/>
          <w:sz w:val="24"/>
          <w:szCs w:val="24"/>
        </w:rPr>
        <w:t xml:space="preserve">, </w:t>
      </w:r>
      <w:r w:rsidR="007D372C" w:rsidRPr="00BF1B18">
        <w:rPr>
          <w:rStyle w:val="hps"/>
          <w:rFonts w:cs="Arial"/>
          <w:color w:val="000000" w:themeColor="text1"/>
          <w:sz w:val="24"/>
          <w:szCs w:val="24"/>
        </w:rPr>
        <w:t>6</w:t>
      </w:r>
      <w:r w:rsidR="007D372C" w:rsidRPr="00BF1B18">
        <w:rPr>
          <w:rFonts w:cs="Arial"/>
          <w:color w:val="000000" w:themeColor="text1"/>
          <w:sz w:val="24"/>
          <w:szCs w:val="24"/>
        </w:rPr>
        <w:t xml:space="preserve">, </w:t>
      </w:r>
      <w:r w:rsidR="007D372C" w:rsidRPr="00BF1B18">
        <w:rPr>
          <w:rStyle w:val="hps"/>
          <w:rFonts w:cs="Arial"/>
          <w:color w:val="000000" w:themeColor="text1"/>
          <w:sz w:val="24"/>
          <w:szCs w:val="24"/>
        </w:rPr>
        <w:t>8</w:t>
      </w:r>
      <w:r w:rsidR="007D372C" w:rsidRPr="00BF1B18">
        <w:rPr>
          <w:rFonts w:cs="Arial"/>
          <w:color w:val="000000" w:themeColor="text1"/>
          <w:sz w:val="24"/>
          <w:szCs w:val="24"/>
        </w:rPr>
        <w:t xml:space="preserve">, </w:t>
      </w:r>
      <w:r w:rsidR="007D372C" w:rsidRPr="00BF1B18">
        <w:rPr>
          <w:rStyle w:val="hps"/>
          <w:rFonts w:cs="Arial"/>
          <w:color w:val="000000" w:themeColor="text1"/>
          <w:sz w:val="24"/>
          <w:szCs w:val="24"/>
        </w:rPr>
        <w:t>12</w:t>
      </w:r>
      <w:r w:rsidR="007D372C" w:rsidRPr="00BF1B18">
        <w:rPr>
          <w:rFonts w:cs="Arial"/>
          <w:color w:val="000000" w:themeColor="text1"/>
          <w:sz w:val="24"/>
          <w:szCs w:val="24"/>
        </w:rPr>
        <w:t xml:space="preserve">, </w:t>
      </w:r>
      <w:r w:rsidR="007D372C" w:rsidRPr="00BF1B18">
        <w:rPr>
          <w:rStyle w:val="hps"/>
          <w:rFonts w:cs="Arial"/>
          <w:color w:val="000000" w:themeColor="text1"/>
          <w:sz w:val="24"/>
          <w:szCs w:val="24"/>
        </w:rPr>
        <w:t>18</w:t>
      </w:r>
      <w:r w:rsidR="007D372C" w:rsidRPr="00BF1B18">
        <w:rPr>
          <w:rFonts w:cs="Arial"/>
          <w:color w:val="000000" w:themeColor="text1"/>
          <w:sz w:val="24"/>
          <w:szCs w:val="24"/>
        </w:rPr>
        <w:t xml:space="preserve">, </w:t>
      </w:r>
      <w:r w:rsidR="007D372C" w:rsidRPr="00BF1B18">
        <w:rPr>
          <w:rStyle w:val="hps"/>
          <w:rFonts w:cs="Arial"/>
          <w:color w:val="000000" w:themeColor="text1"/>
          <w:sz w:val="24"/>
          <w:szCs w:val="24"/>
        </w:rPr>
        <w:t>24</w:t>
      </w:r>
      <w:r w:rsidR="007D372C" w:rsidRPr="00BF1B18">
        <w:rPr>
          <w:rFonts w:cs="Arial"/>
          <w:color w:val="000000" w:themeColor="text1"/>
          <w:sz w:val="24"/>
          <w:szCs w:val="24"/>
        </w:rPr>
        <w:t xml:space="preserve">, </w:t>
      </w:r>
      <w:r w:rsidR="007D372C" w:rsidRPr="00BF1B18">
        <w:rPr>
          <w:rStyle w:val="hps"/>
          <w:rFonts w:cs="Arial"/>
          <w:color w:val="000000" w:themeColor="text1"/>
          <w:sz w:val="24"/>
          <w:szCs w:val="24"/>
        </w:rPr>
        <w:t>36</w:t>
      </w:r>
      <w:r w:rsidR="007D372C" w:rsidRPr="00BF1B18">
        <w:rPr>
          <w:rFonts w:cs="Arial"/>
          <w:color w:val="000000" w:themeColor="text1"/>
          <w:sz w:val="24"/>
          <w:szCs w:val="24"/>
        </w:rPr>
        <w:t xml:space="preserve">, </w:t>
      </w:r>
      <w:r w:rsidR="007D372C" w:rsidRPr="00BF1B18">
        <w:rPr>
          <w:rStyle w:val="hps"/>
          <w:rFonts w:cs="Arial"/>
          <w:color w:val="000000" w:themeColor="text1"/>
          <w:sz w:val="24"/>
          <w:szCs w:val="24"/>
        </w:rPr>
        <w:t>48</w:t>
      </w:r>
      <w:r w:rsidR="007D372C" w:rsidRPr="00BF1B18">
        <w:rPr>
          <w:rFonts w:cs="Arial"/>
          <w:color w:val="000000" w:themeColor="text1"/>
          <w:sz w:val="24"/>
          <w:szCs w:val="24"/>
        </w:rPr>
        <w:t xml:space="preserve"> </w:t>
      </w:r>
      <w:r w:rsidR="007D372C" w:rsidRPr="00BF1B18">
        <w:rPr>
          <w:rStyle w:val="hps"/>
          <w:rFonts w:cs="Arial"/>
          <w:color w:val="000000" w:themeColor="text1"/>
          <w:sz w:val="24"/>
          <w:szCs w:val="24"/>
        </w:rPr>
        <w:t>y</w:t>
      </w:r>
      <w:r w:rsidR="007D372C" w:rsidRPr="00BF1B18">
        <w:rPr>
          <w:rFonts w:cs="Arial"/>
          <w:color w:val="000000" w:themeColor="text1"/>
          <w:sz w:val="24"/>
          <w:szCs w:val="24"/>
        </w:rPr>
        <w:t xml:space="preserve"> </w:t>
      </w:r>
      <w:r w:rsidR="007D372C" w:rsidRPr="00BF1B18">
        <w:rPr>
          <w:rStyle w:val="hps"/>
          <w:rFonts w:cs="Arial"/>
          <w:color w:val="000000" w:themeColor="text1"/>
          <w:sz w:val="24"/>
          <w:szCs w:val="24"/>
        </w:rPr>
        <w:t>72</w:t>
      </w:r>
      <w:r w:rsidR="007D372C" w:rsidRPr="00BF1B18">
        <w:rPr>
          <w:rFonts w:cs="Arial"/>
          <w:color w:val="000000" w:themeColor="text1"/>
          <w:sz w:val="24"/>
          <w:szCs w:val="24"/>
        </w:rPr>
        <w:t xml:space="preserve"> </w:t>
      </w:r>
      <w:r w:rsidR="007D372C" w:rsidRPr="00BF1B18">
        <w:rPr>
          <w:rStyle w:val="hps"/>
          <w:rFonts w:cs="Arial"/>
          <w:color w:val="000000" w:themeColor="text1"/>
          <w:sz w:val="24"/>
          <w:szCs w:val="24"/>
        </w:rPr>
        <w:t>horas</w:t>
      </w:r>
      <w:r w:rsidR="007D372C" w:rsidRPr="00BF1B18">
        <w:rPr>
          <w:rFonts w:cs="Arial"/>
          <w:color w:val="000000" w:themeColor="text1"/>
          <w:sz w:val="24"/>
          <w:szCs w:val="24"/>
        </w:rPr>
        <w:t xml:space="preserve"> </w:t>
      </w:r>
      <w:r w:rsidR="009D09A6" w:rsidRPr="00BF1B18">
        <w:rPr>
          <w:rStyle w:val="hps"/>
          <w:rFonts w:cs="Arial"/>
          <w:color w:val="000000" w:themeColor="text1"/>
          <w:sz w:val="24"/>
          <w:szCs w:val="24"/>
        </w:rPr>
        <w:t>después</w:t>
      </w:r>
      <w:r w:rsidR="007D372C" w:rsidRPr="00BF1B18">
        <w:rPr>
          <w:rStyle w:val="hps"/>
          <w:rFonts w:cs="Arial"/>
          <w:color w:val="000000" w:themeColor="text1"/>
          <w:sz w:val="24"/>
          <w:szCs w:val="24"/>
        </w:rPr>
        <w:t xml:space="preserve"> de la</w:t>
      </w:r>
      <w:r w:rsidR="007D372C" w:rsidRPr="00BF1B18">
        <w:rPr>
          <w:rFonts w:cs="Arial"/>
          <w:color w:val="000000" w:themeColor="text1"/>
          <w:sz w:val="24"/>
          <w:szCs w:val="24"/>
        </w:rPr>
        <w:t xml:space="preserve"> </w:t>
      </w:r>
      <w:r w:rsidR="009D09A6" w:rsidRPr="00BF1B18">
        <w:rPr>
          <w:rStyle w:val="hps"/>
          <w:rFonts w:cs="Arial"/>
          <w:color w:val="000000" w:themeColor="text1"/>
          <w:sz w:val="24"/>
          <w:szCs w:val="24"/>
        </w:rPr>
        <w:t>a</w:t>
      </w:r>
      <w:r w:rsidR="007D372C" w:rsidRPr="00BF1B18">
        <w:rPr>
          <w:rStyle w:val="hps"/>
          <w:rFonts w:cs="Arial"/>
          <w:color w:val="000000" w:themeColor="text1"/>
          <w:sz w:val="24"/>
          <w:szCs w:val="24"/>
        </w:rPr>
        <w:t>dministración de</w:t>
      </w:r>
      <w:r w:rsidR="009D09A6" w:rsidRPr="00BF1B18">
        <w:rPr>
          <w:rStyle w:val="hps"/>
          <w:rFonts w:cs="Arial"/>
          <w:color w:val="000000" w:themeColor="text1"/>
          <w:sz w:val="24"/>
          <w:szCs w:val="24"/>
        </w:rPr>
        <w:t xml:space="preserve"> </w:t>
      </w:r>
      <w:r w:rsidR="007D372C" w:rsidRPr="00BF1B18">
        <w:rPr>
          <w:rStyle w:val="hps"/>
          <w:rFonts w:cs="Arial"/>
          <w:color w:val="000000" w:themeColor="text1"/>
          <w:sz w:val="24"/>
          <w:szCs w:val="24"/>
        </w:rPr>
        <w:t>l</w:t>
      </w:r>
      <w:r w:rsidR="009D09A6" w:rsidRPr="00BF1B18">
        <w:rPr>
          <w:rStyle w:val="hps"/>
          <w:rFonts w:cs="Arial"/>
          <w:color w:val="000000" w:themeColor="text1"/>
          <w:sz w:val="24"/>
          <w:szCs w:val="24"/>
        </w:rPr>
        <w:t>a</w:t>
      </w:r>
      <w:r w:rsidR="007D372C" w:rsidRPr="00BF1B18">
        <w:rPr>
          <w:rFonts w:cs="Arial"/>
          <w:color w:val="000000" w:themeColor="text1"/>
          <w:sz w:val="24"/>
          <w:szCs w:val="24"/>
        </w:rPr>
        <w:t xml:space="preserve"> </w:t>
      </w:r>
      <w:r w:rsidR="00B56224" w:rsidRPr="00BF1B18">
        <w:rPr>
          <w:rStyle w:val="hps"/>
          <w:rFonts w:cs="Arial"/>
          <w:color w:val="000000" w:themeColor="text1"/>
          <w:sz w:val="24"/>
          <w:szCs w:val="24"/>
        </w:rPr>
        <w:t>DET</w:t>
      </w:r>
      <w:r w:rsidR="0009169E" w:rsidRPr="00BF1B18">
        <w:rPr>
          <w:rStyle w:val="hps"/>
          <w:rFonts w:cs="Arial"/>
          <w:color w:val="000000" w:themeColor="text1"/>
          <w:sz w:val="24"/>
          <w:szCs w:val="24"/>
        </w:rPr>
        <w:t xml:space="preserve"> y </w:t>
      </w:r>
      <w:r w:rsidR="00E43E78" w:rsidRPr="00BF1B18">
        <w:rPr>
          <w:rStyle w:val="hps"/>
          <w:rFonts w:cs="Arial"/>
          <w:color w:val="000000" w:themeColor="text1"/>
          <w:sz w:val="24"/>
          <w:szCs w:val="24"/>
        </w:rPr>
        <w:t>YOH</w:t>
      </w:r>
      <w:r w:rsidR="009D09A6" w:rsidRPr="00BF1B18">
        <w:rPr>
          <w:rStyle w:val="hps"/>
          <w:rFonts w:cs="Arial"/>
          <w:color w:val="000000" w:themeColor="text1"/>
          <w:sz w:val="24"/>
          <w:szCs w:val="24"/>
        </w:rPr>
        <w:t>.</w:t>
      </w:r>
      <w:r w:rsidR="009D09A6" w:rsidRPr="00BF1B18">
        <w:rPr>
          <w:rFonts w:cs="Arial"/>
          <w:color w:val="000000" w:themeColor="text1"/>
          <w:sz w:val="24"/>
          <w:szCs w:val="24"/>
        </w:rPr>
        <w:t xml:space="preserve"> En el estudio s</w:t>
      </w:r>
      <w:r w:rsidR="007D372C" w:rsidRPr="00BF1B18">
        <w:rPr>
          <w:rFonts w:cs="Arial"/>
          <w:color w:val="000000" w:themeColor="text1"/>
          <w:sz w:val="24"/>
          <w:szCs w:val="24"/>
        </w:rPr>
        <w:t>e emplearon tres regímenes de dosificación. 1) 0.03 mg kg</w:t>
      </w:r>
      <w:r w:rsidR="007D372C" w:rsidRPr="00BF1B18">
        <w:rPr>
          <w:rFonts w:cs="Arial"/>
          <w:color w:val="000000" w:themeColor="text1"/>
          <w:sz w:val="24"/>
          <w:szCs w:val="24"/>
          <w:vertAlign w:val="superscript"/>
        </w:rPr>
        <w:t>-1</w:t>
      </w:r>
      <w:r w:rsidR="007D372C" w:rsidRPr="00BF1B18">
        <w:rPr>
          <w:rFonts w:cs="Arial"/>
          <w:color w:val="000000" w:themeColor="text1"/>
          <w:sz w:val="24"/>
          <w:szCs w:val="24"/>
        </w:rPr>
        <w:t xml:space="preserve"> DET (Dormosedan, Pfizer Salud Animal, </w:t>
      </w:r>
      <w:r w:rsidR="0037137F" w:rsidRPr="00BF1B18">
        <w:rPr>
          <w:rFonts w:cs="Arial"/>
          <w:color w:val="000000" w:themeColor="text1"/>
          <w:sz w:val="24"/>
          <w:szCs w:val="24"/>
        </w:rPr>
        <w:t>Pensilvanya</w:t>
      </w:r>
      <w:r w:rsidR="007D372C" w:rsidRPr="00BF1B18">
        <w:rPr>
          <w:rFonts w:cs="Arial"/>
          <w:color w:val="000000" w:themeColor="text1"/>
          <w:sz w:val="24"/>
          <w:szCs w:val="24"/>
        </w:rPr>
        <w:t>, E</w:t>
      </w:r>
      <w:r w:rsidR="009D09A6" w:rsidRPr="00BF1B18">
        <w:rPr>
          <w:rFonts w:cs="Arial"/>
          <w:color w:val="000000" w:themeColor="text1"/>
          <w:sz w:val="24"/>
          <w:szCs w:val="24"/>
        </w:rPr>
        <w:t>E.UU.) IV, 2) 0.</w:t>
      </w:r>
      <w:r w:rsidR="00B73D19" w:rsidRPr="00BF1B18">
        <w:rPr>
          <w:rFonts w:cs="Arial"/>
          <w:color w:val="000000" w:themeColor="text1"/>
          <w:sz w:val="24"/>
          <w:szCs w:val="24"/>
        </w:rPr>
        <w:t>2 mg/</w:t>
      </w:r>
      <w:r w:rsidR="007D372C" w:rsidRPr="00BF1B18">
        <w:rPr>
          <w:rFonts w:cs="Arial"/>
          <w:color w:val="000000" w:themeColor="text1"/>
          <w:sz w:val="24"/>
          <w:szCs w:val="24"/>
        </w:rPr>
        <w:t>kg YOH (Yobine, Lloy</w:t>
      </w:r>
      <w:r w:rsidR="009D09A6" w:rsidRPr="00BF1B18">
        <w:rPr>
          <w:rFonts w:cs="Arial"/>
          <w:color w:val="000000" w:themeColor="text1"/>
          <w:sz w:val="24"/>
          <w:szCs w:val="24"/>
        </w:rPr>
        <w:t>d laboratorios, IA, EE.UU.) IV y 3) 0.</w:t>
      </w:r>
      <w:r w:rsidR="00B73D19" w:rsidRPr="00BF1B18">
        <w:rPr>
          <w:rFonts w:cs="Arial"/>
          <w:color w:val="000000" w:themeColor="text1"/>
          <w:sz w:val="24"/>
          <w:szCs w:val="24"/>
        </w:rPr>
        <w:t>03 mg/</w:t>
      </w:r>
      <w:r w:rsidR="007D372C" w:rsidRPr="00BF1B18">
        <w:rPr>
          <w:rFonts w:cs="Arial"/>
          <w:color w:val="000000" w:themeColor="text1"/>
          <w:sz w:val="24"/>
          <w:szCs w:val="24"/>
        </w:rPr>
        <w:t xml:space="preserve">kg DET IV seguido </w:t>
      </w:r>
      <w:r w:rsidR="00B73D19" w:rsidRPr="00BF1B18">
        <w:rPr>
          <w:rFonts w:cs="Arial"/>
          <w:color w:val="000000" w:themeColor="text1"/>
          <w:sz w:val="24"/>
          <w:szCs w:val="24"/>
        </w:rPr>
        <w:t>por 0.2 mg/</w:t>
      </w:r>
      <w:r w:rsidR="009D09A6" w:rsidRPr="00BF1B18">
        <w:rPr>
          <w:rFonts w:cs="Arial"/>
          <w:color w:val="000000" w:themeColor="text1"/>
          <w:sz w:val="24"/>
          <w:szCs w:val="24"/>
        </w:rPr>
        <w:t xml:space="preserve">kg YOH IV </w:t>
      </w:r>
      <w:r w:rsidR="007D372C" w:rsidRPr="00BF1B18">
        <w:rPr>
          <w:rFonts w:cs="Arial"/>
          <w:color w:val="000000" w:themeColor="text1"/>
          <w:sz w:val="24"/>
          <w:szCs w:val="24"/>
        </w:rPr>
        <w:t xml:space="preserve">15 minutos </w:t>
      </w:r>
      <w:r w:rsidR="007D372C" w:rsidRPr="00BF1B18">
        <w:rPr>
          <w:rFonts w:cs="Arial"/>
          <w:color w:val="000000" w:themeColor="text1"/>
          <w:sz w:val="24"/>
          <w:szCs w:val="24"/>
        </w:rPr>
        <w:lastRenderedPageBreak/>
        <w:t>después</w:t>
      </w:r>
      <w:r w:rsidR="00EC1FE0" w:rsidRPr="00BF1B18">
        <w:rPr>
          <w:rFonts w:cs="Arial"/>
          <w:color w:val="000000" w:themeColor="text1"/>
          <w:sz w:val="24"/>
          <w:szCs w:val="24"/>
        </w:rPr>
        <w:t xml:space="preserve">. </w:t>
      </w:r>
      <w:r w:rsidR="00F26434" w:rsidRPr="00BF1B18">
        <w:rPr>
          <w:rFonts w:cs="Arial"/>
          <w:color w:val="000000" w:themeColor="text1"/>
          <w:sz w:val="24"/>
          <w:szCs w:val="24"/>
        </w:rPr>
        <w:t xml:space="preserve">Los investigadores señalaron que la </w:t>
      </w:r>
      <w:r w:rsidR="00D765B6" w:rsidRPr="004D67F3">
        <w:rPr>
          <w:rFonts w:cs="Arial"/>
          <w:sz w:val="24"/>
          <w:szCs w:val="24"/>
        </w:rPr>
        <w:t>vida</w:t>
      </w:r>
      <w:r w:rsidR="0035727A" w:rsidRPr="004D67F3">
        <w:rPr>
          <w:rFonts w:cs="Arial"/>
          <w:sz w:val="24"/>
          <w:szCs w:val="24"/>
        </w:rPr>
        <w:t xml:space="preserve"> media de eliminación de la </w:t>
      </w:r>
      <w:r w:rsidR="00E43E78">
        <w:rPr>
          <w:rFonts w:cs="Arial"/>
          <w:sz w:val="24"/>
          <w:szCs w:val="24"/>
        </w:rPr>
        <w:t>YOH</w:t>
      </w:r>
      <w:r w:rsidR="0035727A" w:rsidRPr="004D67F3">
        <w:rPr>
          <w:rFonts w:cs="Arial"/>
          <w:sz w:val="24"/>
          <w:szCs w:val="24"/>
        </w:rPr>
        <w:t xml:space="preserve"> no </w:t>
      </w:r>
      <w:r w:rsidR="00F26434" w:rsidRPr="004D67F3">
        <w:rPr>
          <w:rFonts w:cs="Arial"/>
          <w:sz w:val="24"/>
          <w:szCs w:val="24"/>
        </w:rPr>
        <w:t>se afecta</w:t>
      </w:r>
      <w:r w:rsidR="00D765B6" w:rsidRPr="004D67F3">
        <w:rPr>
          <w:rFonts w:cs="Arial"/>
          <w:sz w:val="24"/>
          <w:szCs w:val="24"/>
        </w:rPr>
        <w:t xml:space="preserve"> </w:t>
      </w:r>
      <w:r w:rsidR="00F26434" w:rsidRPr="004D67F3">
        <w:rPr>
          <w:rFonts w:cs="Arial"/>
          <w:sz w:val="24"/>
          <w:szCs w:val="24"/>
        </w:rPr>
        <w:t xml:space="preserve">por la </w:t>
      </w:r>
      <w:r w:rsidR="0035727A" w:rsidRPr="004D67F3">
        <w:rPr>
          <w:rFonts w:cs="Arial"/>
          <w:sz w:val="24"/>
          <w:szCs w:val="24"/>
        </w:rPr>
        <w:t>administra</w:t>
      </w:r>
      <w:r w:rsidR="00F26434" w:rsidRPr="004D67F3">
        <w:rPr>
          <w:rFonts w:cs="Arial"/>
          <w:sz w:val="24"/>
          <w:szCs w:val="24"/>
        </w:rPr>
        <w:t>ción de</w:t>
      </w:r>
      <w:r w:rsidR="0035727A" w:rsidRPr="004D67F3">
        <w:rPr>
          <w:rFonts w:cs="Arial"/>
          <w:sz w:val="24"/>
          <w:szCs w:val="24"/>
        </w:rPr>
        <w:t xml:space="preserve"> la </w:t>
      </w:r>
      <w:r w:rsidR="00B56224" w:rsidRPr="004D67F3">
        <w:rPr>
          <w:rFonts w:cs="Arial"/>
          <w:sz w:val="24"/>
          <w:szCs w:val="24"/>
        </w:rPr>
        <w:t>DET</w:t>
      </w:r>
      <w:r w:rsidR="00F26434" w:rsidRPr="004D67F3">
        <w:rPr>
          <w:rFonts w:cs="Arial"/>
          <w:sz w:val="24"/>
          <w:szCs w:val="24"/>
        </w:rPr>
        <w:t>.</w:t>
      </w:r>
    </w:p>
    <w:p w:rsidR="00F26434" w:rsidRPr="00F26434" w:rsidRDefault="00F26434" w:rsidP="00065198">
      <w:pPr>
        <w:spacing w:line="360" w:lineRule="auto"/>
        <w:rPr>
          <w:rFonts w:cs="Arial"/>
          <w:b/>
          <w:sz w:val="24"/>
          <w:szCs w:val="24"/>
        </w:rPr>
      </w:pPr>
    </w:p>
    <w:p w:rsidR="003F0117" w:rsidRPr="00622D25" w:rsidRDefault="00A2062B" w:rsidP="00065198">
      <w:pPr>
        <w:spacing w:line="360" w:lineRule="auto"/>
        <w:rPr>
          <w:rFonts w:cs="Arial"/>
          <w:sz w:val="24"/>
          <w:szCs w:val="24"/>
        </w:rPr>
      </w:pPr>
      <w:r w:rsidRPr="005E42C1">
        <w:rPr>
          <w:rFonts w:cs="Arial"/>
          <w:sz w:val="24"/>
          <w:szCs w:val="24"/>
        </w:rPr>
        <w:fldChar w:fldCharType="begin" w:fldLock="1"/>
      </w:r>
      <w:r w:rsidR="007D372C" w:rsidRPr="005E42C1">
        <w:rPr>
          <w:rFonts w:cs="Arial"/>
          <w:sz w:val="24"/>
          <w:szCs w:val="24"/>
        </w:rPr>
        <w:instrText>ADDIN CSL_CITATION { "citationItems" : [ { "id" : "ITEM-1", "itemData" : { "DOI" : "10.1111/vaa.12081", "ISSN" : "14672987", "PMID" : "24134603", "abstract" : "OBJECTIVE: To describe the effects of alpha2 -adrenergic receptor antagonists on the pharmacodynamics of sublingual (SL) detomidine in the horse.\\n\\nSTUDY DESIGN: Randomized crossover design.\\n\\nANIMALS: Nine healthy adult horses with an average age of 7.6\u00a0\u00b1\u00a06.5\u00a0years.\\n\\nMETHODS: Four treatment groups were studied: 1) 0.04\u00a0mg\u00a0kg(-1) detomidine SL; 2) 0.04\u00a0mg\u00a0kg(-1) detomidine SL followed 1\u00a0hour later by 0.075\u00a0mg\u00a0kg(-1) yohimbine intravenously (IV); 3) 0.04\u00a0mg\u00a0kg(-1) detomidine SL followed 1\u00a0hour later by 4\u00a0mg\u00a0kg(-1) tolazoline IV; and 4) 0.04\u00a0mg\u00a0kg(-1) detomidine SL followed 1\u00a0hour later by 0.12\u00a0mg\u00a0kg(-1) atipamezole IV. Each horse received all treatments with a minimum of 1\u00a0week between treatments. Blood samples were obtained and plasma analyzed for yohimbine, atipamezole and tolazoline concentrations by liquid chromatography-mass spectrometry. Behavioral effects, heart rate and rhythm, glucose, packed cell volume (PCV) and plasma proteins were monitored.\\n\\nRESULTS: Chin-to-ground distance increased following administration of the antagonists, however, this effect was transient, with a return to pre-reversal values as early as 1\u00a0hour. Detomidine induced bradycardia and increased incidence of atrioventricular blocks were either transiently or incompletely ant</w:instrText>
      </w:r>
      <w:r w:rsidR="007D372C" w:rsidRPr="005E42C1">
        <w:rPr>
          <w:rFonts w:cs="Arial"/>
          <w:sz w:val="24"/>
          <w:szCs w:val="24"/>
          <w:lang w:val="es-MX"/>
        </w:rPr>
        <w:instrText>agonized by all antagonists. PCV and glucose concentrations increased with tolazoline administration, and atipamezole subjectively increased urination frequency but not volume.\\n\\nCONCLUSIONS AND CLINICAL RELEVANCE: At the doses administered in this study, the alpha2 -adrenergic antagonistic effects of tolazoline, yohimbine and atipamezole on cardiac and behavioral effects elicited by SL administration of detomidine are transient and incomplete.", "author" : [ { "dropping-particle" : "", "family" : "Knych", "given" : "Heather K.", "non-dropping-particle" : "", "parse-names" : false, "suffix" : "" }, { "dropping-particle" : "", "family" : "Stanley", "given" : "Scott D.", "non-dropping-particle" : "", "parse-names" : false, "suffix" : "" } ], "container-title" : "Veterinary Anaesthesia and Analgesia", "id" : "ITEM-1", "issue" : "1", "issued" : { "date-parts" : [ [ "2014" ] ] }, "page" : "36-47", "title" : "Effects of three antagonists on selected pharmacodynamic effects of sublingually administered detomidine in the horse", "type" : "article-journal", "volume" : "41" }, "uris" : [ "http://www.mendeley.com/documents/?uuid=b48e1ff8-e8d2-4ada-aeda-a9bd2c7cad80" ] } ], "mendeley" : { "formattedCitation" : "(Knych and Stanley 2014)", "plainTextFormattedCitation" : "(Knych and Stanley 2014)", "previouslyFormattedCitation" : "(Knych and Stanley 2014)" }, "properties" : { "noteIndex" : 0 }, "schema" : "https://github.com/citation-style-language/schema/raw/master/csl-citation.json" }</w:instrText>
      </w:r>
      <w:r w:rsidRPr="005E42C1">
        <w:rPr>
          <w:rFonts w:cs="Arial"/>
          <w:sz w:val="24"/>
          <w:szCs w:val="24"/>
        </w:rPr>
        <w:fldChar w:fldCharType="separate"/>
      </w:r>
      <w:r w:rsidR="00EC1FE0" w:rsidRPr="005E42C1">
        <w:rPr>
          <w:rFonts w:cs="Arial"/>
          <w:noProof/>
          <w:sz w:val="24"/>
          <w:szCs w:val="24"/>
          <w:lang w:val="es-MX"/>
        </w:rPr>
        <w:t>Knych y</w:t>
      </w:r>
      <w:r w:rsidR="007D372C" w:rsidRPr="005E42C1">
        <w:rPr>
          <w:rFonts w:cs="Arial"/>
          <w:noProof/>
          <w:sz w:val="24"/>
          <w:szCs w:val="24"/>
          <w:lang w:val="es-MX"/>
        </w:rPr>
        <w:t xml:space="preserve"> Stanley</w:t>
      </w:r>
      <w:r w:rsidR="00EC1FE0" w:rsidRPr="005E42C1">
        <w:rPr>
          <w:rFonts w:cs="Arial"/>
          <w:noProof/>
          <w:sz w:val="24"/>
          <w:szCs w:val="24"/>
          <w:lang w:val="es-MX"/>
        </w:rPr>
        <w:t xml:space="preserve"> (</w:t>
      </w:r>
      <w:r w:rsidR="007D372C" w:rsidRPr="005E42C1">
        <w:rPr>
          <w:rFonts w:cs="Arial"/>
          <w:noProof/>
          <w:sz w:val="24"/>
          <w:szCs w:val="24"/>
          <w:lang w:val="es-MX"/>
        </w:rPr>
        <w:t>2014)</w:t>
      </w:r>
      <w:r w:rsidRPr="005E42C1">
        <w:rPr>
          <w:rFonts w:cs="Arial"/>
          <w:sz w:val="24"/>
          <w:szCs w:val="24"/>
        </w:rPr>
        <w:fldChar w:fldCharType="end"/>
      </w:r>
      <w:r w:rsidR="00EC1FE0" w:rsidRPr="005E42C1">
        <w:rPr>
          <w:rFonts w:cs="Arial"/>
          <w:sz w:val="24"/>
          <w:szCs w:val="24"/>
        </w:rPr>
        <w:t>,</w:t>
      </w:r>
      <w:r w:rsidR="00CF4EA4" w:rsidRPr="005E42C1">
        <w:rPr>
          <w:rFonts w:cs="Arial"/>
          <w:sz w:val="24"/>
          <w:szCs w:val="24"/>
        </w:rPr>
        <w:t xml:space="preserve"> describ</w:t>
      </w:r>
      <w:r w:rsidR="00EC1FE0" w:rsidRPr="005E42C1">
        <w:rPr>
          <w:rFonts w:cs="Arial"/>
          <w:sz w:val="24"/>
          <w:szCs w:val="24"/>
        </w:rPr>
        <w:t xml:space="preserve">ieron </w:t>
      </w:r>
      <w:r w:rsidR="007D372C" w:rsidRPr="005E42C1">
        <w:rPr>
          <w:rFonts w:cs="Arial"/>
          <w:sz w:val="24"/>
          <w:szCs w:val="24"/>
        </w:rPr>
        <w:t xml:space="preserve">los efectos de </w:t>
      </w:r>
      <w:r w:rsidR="00EC1FE0" w:rsidRPr="005E42C1">
        <w:rPr>
          <w:rFonts w:cs="Arial"/>
          <w:sz w:val="24"/>
          <w:szCs w:val="24"/>
        </w:rPr>
        <w:t xml:space="preserve">los </w:t>
      </w:r>
      <w:r w:rsidR="007D372C" w:rsidRPr="005E42C1">
        <w:rPr>
          <w:rFonts w:cs="Arial"/>
          <w:sz w:val="24"/>
          <w:szCs w:val="24"/>
        </w:rPr>
        <w:t xml:space="preserve">antagonistas </w:t>
      </w:r>
      <w:r w:rsidR="00EC1FE0" w:rsidRPr="005E42C1">
        <w:rPr>
          <w:rFonts w:cs="Arial"/>
          <w:sz w:val="24"/>
          <w:szCs w:val="24"/>
        </w:rPr>
        <w:t>alfa</w:t>
      </w:r>
      <w:r w:rsidR="0037137F">
        <w:rPr>
          <w:rFonts w:cs="Arial"/>
          <w:sz w:val="24"/>
          <w:szCs w:val="24"/>
        </w:rPr>
        <w:t xml:space="preserve"> </w:t>
      </w:r>
      <w:r w:rsidR="00CF4EA4" w:rsidRPr="005E42C1">
        <w:rPr>
          <w:rFonts w:cs="Arial"/>
          <w:sz w:val="24"/>
          <w:szCs w:val="24"/>
        </w:rPr>
        <w:t xml:space="preserve">2-adrenérgicos de la </w:t>
      </w:r>
      <w:r w:rsidR="00B56224">
        <w:rPr>
          <w:rFonts w:cs="Arial"/>
          <w:sz w:val="24"/>
          <w:szCs w:val="24"/>
        </w:rPr>
        <w:t>DET</w:t>
      </w:r>
      <w:r w:rsidR="00CF4EA4" w:rsidRPr="005E42C1">
        <w:rPr>
          <w:rFonts w:cs="Arial"/>
          <w:sz w:val="24"/>
          <w:szCs w:val="24"/>
        </w:rPr>
        <w:t xml:space="preserve"> </w:t>
      </w:r>
      <w:r w:rsidR="00EC1FE0" w:rsidRPr="005E42C1">
        <w:rPr>
          <w:rFonts w:cs="Arial"/>
          <w:sz w:val="24"/>
          <w:szCs w:val="24"/>
        </w:rPr>
        <w:t xml:space="preserve">cuando esta es </w:t>
      </w:r>
      <w:r w:rsidR="00CF4EA4" w:rsidRPr="005E42C1">
        <w:rPr>
          <w:rFonts w:cs="Arial"/>
          <w:sz w:val="24"/>
          <w:szCs w:val="24"/>
        </w:rPr>
        <w:t xml:space="preserve">aplicada </w:t>
      </w:r>
      <w:r w:rsidR="00EC1FE0" w:rsidRPr="005E42C1">
        <w:rPr>
          <w:rFonts w:cs="Arial"/>
          <w:sz w:val="24"/>
          <w:szCs w:val="24"/>
        </w:rPr>
        <w:t xml:space="preserve">por vía </w:t>
      </w:r>
      <w:r w:rsidR="00CF4EA4" w:rsidRPr="005E42C1">
        <w:rPr>
          <w:rFonts w:cs="Arial"/>
          <w:sz w:val="24"/>
          <w:szCs w:val="24"/>
        </w:rPr>
        <w:t>sublingual en el caballo</w:t>
      </w:r>
      <w:r w:rsidR="007D372C" w:rsidRPr="005E42C1">
        <w:rPr>
          <w:rFonts w:cs="Arial"/>
          <w:sz w:val="24"/>
          <w:szCs w:val="24"/>
        </w:rPr>
        <w:t xml:space="preserve">. </w:t>
      </w:r>
      <w:r w:rsidR="00893B00" w:rsidRPr="005E42C1">
        <w:rPr>
          <w:rFonts w:cs="Arial"/>
          <w:sz w:val="24"/>
          <w:szCs w:val="24"/>
        </w:rPr>
        <w:t xml:space="preserve">En el estudio se incluyeron </w:t>
      </w:r>
      <w:r w:rsidR="007D372C" w:rsidRPr="005E42C1">
        <w:rPr>
          <w:rFonts w:cs="Arial"/>
          <w:sz w:val="24"/>
          <w:szCs w:val="24"/>
        </w:rPr>
        <w:t xml:space="preserve">nueve caballos sanos </w:t>
      </w:r>
      <w:r w:rsidR="00893B00" w:rsidRPr="005E42C1">
        <w:rPr>
          <w:rFonts w:cs="Arial"/>
          <w:sz w:val="24"/>
          <w:szCs w:val="24"/>
        </w:rPr>
        <w:t xml:space="preserve">que fueron divididos en </w:t>
      </w:r>
      <w:r w:rsidR="007D372C" w:rsidRPr="005E42C1">
        <w:rPr>
          <w:rFonts w:cs="Arial"/>
          <w:sz w:val="24"/>
          <w:szCs w:val="24"/>
        </w:rPr>
        <w:t xml:space="preserve">cuatro </w:t>
      </w:r>
      <w:r w:rsidR="00893B00" w:rsidRPr="005E42C1">
        <w:rPr>
          <w:rFonts w:cs="Arial"/>
          <w:sz w:val="24"/>
          <w:szCs w:val="24"/>
        </w:rPr>
        <w:t>tratamientos,</w:t>
      </w:r>
      <w:r w:rsidR="007D372C" w:rsidRPr="005E42C1">
        <w:rPr>
          <w:rFonts w:cs="Arial"/>
          <w:sz w:val="24"/>
          <w:szCs w:val="24"/>
        </w:rPr>
        <w:t xml:space="preserve"> </w:t>
      </w:r>
      <w:r w:rsidR="00893B00" w:rsidRPr="005E42C1">
        <w:rPr>
          <w:rFonts w:cs="Arial"/>
          <w:sz w:val="24"/>
          <w:szCs w:val="24"/>
        </w:rPr>
        <w:t>en los cuales cada caballo recibió</w:t>
      </w:r>
      <w:r w:rsidR="007D372C" w:rsidRPr="005E42C1">
        <w:rPr>
          <w:rFonts w:cs="Arial"/>
          <w:sz w:val="24"/>
          <w:szCs w:val="24"/>
        </w:rPr>
        <w:t xml:space="preserve"> todos los tratamientos </w:t>
      </w:r>
      <w:r w:rsidR="00893B00" w:rsidRPr="005E42C1">
        <w:rPr>
          <w:rFonts w:cs="Arial"/>
          <w:sz w:val="24"/>
          <w:szCs w:val="24"/>
        </w:rPr>
        <w:t xml:space="preserve">considerando como </w:t>
      </w:r>
      <w:r w:rsidR="007D372C" w:rsidRPr="005E42C1">
        <w:rPr>
          <w:rFonts w:cs="Arial"/>
          <w:sz w:val="24"/>
          <w:szCs w:val="24"/>
        </w:rPr>
        <w:t xml:space="preserve">mínimo </w:t>
      </w:r>
      <w:r w:rsidR="00146395">
        <w:rPr>
          <w:rFonts w:cs="Arial"/>
          <w:sz w:val="24"/>
          <w:szCs w:val="24"/>
        </w:rPr>
        <w:t>una</w:t>
      </w:r>
      <w:r w:rsidR="00CF4EA4" w:rsidRPr="005E42C1">
        <w:rPr>
          <w:rFonts w:cs="Arial"/>
          <w:sz w:val="24"/>
          <w:szCs w:val="24"/>
        </w:rPr>
        <w:t xml:space="preserve"> semana entre tratamientos. </w:t>
      </w:r>
      <w:r w:rsidR="007D372C" w:rsidRPr="005E42C1">
        <w:rPr>
          <w:rFonts w:cs="Arial"/>
          <w:sz w:val="24"/>
          <w:szCs w:val="24"/>
        </w:rPr>
        <w:t>Se obtuvieron muestras de sangre</w:t>
      </w:r>
      <w:r w:rsidR="00893B00" w:rsidRPr="005E42C1">
        <w:rPr>
          <w:rFonts w:cs="Arial"/>
          <w:sz w:val="24"/>
          <w:szCs w:val="24"/>
        </w:rPr>
        <w:t xml:space="preserve"> y </w:t>
      </w:r>
      <w:r w:rsidR="00CF4EA4" w:rsidRPr="005E42C1">
        <w:rPr>
          <w:rFonts w:cs="Arial"/>
          <w:sz w:val="24"/>
          <w:szCs w:val="24"/>
        </w:rPr>
        <w:t xml:space="preserve">se analizaron </w:t>
      </w:r>
      <w:r w:rsidR="00893B00" w:rsidRPr="005E42C1">
        <w:rPr>
          <w:rFonts w:cs="Arial"/>
          <w:sz w:val="24"/>
          <w:szCs w:val="24"/>
        </w:rPr>
        <w:t xml:space="preserve">las </w:t>
      </w:r>
      <w:r w:rsidR="00910A9E" w:rsidRPr="005E42C1">
        <w:rPr>
          <w:rFonts w:cs="Arial"/>
          <w:sz w:val="24"/>
          <w:szCs w:val="24"/>
        </w:rPr>
        <w:t xml:space="preserve">concentraciones </w:t>
      </w:r>
      <w:r w:rsidR="00893B00" w:rsidRPr="005E42C1">
        <w:rPr>
          <w:rFonts w:cs="Arial"/>
          <w:sz w:val="24"/>
          <w:szCs w:val="24"/>
        </w:rPr>
        <w:t xml:space="preserve">de </w:t>
      </w:r>
      <w:r w:rsidR="00E43E78">
        <w:rPr>
          <w:rFonts w:cs="Arial"/>
          <w:sz w:val="24"/>
          <w:szCs w:val="24"/>
        </w:rPr>
        <w:t>YOH</w:t>
      </w:r>
      <w:r w:rsidR="00893B00" w:rsidRPr="005E42C1">
        <w:rPr>
          <w:rFonts w:cs="Arial"/>
          <w:sz w:val="24"/>
          <w:szCs w:val="24"/>
        </w:rPr>
        <w:t xml:space="preserve">, atipamezol y tolazolina </w:t>
      </w:r>
      <w:r w:rsidR="00910A9E" w:rsidRPr="005E42C1">
        <w:rPr>
          <w:rFonts w:cs="Arial"/>
          <w:sz w:val="24"/>
          <w:szCs w:val="24"/>
        </w:rPr>
        <w:t>mediante cromatografía líquida</w:t>
      </w:r>
      <w:r w:rsidR="00910A9E" w:rsidRPr="00065198">
        <w:rPr>
          <w:rFonts w:cs="Arial"/>
          <w:sz w:val="24"/>
          <w:szCs w:val="24"/>
        </w:rPr>
        <w:t xml:space="preserve"> </w:t>
      </w:r>
      <w:r w:rsidR="00910A9E">
        <w:rPr>
          <w:rFonts w:cs="Arial"/>
          <w:sz w:val="24"/>
          <w:szCs w:val="24"/>
        </w:rPr>
        <w:t xml:space="preserve">por espectrometría de </w:t>
      </w:r>
      <w:r w:rsidR="00910A9E" w:rsidRPr="00893B00">
        <w:rPr>
          <w:rFonts w:cs="Arial"/>
          <w:sz w:val="24"/>
          <w:szCs w:val="24"/>
        </w:rPr>
        <w:t>masas</w:t>
      </w:r>
      <w:r w:rsidR="007D372C" w:rsidRPr="00893B00">
        <w:rPr>
          <w:rFonts w:cs="Arial"/>
          <w:sz w:val="24"/>
          <w:szCs w:val="24"/>
        </w:rPr>
        <w:t>. Las muestras se recogieron en el momento 0 (</w:t>
      </w:r>
      <w:r w:rsidR="00910A9E" w:rsidRPr="00893B00">
        <w:rPr>
          <w:rFonts w:cs="Arial"/>
          <w:sz w:val="24"/>
          <w:szCs w:val="24"/>
        </w:rPr>
        <w:t xml:space="preserve">antes de la administración de </w:t>
      </w:r>
      <w:r w:rsidR="00B56224">
        <w:rPr>
          <w:rFonts w:cs="Arial"/>
          <w:sz w:val="24"/>
          <w:szCs w:val="24"/>
        </w:rPr>
        <w:t>DET</w:t>
      </w:r>
      <w:r w:rsidR="007D372C" w:rsidRPr="00893B00">
        <w:rPr>
          <w:rFonts w:cs="Arial"/>
          <w:sz w:val="24"/>
          <w:szCs w:val="24"/>
        </w:rPr>
        <w:t xml:space="preserve">) y 1 hora </w:t>
      </w:r>
      <w:r w:rsidR="00CF4EA4" w:rsidRPr="00893B00">
        <w:rPr>
          <w:rFonts w:cs="Arial"/>
          <w:sz w:val="24"/>
          <w:szCs w:val="24"/>
        </w:rPr>
        <w:t xml:space="preserve">después de la administración de </w:t>
      </w:r>
      <w:r w:rsidR="00B56224">
        <w:rPr>
          <w:rFonts w:cs="Arial"/>
          <w:sz w:val="24"/>
          <w:szCs w:val="24"/>
        </w:rPr>
        <w:t>DET</w:t>
      </w:r>
      <w:r w:rsidR="007D372C" w:rsidRPr="00893B00">
        <w:rPr>
          <w:rFonts w:cs="Arial"/>
          <w:sz w:val="24"/>
          <w:szCs w:val="24"/>
        </w:rPr>
        <w:t xml:space="preserve"> (antes de la administración </w:t>
      </w:r>
      <w:r w:rsidR="00893B00" w:rsidRPr="00893B00">
        <w:rPr>
          <w:rFonts w:cs="Arial"/>
          <w:sz w:val="24"/>
          <w:szCs w:val="24"/>
        </w:rPr>
        <w:t xml:space="preserve">del </w:t>
      </w:r>
      <w:r w:rsidR="007D372C" w:rsidRPr="00893B00">
        <w:rPr>
          <w:rFonts w:cs="Arial"/>
          <w:sz w:val="24"/>
          <w:szCs w:val="24"/>
        </w:rPr>
        <w:t xml:space="preserve">antagonista) y </w:t>
      </w:r>
      <w:r w:rsidR="00893B00" w:rsidRPr="00893B00">
        <w:rPr>
          <w:rFonts w:cs="Arial"/>
          <w:sz w:val="24"/>
          <w:szCs w:val="24"/>
        </w:rPr>
        <w:t xml:space="preserve">a los </w:t>
      </w:r>
      <w:r w:rsidR="007D372C" w:rsidRPr="00893B00">
        <w:rPr>
          <w:rFonts w:cs="Arial"/>
          <w:sz w:val="24"/>
          <w:szCs w:val="24"/>
        </w:rPr>
        <w:t>5</w:t>
      </w:r>
      <w:r w:rsidR="00893B00" w:rsidRPr="00893B00">
        <w:rPr>
          <w:rFonts w:cs="Arial"/>
          <w:sz w:val="24"/>
          <w:szCs w:val="24"/>
        </w:rPr>
        <w:t>, 10, 15, 30, 45 minutos y 1, 1.5, 2, 2.</w:t>
      </w:r>
      <w:r w:rsidR="007D372C" w:rsidRPr="00893B00">
        <w:rPr>
          <w:rFonts w:cs="Arial"/>
          <w:sz w:val="24"/>
          <w:szCs w:val="24"/>
        </w:rPr>
        <w:t xml:space="preserve">5, 3, 4, 5, 6, 8, 12, 18, 24, 36, 48 y 72 horas después de la </w:t>
      </w:r>
      <w:r w:rsidR="00CF4EA4" w:rsidRPr="00893B00">
        <w:rPr>
          <w:rFonts w:cs="Arial"/>
          <w:sz w:val="24"/>
          <w:szCs w:val="24"/>
        </w:rPr>
        <w:t xml:space="preserve">administración del </w:t>
      </w:r>
      <w:r w:rsidR="00CF4EA4" w:rsidRPr="00622D25">
        <w:rPr>
          <w:rFonts w:cs="Arial"/>
          <w:sz w:val="24"/>
          <w:szCs w:val="24"/>
        </w:rPr>
        <w:t>antagonista</w:t>
      </w:r>
      <w:r w:rsidR="00622D25" w:rsidRPr="00622D25">
        <w:rPr>
          <w:rFonts w:cs="Arial"/>
          <w:sz w:val="24"/>
          <w:szCs w:val="24"/>
        </w:rPr>
        <w:t xml:space="preserve">. </w:t>
      </w:r>
      <w:r w:rsidR="003F0117" w:rsidRPr="00622D25">
        <w:rPr>
          <w:rFonts w:cs="Arial"/>
          <w:sz w:val="24"/>
          <w:szCs w:val="24"/>
        </w:rPr>
        <w:t>Se administ</w:t>
      </w:r>
      <w:r w:rsidR="00622D25" w:rsidRPr="00622D25">
        <w:rPr>
          <w:rFonts w:cs="Arial"/>
          <w:sz w:val="24"/>
          <w:szCs w:val="24"/>
        </w:rPr>
        <w:t>raron cuatro tratamientos: 1) 0.</w:t>
      </w:r>
      <w:r w:rsidR="003F0117" w:rsidRPr="009D24F4">
        <w:rPr>
          <w:rFonts w:cs="Arial"/>
          <w:color w:val="000000" w:themeColor="text1"/>
          <w:sz w:val="24"/>
          <w:szCs w:val="24"/>
        </w:rPr>
        <w:t>04 mg</w:t>
      </w:r>
      <w:r w:rsidR="002D0D38" w:rsidRPr="009D24F4">
        <w:rPr>
          <w:rFonts w:cs="Arial"/>
          <w:color w:val="000000" w:themeColor="text1"/>
          <w:sz w:val="24"/>
          <w:szCs w:val="24"/>
        </w:rPr>
        <w:t>/</w:t>
      </w:r>
      <w:r w:rsidR="003F0117" w:rsidRPr="009D24F4">
        <w:rPr>
          <w:rFonts w:cs="Arial"/>
          <w:color w:val="000000" w:themeColor="text1"/>
          <w:sz w:val="24"/>
          <w:szCs w:val="24"/>
        </w:rPr>
        <w:t>kg DET (Dormosedan Gel, Pfizer Salud Anima</w:t>
      </w:r>
      <w:r w:rsidR="00622D25" w:rsidRPr="009D24F4">
        <w:rPr>
          <w:rFonts w:cs="Arial"/>
          <w:color w:val="000000" w:themeColor="text1"/>
          <w:sz w:val="24"/>
          <w:szCs w:val="24"/>
        </w:rPr>
        <w:t xml:space="preserve">l, Nueva York, EE.UU.) </w:t>
      </w:r>
      <w:r w:rsidR="0037137F" w:rsidRPr="009D24F4">
        <w:rPr>
          <w:rFonts w:cs="Arial"/>
          <w:color w:val="000000" w:themeColor="text1"/>
          <w:sz w:val="24"/>
          <w:szCs w:val="24"/>
        </w:rPr>
        <w:t>vía Sublingual (</w:t>
      </w:r>
      <w:r w:rsidR="00622D25" w:rsidRPr="009D24F4">
        <w:rPr>
          <w:rFonts w:cs="Arial"/>
          <w:color w:val="000000" w:themeColor="text1"/>
          <w:sz w:val="24"/>
          <w:szCs w:val="24"/>
        </w:rPr>
        <w:t>SL</w:t>
      </w:r>
      <w:r w:rsidR="0037137F" w:rsidRPr="009D24F4">
        <w:rPr>
          <w:rFonts w:cs="Arial"/>
          <w:color w:val="000000" w:themeColor="text1"/>
          <w:sz w:val="24"/>
          <w:szCs w:val="24"/>
        </w:rPr>
        <w:t>)</w:t>
      </w:r>
      <w:r w:rsidR="00622D25" w:rsidRPr="009D24F4">
        <w:rPr>
          <w:rFonts w:cs="Arial"/>
          <w:color w:val="000000" w:themeColor="text1"/>
          <w:sz w:val="24"/>
          <w:szCs w:val="24"/>
        </w:rPr>
        <w:t>. 2) 0.</w:t>
      </w:r>
      <w:r w:rsidR="002D0D38" w:rsidRPr="009D24F4">
        <w:rPr>
          <w:rFonts w:cs="Arial"/>
          <w:color w:val="000000" w:themeColor="text1"/>
          <w:sz w:val="24"/>
          <w:szCs w:val="24"/>
        </w:rPr>
        <w:t>04 mg/</w:t>
      </w:r>
      <w:r w:rsidR="003F0117" w:rsidRPr="009D24F4">
        <w:rPr>
          <w:rFonts w:cs="Arial"/>
          <w:color w:val="000000" w:themeColor="text1"/>
          <w:sz w:val="24"/>
          <w:szCs w:val="24"/>
        </w:rPr>
        <w:t>kg</w:t>
      </w:r>
      <w:r w:rsidR="00622D25" w:rsidRPr="009D24F4">
        <w:rPr>
          <w:rFonts w:cs="Arial"/>
          <w:color w:val="000000" w:themeColor="text1"/>
          <w:sz w:val="24"/>
          <w:szCs w:val="24"/>
        </w:rPr>
        <w:t xml:space="preserve"> DET </w:t>
      </w:r>
      <w:r w:rsidR="0037137F" w:rsidRPr="009D24F4">
        <w:rPr>
          <w:rFonts w:cs="Arial"/>
          <w:color w:val="000000" w:themeColor="text1"/>
          <w:sz w:val="24"/>
          <w:szCs w:val="24"/>
        </w:rPr>
        <w:t xml:space="preserve">SL </w:t>
      </w:r>
      <w:r w:rsidR="00622D25" w:rsidRPr="009D24F4">
        <w:rPr>
          <w:rFonts w:cs="Arial"/>
          <w:color w:val="000000" w:themeColor="text1"/>
          <w:sz w:val="24"/>
          <w:szCs w:val="24"/>
        </w:rPr>
        <w:t xml:space="preserve">y </w:t>
      </w:r>
      <w:r w:rsidR="008F7985" w:rsidRPr="009D24F4">
        <w:rPr>
          <w:rFonts w:cs="Arial"/>
          <w:color w:val="000000" w:themeColor="text1"/>
          <w:sz w:val="24"/>
          <w:szCs w:val="24"/>
        </w:rPr>
        <w:t xml:space="preserve">1 hora más tarde </w:t>
      </w:r>
      <w:r w:rsidR="00D8178B" w:rsidRPr="009D24F4">
        <w:rPr>
          <w:rFonts w:cs="Arial"/>
          <w:color w:val="000000" w:themeColor="text1"/>
          <w:sz w:val="24"/>
          <w:szCs w:val="24"/>
        </w:rPr>
        <w:t xml:space="preserve">se </w:t>
      </w:r>
      <w:r w:rsidR="00146395" w:rsidRPr="009D24F4">
        <w:rPr>
          <w:rFonts w:cs="Arial"/>
          <w:color w:val="000000" w:themeColor="text1"/>
          <w:sz w:val="24"/>
          <w:szCs w:val="24"/>
        </w:rPr>
        <w:t>continuó</w:t>
      </w:r>
      <w:r w:rsidR="00D8178B" w:rsidRPr="009D24F4">
        <w:rPr>
          <w:rFonts w:cs="Arial"/>
          <w:color w:val="000000" w:themeColor="text1"/>
          <w:sz w:val="24"/>
          <w:szCs w:val="24"/>
        </w:rPr>
        <w:t xml:space="preserve"> con</w:t>
      </w:r>
      <w:r w:rsidR="008F7985" w:rsidRPr="009D24F4">
        <w:rPr>
          <w:rFonts w:cs="Arial"/>
          <w:color w:val="000000" w:themeColor="text1"/>
          <w:sz w:val="24"/>
          <w:szCs w:val="24"/>
        </w:rPr>
        <w:t xml:space="preserve"> la administración de</w:t>
      </w:r>
      <w:r w:rsidR="002D0D38" w:rsidRPr="009D24F4">
        <w:rPr>
          <w:rFonts w:cs="Arial"/>
          <w:color w:val="000000" w:themeColor="text1"/>
          <w:sz w:val="24"/>
          <w:szCs w:val="24"/>
        </w:rPr>
        <w:t xml:space="preserve"> 0.075 mg/</w:t>
      </w:r>
      <w:r w:rsidR="003F0117" w:rsidRPr="009D24F4">
        <w:rPr>
          <w:rFonts w:cs="Arial"/>
          <w:color w:val="000000" w:themeColor="text1"/>
          <w:sz w:val="24"/>
          <w:szCs w:val="24"/>
        </w:rPr>
        <w:t>kg</w:t>
      </w:r>
      <w:r w:rsidR="00FF1D65" w:rsidRPr="009D24F4">
        <w:rPr>
          <w:rFonts w:cs="Arial"/>
          <w:color w:val="000000" w:themeColor="text1"/>
          <w:sz w:val="24"/>
          <w:szCs w:val="24"/>
        </w:rPr>
        <w:t xml:space="preserve"> de </w:t>
      </w:r>
      <w:r w:rsidR="00E43E78" w:rsidRPr="009D24F4">
        <w:rPr>
          <w:rFonts w:cs="Arial"/>
          <w:color w:val="000000" w:themeColor="text1"/>
          <w:sz w:val="24"/>
          <w:szCs w:val="24"/>
        </w:rPr>
        <w:t>YOH</w:t>
      </w:r>
      <w:r w:rsidR="00FF1D65" w:rsidRPr="009D24F4">
        <w:rPr>
          <w:rFonts w:cs="Arial"/>
          <w:color w:val="000000" w:themeColor="text1"/>
          <w:sz w:val="24"/>
          <w:szCs w:val="24"/>
        </w:rPr>
        <w:t xml:space="preserve"> </w:t>
      </w:r>
      <w:r w:rsidR="003F0117" w:rsidRPr="009D24F4">
        <w:rPr>
          <w:rFonts w:cs="Arial"/>
          <w:color w:val="000000" w:themeColor="text1"/>
          <w:sz w:val="24"/>
          <w:szCs w:val="24"/>
        </w:rPr>
        <w:t xml:space="preserve"> (Yobine, Lloyd laborator</w:t>
      </w:r>
      <w:r w:rsidR="002D0D38" w:rsidRPr="009D24F4">
        <w:rPr>
          <w:rFonts w:cs="Arial"/>
          <w:color w:val="000000" w:themeColor="text1"/>
          <w:sz w:val="24"/>
          <w:szCs w:val="24"/>
        </w:rPr>
        <w:t xml:space="preserve">ios, IA, EE.UU.) </w:t>
      </w:r>
      <w:r w:rsidR="00BD73F6" w:rsidRPr="009D24F4">
        <w:rPr>
          <w:rFonts w:cs="Arial"/>
          <w:color w:val="000000" w:themeColor="text1"/>
          <w:sz w:val="24"/>
          <w:szCs w:val="24"/>
        </w:rPr>
        <w:t>vía intravenosa (</w:t>
      </w:r>
      <w:r w:rsidR="002D0D38" w:rsidRPr="009D24F4">
        <w:rPr>
          <w:rFonts w:cs="Arial"/>
          <w:color w:val="000000" w:themeColor="text1"/>
          <w:sz w:val="24"/>
          <w:szCs w:val="24"/>
        </w:rPr>
        <w:t>IV</w:t>
      </w:r>
      <w:r w:rsidR="00BD73F6" w:rsidRPr="009D24F4">
        <w:rPr>
          <w:rFonts w:cs="Arial"/>
          <w:color w:val="000000" w:themeColor="text1"/>
          <w:sz w:val="24"/>
          <w:szCs w:val="24"/>
        </w:rPr>
        <w:t>)</w:t>
      </w:r>
      <w:r w:rsidR="002D0D38" w:rsidRPr="009D24F4">
        <w:rPr>
          <w:rFonts w:cs="Arial"/>
          <w:color w:val="000000" w:themeColor="text1"/>
          <w:sz w:val="24"/>
          <w:szCs w:val="24"/>
        </w:rPr>
        <w:t>. 3) 0,04 mg/</w:t>
      </w:r>
      <w:r w:rsidR="003F0117" w:rsidRPr="009D24F4">
        <w:rPr>
          <w:rFonts w:cs="Arial"/>
          <w:color w:val="000000" w:themeColor="text1"/>
          <w:sz w:val="24"/>
          <w:szCs w:val="24"/>
        </w:rPr>
        <w:t>kg DET SL</w:t>
      </w:r>
      <w:r w:rsidR="008F7985" w:rsidRPr="009D24F4">
        <w:rPr>
          <w:rFonts w:cs="Arial"/>
          <w:color w:val="000000" w:themeColor="text1"/>
          <w:sz w:val="24"/>
          <w:szCs w:val="24"/>
        </w:rPr>
        <w:t>, una</w:t>
      </w:r>
      <w:r w:rsidR="003F0117" w:rsidRPr="009D24F4">
        <w:rPr>
          <w:rFonts w:cs="Arial"/>
          <w:color w:val="000000" w:themeColor="text1"/>
          <w:sz w:val="24"/>
          <w:szCs w:val="24"/>
        </w:rPr>
        <w:t xml:space="preserve"> 1 hora después</w:t>
      </w:r>
      <w:r w:rsidR="00622D25" w:rsidRPr="009D24F4">
        <w:rPr>
          <w:rFonts w:cs="Arial"/>
          <w:color w:val="000000" w:themeColor="text1"/>
          <w:sz w:val="24"/>
          <w:szCs w:val="24"/>
        </w:rPr>
        <w:t xml:space="preserve"> se </w:t>
      </w:r>
      <w:r w:rsidR="0037137F" w:rsidRPr="009D24F4">
        <w:rPr>
          <w:rFonts w:cs="Arial"/>
          <w:color w:val="000000" w:themeColor="text1"/>
          <w:sz w:val="24"/>
          <w:szCs w:val="24"/>
        </w:rPr>
        <w:t>administraron</w:t>
      </w:r>
      <w:r w:rsidR="002D0D38" w:rsidRPr="009D24F4">
        <w:rPr>
          <w:rFonts w:cs="Arial"/>
          <w:color w:val="000000" w:themeColor="text1"/>
          <w:sz w:val="24"/>
          <w:szCs w:val="24"/>
        </w:rPr>
        <w:t xml:space="preserve"> 4 mg/</w:t>
      </w:r>
      <w:r w:rsidR="003F0117" w:rsidRPr="009D24F4">
        <w:rPr>
          <w:rFonts w:cs="Arial"/>
          <w:color w:val="000000" w:themeColor="text1"/>
          <w:sz w:val="24"/>
          <w:szCs w:val="24"/>
        </w:rPr>
        <w:t xml:space="preserve">kg </w:t>
      </w:r>
      <w:r w:rsidR="008F7985" w:rsidRPr="009D24F4">
        <w:rPr>
          <w:rFonts w:cs="Arial"/>
          <w:color w:val="000000" w:themeColor="text1"/>
          <w:sz w:val="24"/>
          <w:szCs w:val="24"/>
        </w:rPr>
        <w:t xml:space="preserve">de </w:t>
      </w:r>
      <w:r w:rsidR="003F0117" w:rsidRPr="009D24F4">
        <w:rPr>
          <w:rFonts w:cs="Arial"/>
          <w:color w:val="000000" w:themeColor="text1"/>
          <w:sz w:val="24"/>
          <w:szCs w:val="24"/>
        </w:rPr>
        <w:t>tolazolina (Tolazolina, Lloyd Laboratories) I</w:t>
      </w:r>
      <w:r w:rsidR="00622D25" w:rsidRPr="009D24F4">
        <w:rPr>
          <w:rFonts w:cs="Arial"/>
          <w:color w:val="000000" w:themeColor="text1"/>
          <w:sz w:val="24"/>
          <w:szCs w:val="24"/>
        </w:rPr>
        <w:t>V. 4) 0.</w:t>
      </w:r>
      <w:r w:rsidR="002D0D38" w:rsidRPr="009D24F4">
        <w:rPr>
          <w:rFonts w:cs="Arial"/>
          <w:color w:val="000000" w:themeColor="text1"/>
          <w:sz w:val="24"/>
          <w:szCs w:val="24"/>
        </w:rPr>
        <w:t>04 mg/</w:t>
      </w:r>
      <w:r w:rsidR="00FF1D65" w:rsidRPr="009D24F4">
        <w:rPr>
          <w:rFonts w:cs="Arial"/>
          <w:color w:val="000000" w:themeColor="text1"/>
          <w:sz w:val="24"/>
          <w:szCs w:val="24"/>
        </w:rPr>
        <w:t>kg de DET</w:t>
      </w:r>
      <w:r w:rsidR="008F7985" w:rsidRPr="009D24F4">
        <w:rPr>
          <w:rFonts w:cs="Arial"/>
          <w:color w:val="000000" w:themeColor="text1"/>
          <w:sz w:val="24"/>
          <w:szCs w:val="24"/>
        </w:rPr>
        <w:t xml:space="preserve"> SL, una</w:t>
      </w:r>
      <w:r w:rsidR="00622D25" w:rsidRPr="009D24F4">
        <w:rPr>
          <w:rFonts w:cs="Arial"/>
          <w:color w:val="000000" w:themeColor="text1"/>
          <w:sz w:val="24"/>
          <w:szCs w:val="24"/>
        </w:rPr>
        <w:t xml:space="preserve"> </w:t>
      </w:r>
      <w:r w:rsidR="003F0117" w:rsidRPr="009D24F4">
        <w:rPr>
          <w:rFonts w:cs="Arial"/>
          <w:color w:val="000000" w:themeColor="text1"/>
          <w:sz w:val="24"/>
          <w:szCs w:val="24"/>
        </w:rPr>
        <w:t>hora más tarde</w:t>
      </w:r>
      <w:r w:rsidR="00622D25" w:rsidRPr="009D24F4">
        <w:rPr>
          <w:rFonts w:cs="Arial"/>
          <w:color w:val="000000" w:themeColor="text1"/>
          <w:sz w:val="24"/>
          <w:szCs w:val="24"/>
        </w:rPr>
        <w:t xml:space="preserve"> se administró</w:t>
      </w:r>
      <w:r w:rsidR="008F7985" w:rsidRPr="009D24F4">
        <w:rPr>
          <w:rFonts w:cs="Arial"/>
          <w:color w:val="000000" w:themeColor="text1"/>
          <w:sz w:val="24"/>
          <w:szCs w:val="24"/>
        </w:rPr>
        <w:t xml:space="preserve"> </w:t>
      </w:r>
      <w:r w:rsidR="00622D25" w:rsidRPr="009D24F4">
        <w:rPr>
          <w:rFonts w:cs="Arial"/>
          <w:color w:val="000000" w:themeColor="text1"/>
          <w:sz w:val="24"/>
          <w:szCs w:val="24"/>
        </w:rPr>
        <w:t>0.</w:t>
      </w:r>
      <w:r w:rsidR="003F0117" w:rsidRPr="009D24F4">
        <w:rPr>
          <w:rFonts w:cs="Arial"/>
          <w:color w:val="000000" w:themeColor="text1"/>
          <w:sz w:val="24"/>
          <w:szCs w:val="24"/>
        </w:rPr>
        <w:t>12 mg</w:t>
      </w:r>
      <w:r w:rsidR="002D0D38" w:rsidRPr="009D24F4">
        <w:rPr>
          <w:rFonts w:cs="Arial"/>
          <w:color w:val="000000" w:themeColor="text1"/>
          <w:sz w:val="24"/>
          <w:szCs w:val="24"/>
        </w:rPr>
        <w:t>/</w:t>
      </w:r>
      <w:r w:rsidR="003F0117" w:rsidRPr="009D24F4">
        <w:rPr>
          <w:rFonts w:cs="Arial"/>
          <w:color w:val="000000" w:themeColor="text1"/>
          <w:sz w:val="24"/>
          <w:szCs w:val="24"/>
        </w:rPr>
        <w:t xml:space="preserve">kg </w:t>
      </w:r>
      <w:r w:rsidR="008F7985" w:rsidRPr="009D24F4">
        <w:rPr>
          <w:rFonts w:cs="Arial"/>
          <w:color w:val="000000" w:themeColor="text1"/>
          <w:sz w:val="24"/>
          <w:szCs w:val="24"/>
        </w:rPr>
        <w:t xml:space="preserve">de </w:t>
      </w:r>
      <w:r w:rsidR="003F0117" w:rsidRPr="00622D25">
        <w:rPr>
          <w:rFonts w:cs="Arial"/>
          <w:sz w:val="24"/>
          <w:szCs w:val="24"/>
        </w:rPr>
        <w:t xml:space="preserve">atipamezol (Antisedan, Salud Pfizer Animal) </w:t>
      </w:r>
      <w:r w:rsidR="00622D25" w:rsidRPr="00622D25">
        <w:rPr>
          <w:rFonts w:cs="Arial"/>
          <w:sz w:val="24"/>
          <w:szCs w:val="24"/>
        </w:rPr>
        <w:t xml:space="preserve">vía </w:t>
      </w:r>
      <w:r w:rsidR="003F0117" w:rsidRPr="00622D25">
        <w:rPr>
          <w:rFonts w:cs="Arial"/>
          <w:sz w:val="24"/>
          <w:szCs w:val="24"/>
        </w:rPr>
        <w:t>IV.</w:t>
      </w:r>
    </w:p>
    <w:p w:rsidR="00850617" w:rsidRPr="00065198" w:rsidRDefault="00622D25" w:rsidP="00065198">
      <w:pPr>
        <w:spacing w:line="360" w:lineRule="auto"/>
        <w:rPr>
          <w:rFonts w:cs="Arial"/>
          <w:sz w:val="24"/>
          <w:szCs w:val="24"/>
        </w:rPr>
      </w:pPr>
      <w:r w:rsidRPr="00622D25">
        <w:rPr>
          <w:rFonts w:cs="Arial"/>
          <w:sz w:val="24"/>
          <w:szCs w:val="24"/>
        </w:rPr>
        <w:t xml:space="preserve">La </w:t>
      </w:r>
      <w:r w:rsidR="00CF4EA4" w:rsidRPr="00622D25">
        <w:rPr>
          <w:rFonts w:cs="Arial"/>
          <w:sz w:val="24"/>
          <w:szCs w:val="24"/>
        </w:rPr>
        <w:t>a</w:t>
      </w:r>
      <w:r w:rsidR="000C609B" w:rsidRPr="00622D25">
        <w:rPr>
          <w:rFonts w:cs="Arial"/>
          <w:sz w:val="24"/>
          <w:szCs w:val="24"/>
        </w:rPr>
        <w:t xml:space="preserve">dministración de </w:t>
      </w:r>
      <w:r w:rsidR="00B56224">
        <w:rPr>
          <w:rFonts w:cs="Arial"/>
          <w:sz w:val="24"/>
          <w:szCs w:val="24"/>
        </w:rPr>
        <w:t>DET</w:t>
      </w:r>
      <w:r w:rsidR="00395249" w:rsidRPr="00622D25">
        <w:rPr>
          <w:rFonts w:cs="Arial"/>
          <w:sz w:val="24"/>
          <w:szCs w:val="24"/>
        </w:rPr>
        <w:t xml:space="preserve"> </w:t>
      </w:r>
      <w:r w:rsidR="003F0117" w:rsidRPr="00622D25">
        <w:rPr>
          <w:rFonts w:cs="Arial"/>
          <w:sz w:val="24"/>
          <w:szCs w:val="24"/>
        </w:rPr>
        <w:t xml:space="preserve">aumentó significativamente la prevalencia de trastornos </w:t>
      </w:r>
      <w:r w:rsidRPr="00622D25">
        <w:rPr>
          <w:rFonts w:cs="Arial"/>
          <w:sz w:val="24"/>
          <w:szCs w:val="24"/>
        </w:rPr>
        <w:t xml:space="preserve">a nivel </w:t>
      </w:r>
      <w:r w:rsidR="003F0117" w:rsidRPr="00622D25">
        <w:rPr>
          <w:rFonts w:cs="Arial"/>
          <w:sz w:val="24"/>
          <w:szCs w:val="24"/>
        </w:rPr>
        <w:t>A</w:t>
      </w:r>
      <w:r w:rsidRPr="00622D25">
        <w:rPr>
          <w:rFonts w:cs="Arial"/>
          <w:sz w:val="24"/>
          <w:szCs w:val="24"/>
        </w:rPr>
        <w:t xml:space="preserve">trio </w:t>
      </w:r>
      <w:r w:rsidR="003F0117" w:rsidRPr="00622D25">
        <w:rPr>
          <w:rFonts w:cs="Arial"/>
          <w:sz w:val="24"/>
          <w:szCs w:val="24"/>
        </w:rPr>
        <w:t>V</w:t>
      </w:r>
      <w:r w:rsidRPr="00622D25">
        <w:rPr>
          <w:rFonts w:cs="Arial"/>
          <w:sz w:val="24"/>
          <w:szCs w:val="24"/>
        </w:rPr>
        <w:t>entricular</w:t>
      </w:r>
      <w:r w:rsidR="003F0117" w:rsidRPr="00622D25">
        <w:rPr>
          <w:rFonts w:cs="Arial"/>
          <w:sz w:val="24"/>
          <w:szCs w:val="24"/>
        </w:rPr>
        <w:t xml:space="preserve">. </w:t>
      </w:r>
      <w:r w:rsidR="00362AB9" w:rsidRPr="00622D25">
        <w:rPr>
          <w:rFonts w:cs="Arial"/>
          <w:sz w:val="24"/>
          <w:szCs w:val="24"/>
        </w:rPr>
        <w:t xml:space="preserve">La </w:t>
      </w:r>
      <w:r w:rsidR="00E43E78">
        <w:rPr>
          <w:rFonts w:cs="Arial"/>
          <w:sz w:val="24"/>
          <w:szCs w:val="24"/>
        </w:rPr>
        <w:t>YOH</w:t>
      </w:r>
      <w:r w:rsidR="003F0117" w:rsidRPr="00622D25">
        <w:rPr>
          <w:rFonts w:cs="Arial"/>
          <w:sz w:val="24"/>
          <w:szCs w:val="24"/>
        </w:rPr>
        <w:t xml:space="preserve"> efectivamente </w:t>
      </w:r>
      <w:r w:rsidRPr="00622D25">
        <w:rPr>
          <w:rFonts w:cs="Arial"/>
          <w:sz w:val="24"/>
          <w:szCs w:val="24"/>
        </w:rPr>
        <w:t>disminuye</w:t>
      </w:r>
      <w:r w:rsidR="003F0117" w:rsidRPr="00622D25">
        <w:rPr>
          <w:rFonts w:cs="Arial"/>
          <w:sz w:val="24"/>
          <w:szCs w:val="24"/>
        </w:rPr>
        <w:t xml:space="preserve"> la prevalencia de los bloqueos A</w:t>
      </w:r>
      <w:r w:rsidRPr="00622D25">
        <w:rPr>
          <w:rFonts w:cs="Arial"/>
          <w:sz w:val="24"/>
          <w:szCs w:val="24"/>
        </w:rPr>
        <w:t xml:space="preserve">trio </w:t>
      </w:r>
      <w:r w:rsidR="003F0117" w:rsidRPr="00622D25">
        <w:rPr>
          <w:rFonts w:cs="Arial"/>
          <w:sz w:val="24"/>
          <w:szCs w:val="24"/>
        </w:rPr>
        <w:t>V</w:t>
      </w:r>
      <w:r w:rsidRPr="00622D25">
        <w:rPr>
          <w:rFonts w:cs="Arial"/>
          <w:sz w:val="24"/>
          <w:szCs w:val="24"/>
        </w:rPr>
        <w:t>entriculares</w:t>
      </w:r>
      <w:r w:rsidR="00CF4EA4" w:rsidRPr="00622D25">
        <w:rPr>
          <w:rFonts w:cs="Arial"/>
          <w:sz w:val="24"/>
          <w:szCs w:val="24"/>
        </w:rPr>
        <w:t xml:space="preserve">. </w:t>
      </w:r>
      <w:r w:rsidR="00532DE3">
        <w:rPr>
          <w:rFonts w:cs="Arial"/>
          <w:sz w:val="24"/>
          <w:szCs w:val="24"/>
        </w:rPr>
        <w:t>Se determinó</w:t>
      </w:r>
      <w:r w:rsidRPr="00622D25">
        <w:rPr>
          <w:rFonts w:cs="Arial"/>
          <w:sz w:val="24"/>
          <w:szCs w:val="24"/>
        </w:rPr>
        <w:t xml:space="preserve"> que l</w:t>
      </w:r>
      <w:r w:rsidR="00CF4EA4" w:rsidRPr="00622D25">
        <w:rPr>
          <w:rFonts w:cs="Arial"/>
          <w:sz w:val="24"/>
          <w:szCs w:val="24"/>
        </w:rPr>
        <w:t>a</w:t>
      </w:r>
      <w:r w:rsidR="003F0117" w:rsidRPr="00622D25">
        <w:rPr>
          <w:rFonts w:cs="Arial"/>
          <w:sz w:val="24"/>
          <w:szCs w:val="24"/>
        </w:rPr>
        <w:t xml:space="preserve"> </w:t>
      </w:r>
      <w:r w:rsidR="00B56224">
        <w:rPr>
          <w:rFonts w:cs="Arial"/>
          <w:sz w:val="24"/>
          <w:szCs w:val="24"/>
        </w:rPr>
        <w:t>DET</w:t>
      </w:r>
      <w:r w:rsidR="003F0117" w:rsidRPr="00622D25">
        <w:rPr>
          <w:rFonts w:cs="Arial"/>
          <w:sz w:val="24"/>
          <w:szCs w:val="24"/>
        </w:rPr>
        <w:t xml:space="preserve"> aumentó significativamente l</w:t>
      </w:r>
      <w:r w:rsidR="00E6454B" w:rsidRPr="00622D25">
        <w:rPr>
          <w:rFonts w:cs="Arial"/>
          <w:sz w:val="24"/>
          <w:szCs w:val="24"/>
        </w:rPr>
        <w:t xml:space="preserve">as concentraciones de glucosa </w:t>
      </w:r>
      <w:r w:rsidRPr="00622D25">
        <w:rPr>
          <w:rFonts w:cs="Arial"/>
          <w:sz w:val="24"/>
          <w:szCs w:val="24"/>
        </w:rPr>
        <w:t xml:space="preserve">a los </w:t>
      </w:r>
      <w:r w:rsidR="003F0117" w:rsidRPr="00622D25">
        <w:rPr>
          <w:rFonts w:cs="Arial"/>
          <w:sz w:val="24"/>
          <w:szCs w:val="24"/>
        </w:rPr>
        <w:t xml:space="preserve">45 minutos </w:t>
      </w:r>
      <w:r w:rsidRPr="00622D25">
        <w:rPr>
          <w:rFonts w:cs="Arial"/>
          <w:sz w:val="24"/>
          <w:szCs w:val="24"/>
        </w:rPr>
        <w:t xml:space="preserve">posteriores a la </w:t>
      </w:r>
      <w:r w:rsidR="003F0117" w:rsidRPr="00622D25">
        <w:rPr>
          <w:rFonts w:cs="Arial"/>
          <w:sz w:val="24"/>
          <w:szCs w:val="24"/>
        </w:rPr>
        <w:t xml:space="preserve">administración </w:t>
      </w:r>
      <w:r w:rsidRPr="00622D25">
        <w:rPr>
          <w:rFonts w:cs="Arial"/>
          <w:sz w:val="24"/>
          <w:szCs w:val="24"/>
        </w:rPr>
        <w:t xml:space="preserve">del fármaco y así se mantuvo hasta por </w:t>
      </w:r>
      <w:r w:rsidR="00910A9E" w:rsidRPr="00622D25">
        <w:rPr>
          <w:rFonts w:cs="Arial"/>
          <w:sz w:val="24"/>
          <w:szCs w:val="24"/>
        </w:rPr>
        <w:t>3 horas</w:t>
      </w:r>
      <w:r w:rsidR="00362AB9" w:rsidRPr="00622D25">
        <w:rPr>
          <w:rFonts w:cs="Arial"/>
          <w:sz w:val="24"/>
          <w:szCs w:val="24"/>
        </w:rPr>
        <w:t xml:space="preserve">. </w:t>
      </w:r>
      <w:r w:rsidRPr="00622D25">
        <w:rPr>
          <w:rFonts w:cs="Arial"/>
          <w:sz w:val="24"/>
          <w:szCs w:val="24"/>
        </w:rPr>
        <w:t>Por el contrario, l</w:t>
      </w:r>
      <w:r w:rsidR="00362AB9" w:rsidRPr="00622D25">
        <w:rPr>
          <w:rFonts w:cs="Arial"/>
          <w:sz w:val="24"/>
          <w:szCs w:val="24"/>
        </w:rPr>
        <w:t xml:space="preserve">a administración de </w:t>
      </w:r>
      <w:r w:rsidR="00E43E78">
        <w:rPr>
          <w:rFonts w:cs="Arial"/>
          <w:sz w:val="24"/>
          <w:szCs w:val="24"/>
        </w:rPr>
        <w:t>YOH</w:t>
      </w:r>
      <w:r w:rsidR="003F0117" w:rsidRPr="00622D25">
        <w:rPr>
          <w:rFonts w:cs="Arial"/>
          <w:sz w:val="24"/>
          <w:szCs w:val="24"/>
        </w:rPr>
        <w:t xml:space="preserve"> atenuó significativamen</w:t>
      </w:r>
      <w:r w:rsidR="00E6454B" w:rsidRPr="00622D25">
        <w:rPr>
          <w:rFonts w:cs="Arial"/>
          <w:sz w:val="24"/>
          <w:szCs w:val="24"/>
        </w:rPr>
        <w:t xml:space="preserve">te la hiperglucemia inducida por la </w:t>
      </w:r>
      <w:r w:rsidR="00B56224">
        <w:rPr>
          <w:rFonts w:cs="Arial"/>
          <w:sz w:val="24"/>
          <w:szCs w:val="24"/>
        </w:rPr>
        <w:t>DET</w:t>
      </w:r>
      <w:r w:rsidR="003F0117" w:rsidRPr="00622D25">
        <w:rPr>
          <w:rFonts w:cs="Arial"/>
          <w:sz w:val="24"/>
          <w:szCs w:val="24"/>
        </w:rPr>
        <w:t xml:space="preserve">. </w:t>
      </w:r>
      <w:r w:rsidR="00E6454B" w:rsidRPr="00622D25">
        <w:rPr>
          <w:rFonts w:cs="Arial"/>
          <w:sz w:val="24"/>
          <w:szCs w:val="24"/>
        </w:rPr>
        <w:t>Las c</w:t>
      </w:r>
      <w:r w:rsidR="003F0117" w:rsidRPr="00622D25">
        <w:rPr>
          <w:rFonts w:cs="Arial"/>
          <w:sz w:val="24"/>
          <w:szCs w:val="24"/>
        </w:rPr>
        <w:t xml:space="preserve">oncentraciones </w:t>
      </w:r>
      <w:r w:rsidR="001D25A2" w:rsidRPr="00622D25">
        <w:rPr>
          <w:rFonts w:cs="Arial"/>
          <w:sz w:val="24"/>
          <w:szCs w:val="24"/>
        </w:rPr>
        <w:t xml:space="preserve">de glucosa en plasma </w:t>
      </w:r>
      <w:r w:rsidRPr="00622D25">
        <w:rPr>
          <w:rFonts w:cs="Arial"/>
          <w:sz w:val="24"/>
          <w:szCs w:val="24"/>
        </w:rPr>
        <w:t xml:space="preserve">que se registraron fueron de </w:t>
      </w:r>
      <w:r w:rsidR="00E6454B" w:rsidRPr="00622D25">
        <w:rPr>
          <w:rFonts w:cs="Arial"/>
          <w:sz w:val="24"/>
          <w:szCs w:val="24"/>
        </w:rPr>
        <w:t>(</w:t>
      </w:r>
      <w:r w:rsidR="001D25A2" w:rsidRPr="00622D25">
        <w:rPr>
          <w:rFonts w:cs="Arial"/>
          <w:sz w:val="24"/>
          <w:szCs w:val="24"/>
        </w:rPr>
        <w:t>111±17 y 93±</w:t>
      </w:r>
      <w:r w:rsidRPr="00622D25">
        <w:rPr>
          <w:rFonts w:cs="Arial"/>
          <w:sz w:val="24"/>
          <w:szCs w:val="24"/>
        </w:rPr>
        <w:t xml:space="preserve">14 </w:t>
      </w:r>
      <w:r w:rsidRPr="009D24F4">
        <w:rPr>
          <w:rFonts w:cs="Arial"/>
          <w:color w:val="000000" w:themeColor="text1"/>
          <w:sz w:val="24"/>
          <w:szCs w:val="24"/>
        </w:rPr>
        <w:t>mg/</w:t>
      </w:r>
      <w:r w:rsidR="003F0117" w:rsidRPr="009D24F4">
        <w:rPr>
          <w:rFonts w:cs="Arial"/>
          <w:color w:val="000000" w:themeColor="text1"/>
          <w:sz w:val="24"/>
          <w:szCs w:val="24"/>
        </w:rPr>
        <w:t>d</w:t>
      </w:r>
      <w:r w:rsidRPr="009D24F4">
        <w:rPr>
          <w:rFonts w:cs="Arial"/>
          <w:color w:val="000000" w:themeColor="text1"/>
          <w:sz w:val="24"/>
          <w:szCs w:val="24"/>
        </w:rPr>
        <w:t>L</w:t>
      </w:r>
      <w:r w:rsidR="003F0117" w:rsidRPr="009D24F4">
        <w:rPr>
          <w:rFonts w:cs="Arial"/>
          <w:color w:val="000000" w:themeColor="text1"/>
          <w:sz w:val="24"/>
          <w:szCs w:val="24"/>
        </w:rPr>
        <w:t xml:space="preserve">) </w:t>
      </w:r>
      <w:r w:rsidRPr="00622D25">
        <w:rPr>
          <w:rFonts w:cs="Arial"/>
          <w:sz w:val="24"/>
          <w:szCs w:val="24"/>
        </w:rPr>
        <w:t xml:space="preserve">a los </w:t>
      </w:r>
      <w:r w:rsidR="003F0117" w:rsidRPr="00622D25">
        <w:rPr>
          <w:rFonts w:cs="Arial"/>
          <w:sz w:val="24"/>
          <w:szCs w:val="24"/>
        </w:rPr>
        <w:t>45</w:t>
      </w:r>
      <w:r w:rsidRPr="00622D25">
        <w:rPr>
          <w:rFonts w:cs="Arial"/>
          <w:sz w:val="24"/>
          <w:szCs w:val="24"/>
        </w:rPr>
        <w:t xml:space="preserve"> minutos</w:t>
      </w:r>
      <w:r w:rsidR="003F0117" w:rsidRPr="00622D25">
        <w:rPr>
          <w:rFonts w:cs="Arial"/>
          <w:sz w:val="24"/>
          <w:szCs w:val="24"/>
        </w:rPr>
        <w:t xml:space="preserve"> y 3 horas despu</w:t>
      </w:r>
      <w:r w:rsidR="00FF1D65" w:rsidRPr="00622D25">
        <w:rPr>
          <w:rFonts w:cs="Arial"/>
          <w:sz w:val="24"/>
          <w:szCs w:val="24"/>
        </w:rPr>
        <w:t>és de la administración de</w:t>
      </w:r>
      <w:r w:rsidRPr="00622D25">
        <w:rPr>
          <w:rFonts w:cs="Arial"/>
          <w:sz w:val="24"/>
          <w:szCs w:val="24"/>
        </w:rPr>
        <w:t xml:space="preserve"> la</w:t>
      </w:r>
      <w:r w:rsidR="00FF1D65" w:rsidRPr="00622D25">
        <w:rPr>
          <w:rFonts w:cs="Arial"/>
          <w:sz w:val="24"/>
          <w:szCs w:val="24"/>
        </w:rPr>
        <w:t xml:space="preserve"> </w:t>
      </w:r>
      <w:r w:rsidR="00E43E78">
        <w:rPr>
          <w:rFonts w:cs="Arial"/>
          <w:sz w:val="24"/>
          <w:szCs w:val="24"/>
        </w:rPr>
        <w:t>YOH</w:t>
      </w:r>
      <w:r w:rsidR="00CF4EA4" w:rsidRPr="00622D25">
        <w:rPr>
          <w:rFonts w:cs="Arial"/>
          <w:sz w:val="24"/>
          <w:szCs w:val="24"/>
        </w:rPr>
        <w:t xml:space="preserve">. </w:t>
      </w:r>
    </w:p>
    <w:p w:rsidR="003B76B8" w:rsidRPr="00065198" w:rsidRDefault="003B76B8" w:rsidP="00065198">
      <w:pPr>
        <w:spacing w:line="360" w:lineRule="auto"/>
        <w:ind w:firstLine="360"/>
        <w:rPr>
          <w:rFonts w:cs="Arial"/>
          <w:sz w:val="24"/>
          <w:szCs w:val="24"/>
          <w:lang w:val="es-MX"/>
        </w:rPr>
      </w:pPr>
      <w:r w:rsidRPr="00065198">
        <w:rPr>
          <w:rFonts w:cs="Arial"/>
          <w:sz w:val="24"/>
          <w:szCs w:val="24"/>
          <w:lang w:val="es-MX"/>
        </w:rPr>
        <w:br w:type="page"/>
      </w:r>
    </w:p>
    <w:p w:rsidR="00D4552B" w:rsidRPr="007C61CD" w:rsidRDefault="00E314DA" w:rsidP="007C61CD">
      <w:pPr>
        <w:pStyle w:val="Ttulo1"/>
        <w:spacing w:line="360" w:lineRule="auto"/>
        <w:ind w:left="720" w:hanging="360"/>
        <w:jc w:val="center"/>
        <w:rPr>
          <w:sz w:val="24"/>
          <w:szCs w:val="24"/>
        </w:rPr>
      </w:pPr>
      <w:bookmarkStart w:id="7" w:name="_Toc325709840"/>
      <w:r w:rsidRPr="007C61CD">
        <w:rPr>
          <w:sz w:val="24"/>
          <w:szCs w:val="24"/>
        </w:rPr>
        <w:lastRenderedPageBreak/>
        <w:t>JUSTIFICACIÓN</w:t>
      </w:r>
      <w:bookmarkEnd w:id="7"/>
      <w:r w:rsidRPr="007C61CD">
        <w:rPr>
          <w:sz w:val="24"/>
          <w:szCs w:val="24"/>
        </w:rPr>
        <w:t xml:space="preserve"> </w:t>
      </w:r>
    </w:p>
    <w:p w:rsidR="00BC25EC" w:rsidRPr="007C61CD" w:rsidRDefault="00BC25EC" w:rsidP="007C61CD">
      <w:pPr>
        <w:spacing w:line="360" w:lineRule="auto"/>
        <w:rPr>
          <w:rFonts w:cs="Arial"/>
          <w:sz w:val="24"/>
          <w:szCs w:val="24"/>
        </w:rPr>
      </w:pPr>
    </w:p>
    <w:p w:rsidR="008C74D1" w:rsidRPr="007C61CD" w:rsidRDefault="00850617" w:rsidP="009F45AD">
      <w:pPr>
        <w:spacing w:line="360" w:lineRule="auto"/>
        <w:ind w:firstLine="426"/>
        <w:rPr>
          <w:rStyle w:val="hps"/>
          <w:rFonts w:cs="Arial"/>
          <w:sz w:val="24"/>
          <w:szCs w:val="24"/>
        </w:rPr>
      </w:pPr>
      <w:r>
        <w:rPr>
          <w:rFonts w:eastAsiaTheme="minorHAnsi" w:cs="Arial"/>
          <w:sz w:val="24"/>
          <w:szCs w:val="24"/>
          <w:lang w:eastAsia="en-US"/>
        </w:rPr>
        <w:t>En el ámbito clínico de expertos en el área de equinos</w:t>
      </w:r>
      <w:r w:rsidR="00EF5B50">
        <w:rPr>
          <w:rFonts w:eastAsiaTheme="minorHAnsi" w:cs="Arial"/>
          <w:sz w:val="24"/>
          <w:szCs w:val="24"/>
          <w:lang w:eastAsia="en-US"/>
        </w:rPr>
        <w:t xml:space="preserve"> a nivel internacional</w:t>
      </w:r>
      <w:r>
        <w:rPr>
          <w:rFonts w:eastAsiaTheme="minorHAnsi" w:cs="Arial"/>
          <w:sz w:val="24"/>
          <w:szCs w:val="24"/>
          <w:lang w:eastAsia="en-US"/>
        </w:rPr>
        <w:t xml:space="preserve">, mucho se ha </w:t>
      </w:r>
      <w:r w:rsidR="00EF5B50">
        <w:rPr>
          <w:rFonts w:eastAsiaTheme="minorHAnsi" w:cs="Arial"/>
          <w:sz w:val="24"/>
          <w:szCs w:val="24"/>
          <w:lang w:eastAsia="en-US"/>
        </w:rPr>
        <w:t xml:space="preserve">comentado sobre el uso, </w:t>
      </w:r>
      <w:r>
        <w:rPr>
          <w:rFonts w:eastAsiaTheme="minorHAnsi" w:cs="Arial"/>
          <w:sz w:val="24"/>
          <w:szCs w:val="24"/>
          <w:lang w:eastAsia="en-US"/>
        </w:rPr>
        <w:t>aplicación</w:t>
      </w:r>
      <w:r w:rsidR="00EF5B50">
        <w:rPr>
          <w:rFonts w:eastAsiaTheme="minorHAnsi" w:cs="Arial"/>
          <w:sz w:val="24"/>
          <w:szCs w:val="24"/>
          <w:lang w:eastAsia="en-US"/>
        </w:rPr>
        <w:t xml:space="preserve"> y efecto de fármacos como la </w:t>
      </w:r>
      <w:r w:rsidR="00E43E78" w:rsidRPr="009D24F4">
        <w:rPr>
          <w:rFonts w:eastAsiaTheme="minorHAnsi" w:cs="Arial"/>
          <w:color w:val="000000" w:themeColor="text1"/>
          <w:sz w:val="24"/>
          <w:szCs w:val="24"/>
          <w:lang w:eastAsia="en-US"/>
        </w:rPr>
        <w:t>YOH</w:t>
      </w:r>
      <w:r w:rsidR="00EF5B50" w:rsidRPr="009D24F4">
        <w:rPr>
          <w:rFonts w:eastAsiaTheme="minorHAnsi" w:cs="Arial"/>
          <w:color w:val="000000" w:themeColor="text1"/>
          <w:sz w:val="24"/>
          <w:szCs w:val="24"/>
          <w:lang w:eastAsia="en-US"/>
        </w:rPr>
        <w:t xml:space="preserve"> </w:t>
      </w:r>
      <w:r w:rsidRPr="009D24F4">
        <w:rPr>
          <w:rFonts w:eastAsiaTheme="minorHAnsi" w:cs="Arial"/>
          <w:color w:val="000000" w:themeColor="text1"/>
          <w:sz w:val="24"/>
          <w:szCs w:val="24"/>
          <w:lang w:eastAsia="en-US"/>
        </w:rPr>
        <w:t>en ca</w:t>
      </w:r>
      <w:r w:rsidR="002D0D38" w:rsidRPr="009D24F4">
        <w:rPr>
          <w:rFonts w:eastAsiaTheme="minorHAnsi" w:cs="Arial"/>
          <w:color w:val="000000" w:themeColor="text1"/>
          <w:sz w:val="24"/>
          <w:szCs w:val="24"/>
          <w:lang w:eastAsia="en-US"/>
        </w:rPr>
        <w:t xml:space="preserve">ballos sedados previamente con </w:t>
      </w:r>
      <w:r w:rsidR="00B56224" w:rsidRPr="009D24F4">
        <w:rPr>
          <w:rFonts w:eastAsiaTheme="minorHAnsi" w:cs="Arial"/>
          <w:color w:val="000000" w:themeColor="text1"/>
          <w:sz w:val="24"/>
          <w:szCs w:val="24"/>
          <w:lang w:eastAsia="en-US"/>
        </w:rPr>
        <w:t>DET</w:t>
      </w:r>
      <w:r w:rsidRPr="009D24F4">
        <w:rPr>
          <w:rFonts w:eastAsiaTheme="minorHAnsi" w:cs="Arial"/>
          <w:color w:val="000000" w:themeColor="text1"/>
          <w:sz w:val="24"/>
          <w:szCs w:val="24"/>
          <w:lang w:eastAsia="en-US"/>
        </w:rPr>
        <w:t xml:space="preserve">. Entre estos hallazgos, </w:t>
      </w:r>
      <w:r w:rsidR="004E4556" w:rsidRPr="009D24F4">
        <w:rPr>
          <w:rFonts w:eastAsiaTheme="minorHAnsi" w:cs="Arial"/>
          <w:color w:val="000000" w:themeColor="text1"/>
          <w:sz w:val="24"/>
          <w:szCs w:val="24"/>
          <w:lang w:eastAsia="en-US"/>
        </w:rPr>
        <w:t xml:space="preserve">se </w:t>
      </w:r>
      <w:r w:rsidRPr="009D24F4">
        <w:rPr>
          <w:rFonts w:eastAsiaTheme="minorHAnsi" w:cs="Arial"/>
          <w:color w:val="000000" w:themeColor="text1"/>
          <w:sz w:val="24"/>
          <w:szCs w:val="24"/>
          <w:lang w:eastAsia="en-US"/>
        </w:rPr>
        <w:t xml:space="preserve">destacan </w:t>
      </w:r>
      <w:r w:rsidR="004E4556" w:rsidRPr="009D24F4">
        <w:rPr>
          <w:rFonts w:eastAsiaTheme="minorHAnsi" w:cs="Arial"/>
          <w:color w:val="000000" w:themeColor="text1"/>
          <w:sz w:val="24"/>
          <w:szCs w:val="24"/>
          <w:lang w:eastAsia="en-US"/>
        </w:rPr>
        <w:t xml:space="preserve">experiencias de </w:t>
      </w:r>
      <w:r w:rsidR="00EF5B50" w:rsidRPr="009D24F4">
        <w:rPr>
          <w:rFonts w:eastAsiaTheme="minorHAnsi" w:cs="Arial"/>
          <w:color w:val="000000" w:themeColor="text1"/>
          <w:sz w:val="24"/>
          <w:szCs w:val="24"/>
          <w:lang w:eastAsia="en-US"/>
        </w:rPr>
        <w:t>médicos con amplia experiencia a nivel clínico</w:t>
      </w:r>
      <w:r w:rsidR="004E4556" w:rsidRPr="009D24F4">
        <w:rPr>
          <w:rFonts w:eastAsiaTheme="minorHAnsi" w:cs="Arial"/>
          <w:color w:val="000000" w:themeColor="text1"/>
          <w:sz w:val="24"/>
          <w:szCs w:val="24"/>
          <w:lang w:eastAsia="en-US"/>
        </w:rPr>
        <w:t xml:space="preserve"> </w:t>
      </w:r>
      <w:r w:rsidR="00EF5B50" w:rsidRPr="009D24F4">
        <w:rPr>
          <w:rFonts w:eastAsiaTheme="minorHAnsi" w:cs="Arial"/>
          <w:color w:val="000000" w:themeColor="text1"/>
          <w:sz w:val="24"/>
          <w:szCs w:val="24"/>
          <w:lang w:eastAsia="en-US"/>
        </w:rPr>
        <w:t xml:space="preserve">en los que se </w:t>
      </w:r>
      <w:r w:rsidR="00EF5B50">
        <w:rPr>
          <w:rFonts w:eastAsiaTheme="minorHAnsi" w:cs="Arial"/>
          <w:sz w:val="24"/>
          <w:szCs w:val="24"/>
          <w:lang w:eastAsia="en-US"/>
        </w:rPr>
        <w:t xml:space="preserve">han vertido experiencias </w:t>
      </w:r>
      <w:r w:rsidR="004E4556">
        <w:rPr>
          <w:rFonts w:eastAsiaTheme="minorHAnsi" w:cs="Arial"/>
          <w:sz w:val="24"/>
          <w:szCs w:val="24"/>
          <w:lang w:eastAsia="en-US"/>
        </w:rPr>
        <w:t xml:space="preserve">sobre la respuesta clínica y conductual en el caballo </w:t>
      </w:r>
      <w:r w:rsidR="00EF5B50">
        <w:rPr>
          <w:rFonts w:eastAsiaTheme="minorHAnsi" w:cs="Arial"/>
          <w:sz w:val="24"/>
          <w:szCs w:val="24"/>
          <w:lang w:eastAsia="en-US"/>
        </w:rPr>
        <w:t xml:space="preserve">por efecto de la </w:t>
      </w:r>
      <w:r w:rsidR="00B56224">
        <w:rPr>
          <w:rFonts w:eastAsiaTheme="minorHAnsi" w:cs="Arial"/>
          <w:sz w:val="24"/>
          <w:szCs w:val="24"/>
          <w:lang w:eastAsia="en-US"/>
        </w:rPr>
        <w:t>DET</w:t>
      </w:r>
      <w:r w:rsidR="00EF5B50">
        <w:rPr>
          <w:rFonts w:eastAsiaTheme="minorHAnsi" w:cs="Arial"/>
          <w:sz w:val="24"/>
          <w:szCs w:val="24"/>
          <w:lang w:eastAsia="en-US"/>
        </w:rPr>
        <w:t xml:space="preserve">. </w:t>
      </w:r>
      <w:r w:rsidR="004E4556">
        <w:rPr>
          <w:rFonts w:eastAsiaTheme="minorHAnsi" w:cs="Arial"/>
          <w:sz w:val="24"/>
          <w:szCs w:val="24"/>
          <w:lang w:eastAsia="en-US"/>
        </w:rPr>
        <w:t>Sin embargo</w:t>
      </w:r>
      <w:r w:rsidR="00EF5B50">
        <w:rPr>
          <w:rFonts w:eastAsiaTheme="minorHAnsi" w:cs="Arial"/>
          <w:sz w:val="24"/>
          <w:szCs w:val="24"/>
          <w:lang w:eastAsia="en-US"/>
        </w:rPr>
        <w:t>,</w:t>
      </w:r>
      <w:r w:rsidR="004E4556">
        <w:rPr>
          <w:rFonts w:eastAsiaTheme="minorHAnsi" w:cs="Arial"/>
          <w:sz w:val="24"/>
          <w:szCs w:val="24"/>
          <w:lang w:eastAsia="en-US"/>
        </w:rPr>
        <w:t xml:space="preserve"> son </w:t>
      </w:r>
      <w:r w:rsidR="00EF5B50">
        <w:rPr>
          <w:rFonts w:eastAsiaTheme="minorHAnsi" w:cs="Arial"/>
          <w:sz w:val="24"/>
          <w:szCs w:val="24"/>
          <w:lang w:eastAsia="en-US"/>
        </w:rPr>
        <w:t xml:space="preserve">escasos </w:t>
      </w:r>
      <w:r w:rsidR="004E4556">
        <w:rPr>
          <w:rFonts w:eastAsiaTheme="minorHAnsi" w:cs="Arial"/>
          <w:sz w:val="24"/>
          <w:szCs w:val="24"/>
          <w:lang w:eastAsia="en-US"/>
        </w:rPr>
        <w:t xml:space="preserve">los estudios </w:t>
      </w:r>
      <w:r w:rsidR="00EF5B50">
        <w:rPr>
          <w:rFonts w:eastAsiaTheme="minorHAnsi" w:cs="Arial"/>
          <w:sz w:val="24"/>
          <w:szCs w:val="24"/>
          <w:lang w:eastAsia="en-US"/>
        </w:rPr>
        <w:t xml:space="preserve">de carácter científico, realizados con pacientes equinos </w:t>
      </w:r>
      <w:r w:rsidR="004E4556">
        <w:rPr>
          <w:rFonts w:eastAsiaTheme="minorHAnsi" w:cs="Arial"/>
          <w:sz w:val="24"/>
          <w:szCs w:val="24"/>
          <w:lang w:eastAsia="en-US"/>
        </w:rPr>
        <w:t xml:space="preserve">que permitan identificar con claridad y precisión, los efectos </w:t>
      </w:r>
      <w:r w:rsidR="00EF5B50">
        <w:rPr>
          <w:rFonts w:eastAsiaTheme="minorHAnsi" w:cs="Arial"/>
          <w:sz w:val="24"/>
          <w:szCs w:val="24"/>
          <w:lang w:eastAsia="en-US"/>
        </w:rPr>
        <w:t xml:space="preserve">del fármaco </w:t>
      </w:r>
      <w:r w:rsidR="004E4556">
        <w:rPr>
          <w:rFonts w:eastAsiaTheme="minorHAnsi" w:cs="Arial"/>
          <w:sz w:val="24"/>
          <w:szCs w:val="24"/>
          <w:lang w:eastAsia="en-US"/>
        </w:rPr>
        <w:t>en el animal</w:t>
      </w:r>
      <w:r w:rsidR="00EF5B50">
        <w:rPr>
          <w:rFonts w:eastAsiaTheme="minorHAnsi" w:cs="Arial"/>
          <w:sz w:val="24"/>
          <w:szCs w:val="24"/>
          <w:lang w:eastAsia="en-US"/>
        </w:rPr>
        <w:t xml:space="preserve"> y su comportamie</w:t>
      </w:r>
      <w:r w:rsidR="00AF1E1A">
        <w:rPr>
          <w:rFonts w:eastAsiaTheme="minorHAnsi" w:cs="Arial"/>
          <w:sz w:val="24"/>
          <w:szCs w:val="24"/>
          <w:lang w:eastAsia="en-US"/>
        </w:rPr>
        <w:t>nto farmacocinético, farmacodiná</w:t>
      </w:r>
      <w:r w:rsidR="00EF5B50">
        <w:rPr>
          <w:rFonts w:eastAsiaTheme="minorHAnsi" w:cs="Arial"/>
          <w:sz w:val="24"/>
          <w:szCs w:val="24"/>
          <w:lang w:eastAsia="en-US"/>
        </w:rPr>
        <w:t>mico y de carácter comportamental desde el punto de vista farmacológico</w:t>
      </w:r>
      <w:r w:rsidR="004E4556">
        <w:rPr>
          <w:rFonts w:eastAsiaTheme="minorHAnsi" w:cs="Arial"/>
          <w:sz w:val="24"/>
          <w:szCs w:val="24"/>
          <w:lang w:eastAsia="en-US"/>
        </w:rPr>
        <w:t xml:space="preserve">. En este sentido, consideramos  necesario y oportuno, realizar una revisión de carácter </w:t>
      </w:r>
      <w:r w:rsidR="003F0117">
        <w:rPr>
          <w:rFonts w:eastAsiaTheme="minorHAnsi" w:cs="Arial"/>
          <w:sz w:val="24"/>
          <w:szCs w:val="24"/>
          <w:lang w:eastAsia="en-US"/>
        </w:rPr>
        <w:t>sistemátic</w:t>
      </w:r>
      <w:r w:rsidR="00EF5B50">
        <w:rPr>
          <w:rFonts w:eastAsiaTheme="minorHAnsi" w:cs="Arial"/>
          <w:sz w:val="24"/>
          <w:szCs w:val="24"/>
          <w:lang w:eastAsia="en-US"/>
        </w:rPr>
        <w:t>o</w:t>
      </w:r>
      <w:r w:rsidR="004E4556">
        <w:rPr>
          <w:rFonts w:eastAsiaTheme="minorHAnsi" w:cs="Arial"/>
          <w:sz w:val="24"/>
          <w:szCs w:val="24"/>
          <w:lang w:eastAsia="en-US"/>
        </w:rPr>
        <w:t xml:space="preserve"> que permita identificar de manera global y con precisión farmacológica, cuales son los </w:t>
      </w:r>
      <w:r w:rsidR="003F0117">
        <w:rPr>
          <w:rFonts w:eastAsiaTheme="minorHAnsi" w:cs="Arial"/>
          <w:sz w:val="24"/>
          <w:szCs w:val="24"/>
          <w:lang w:eastAsia="en-US"/>
        </w:rPr>
        <w:t>efectos</w:t>
      </w:r>
      <w:r w:rsidR="004E4556">
        <w:rPr>
          <w:rFonts w:eastAsiaTheme="minorHAnsi" w:cs="Arial"/>
          <w:sz w:val="24"/>
          <w:szCs w:val="24"/>
          <w:lang w:eastAsia="en-US"/>
        </w:rPr>
        <w:t xml:space="preserve"> resp</w:t>
      </w:r>
      <w:r w:rsidR="00EF5B50">
        <w:rPr>
          <w:rFonts w:eastAsiaTheme="minorHAnsi" w:cs="Arial"/>
          <w:sz w:val="24"/>
          <w:szCs w:val="24"/>
          <w:lang w:eastAsia="en-US"/>
        </w:rPr>
        <w:t xml:space="preserve">ecto al uso de la </w:t>
      </w:r>
      <w:r w:rsidR="00E43E78">
        <w:rPr>
          <w:rFonts w:eastAsiaTheme="minorHAnsi" w:cs="Arial"/>
          <w:sz w:val="24"/>
          <w:szCs w:val="24"/>
          <w:lang w:eastAsia="en-US"/>
        </w:rPr>
        <w:t>YOH</w:t>
      </w:r>
      <w:r w:rsidR="00EF5B50">
        <w:rPr>
          <w:rFonts w:eastAsiaTheme="minorHAnsi" w:cs="Arial"/>
          <w:sz w:val="24"/>
          <w:szCs w:val="24"/>
          <w:lang w:eastAsia="en-US"/>
        </w:rPr>
        <w:t xml:space="preserve"> en </w:t>
      </w:r>
      <w:r w:rsidR="004E4556">
        <w:rPr>
          <w:rFonts w:eastAsiaTheme="minorHAnsi" w:cs="Arial"/>
          <w:sz w:val="24"/>
          <w:szCs w:val="24"/>
          <w:lang w:eastAsia="en-US"/>
        </w:rPr>
        <w:t xml:space="preserve">caballos que han sido sedados previamente con </w:t>
      </w:r>
      <w:r w:rsidR="00B56224">
        <w:rPr>
          <w:rFonts w:eastAsiaTheme="minorHAnsi" w:cs="Arial"/>
          <w:sz w:val="24"/>
          <w:szCs w:val="24"/>
          <w:lang w:eastAsia="en-US"/>
        </w:rPr>
        <w:t>DET</w:t>
      </w:r>
      <w:r w:rsidR="00EF5B50">
        <w:rPr>
          <w:rFonts w:eastAsiaTheme="minorHAnsi" w:cs="Arial"/>
          <w:sz w:val="24"/>
          <w:szCs w:val="24"/>
          <w:lang w:eastAsia="en-US"/>
        </w:rPr>
        <w:t xml:space="preserve">. </w:t>
      </w:r>
      <w:r w:rsidR="004E4556">
        <w:rPr>
          <w:rFonts w:eastAsiaTheme="minorHAnsi" w:cs="Arial"/>
          <w:sz w:val="24"/>
          <w:szCs w:val="24"/>
          <w:lang w:eastAsia="en-US"/>
        </w:rPr>
        <w:t xml:space="preserve">En esta revisión </w:t>
      </w:r>
      <w:r w:rsidR="00EF5B50">
        <w:rPr>
          <w:rFonts w:eastAsiaTheme="minorHAnsi" w:cs="Arial"/>
          <w:sz w:val="24"/>
          <w:szCs w:val="24"/>
          <w:lang w:eastAsia="en-US"/>
        </w:rPr>
        <w:t xml:space="preserve">sistemática se </w:t>
      </w:r>
      <w:r w:rsidR="004E4556">
        <w:rPr>
          <w:rFonts w:eastAsiaTheme="minorHAnsi" w:cs="Arial"/>
          <w:sz w:val="24"/>
          <w:szCs w:val="24"/>
          <w:lang w:eastAsia="en-US"/>
        </w:rPr>
        <w:t xml:space="preserve">pretende identificar inicialmente los efectos de </w:t>
      </w:r>
      <w:r w:rsidR="00EF5B50">
        <w:rPr>
          <w:rFonts w:eastAsiaTheme="minorHAnsi" w:cs="Arial"/>
          <w:sz w:val="24"/>
          <w:szCs w:val="24"/>
          <w:lang w:eastAsia="en-US"/>
        </w:rPr>
        <w:t>ambos</w:t>
      </w:r>
      <w:r w:rsidR="004E4556">
        <w:rPr>
          <w:rFonts w:eastAsiaTheme="minorHAnsi" w:cs="Arial"/>
          <w:sz w:val="24"/>
          <w:szCs w:val="24"/>
          <w:lang w:eastAsia="en-US"/>
        </w:rPr>
        <w:t xml:space="preserve"> </w:t>
      </w:r>
      <w:r w:rsidR="00EF5B50">
        <w:rPr>
          <w:rFonts w:eastAsiaTheme="minorHAnsi" w:cs="Arial"/>
          <w:sz w:val="24"/>
          <w:szCs w:val="24"/>
          <w:lang w:eastAsia="en-US"/>
        </w:rPr>
        <w:t>fármacos</w:t>
      </w:r>
      <w:r w:rsidR="004E4556">
        <w:rPr>
          <w:rFonts w:eastAsiaTheme="minorHAnsi" w:cs="Arial"/>
          <w:sz w:val="24"/>
          <w:szCs w:val="24"/>
          <w:lang w:eastAsia="en-US"/>
        </w:rPr>
        <w:t xml:space="preserve"> cuando se administran solos y c</w:t>
      </w:r>
      <w:r w:rsidR="00EF5B50">
        <w:rPr>
          <w:rFonts w:eastAsiaTheme="minorHAnsi" w:cs="Arial"/>
          <w:sz w:val="24"/>
          <w:szCs w:val="24"/>
          <w:lang w:eastAsia="en-US"/>
        </w:rPr>
        <w:t>uando se administran después de</w:t>
      </w:r>
      <w:r w:rsidR="004E4556">
        <w:rPr>
          <w:rFonts w:eastAsiaTheme="minorHAnsi" w:cs="Arial"/>
          <w:sz w:val="24"/>
          <w:szCs w:val="24"/>
          <w:lang w:eastAsia="en-US"/>
        </w:rPr>
        <w:t>l proceso de sedación. Además existe la intención de identificar l</w:t>
      </w:r>
      <w:r w:rsidR="00995A65">
        <w:rPr>
          <w:rFonts w:eastAsiaTheme="minorHAnsi" w:cs="Arial"/>
          <w:sz w:val="24"/>
          <w:szCs w:val="24"/>
          <w:lang w:eastAsia="en-US"/>
        </w:rPr>
        <w:t>os efectos de estos fármacos a n</w:t>
      </w:r>
      <w:r w:rsidR="004E4556">
        <w:rPr>
          <w:rFonts w:eastAsiaTheme="minorHAnsi" w:cs="Arial"/>
          <w:sz w:val="24"/>
          <w:szCs w:val="24"/>
          <w:lang w:eastAsia="en-US"/>
        </w:rPr>
        <w:t xml:space="preserve">ivel </w:t>
      </w:r>
      <w:r w:rsidR="00995A65">
        <w:rPr>
          <w:rFonts w:eastAsiaTheme="minorHAnsi" w:cs="Arial"/>
          <w:sz w:val="24"/>
          <w:szCs w:val="24"/>
          <w:lang w:eastAsia="en-US"/>
        </w:rPr>
        <w:t>farmacocinético, farmacodiná</w:t>
      </w:r>
      <w:r w:rsidR="004E4556">
        <w:rPr>
          <w:rFonts w:eastAsiaTheme="minorHAnsi" w:cs="Arial"/>
          <w:sz w:val="24"/>
          <w:szCs w:val="24"/>
          <w:lang w:eastAsia="en-US"/>
        </w:rPr>
        <w:t>mico y de comportamiento</w:t>
      </w:r>
      <w:r w:rsidR="00995A65">
        <w:rPr>
          <w:rFonts w:eastAsiaTheme="minorHAnsi" w:cs="Arial"/>
          <w:sz w:val="24"/>
          <w:szCs w:val="24"/>
          <w:lang w:eastAsia="en-US"/>
        </w:rPr>
        <w:t xml:space="preserve"> farmacológico</w:t>
      </w:r>
      <w:r w:rsidR="004E4556">
        <w:rPr>
          <w:rFonts w:eastAsiaTheme="minorHAnsi" w:cs="Arial"/>
          <w:sz w:val="24"/>
          <w:szCs w:val="24"/>
          <w:lang w:eastAsia="en-US"/>
        </w:rPr>
        <w:t xml:space="preserve"> e</w:t>
      </w:r>
      <w:r w:rsidR="00995A65">
        <w:rPr>
          <w:rFonts w:eastAsiaTheme="minorHAnsi" w:cs="Arial"/>
          <w:sz w:val="24"/>
          <w:szCs w:val="24"/>
          <w:lang w:eastAsia="en-US"/>
        </w:rPr>
        <w:t>n pacientes a los que se les ha</w:t>
      </w:r>
      <w:r w:rsidR="004E4556">
        <w:rPr>
          <w:rFonts w:eastAsiaTheme="minorHAnsi" w:cs="Arial"/>
          <w:sz w:val="24"/>
          <w:szCs w:val="24"/>
          <w:lang w:eastAsia="en-US"/>
        </w:rPr>
        <w:t xml:space="preserve"> administrado </w:t>
      </w:r>
      <w:r w:rsidR="00995A65">
        <w:rPr>
          <w:rFonts w:eastAsiaTheme="minorHAnsi" w:cs="Arial"/>
          <w:sz w:val="24"/>
          <w:szCs w:val="24"/>
          <w:lang w:eastAsia="en-US"/>
        </w:rPr>
        <w:t xml:space="preserve">previamente </w:t>
      </w:r>
      <w:r w:rsidR="00B56224">
        <w:rPr>
          <w:rFonts w:eastAsiaTheme="minorHAnsi" w:cs="Arial"/>
          <w:sz w:val="24"/>
          <w:szCs w:val="24"/>
          <w:lang w:eastAsia="en-US"/>
        </w:rPr>
        <w:t>DET</w:t>
      </w:r>
      <w:r w:rsidR="00995A65">
        <w:rPr>
          <w:rFonts w:eastAsiaTheme="minorHAnsi" w:cs="Arial"/>
          <w:sz w:val="24"/>
          <w:szCs w:val="24"/>
          <w:lang w:eastAsia="en-US"/>
        </w:rPr>
        <w:t xml:space="preserve"> como un agente sedante</w:t>
      </w:r>
      <w:r w:rsidR="004E4556">
        <w:rPr>
          <w:rFonts w:eastAsiaTheme="minorHAnsi" w:cs="Arial"/>
          <w:sz w:val="24"/>
          <w:szCs w:val="24"/>
          <w:lang w:eastAsia="en-US"/>
        </w:rPr>
        <w:t xml:space="preserve">. </w:t>
      </w:r>
    </w:p>
    <w:p w:rsidR="008C74D1" w:rsidRPr="007C61CD" w:rsidRDefault="008C74D1" w:rsidP="007C61CD">
      <w:pPr>
        <w:spacing w:line="360" w:lineRule="auto"/>
        <w:rPr>
          <w:rFonts w:cs="Arial"/>
          <w:sz w:val="24"/>
          <w:szCs w:val="24"/>
        </w:rPr>
      </w:pPr>
    </w:p>
    <w:p w:rsidR="00D4552B" w:rsidRPr="007C61CD" w:rsidRDefault="00E314DA" w:rsidP="007C61CD">
      <w:pPr>
        <w:pStyle w:val="Ttulo1"/>
        <w:spacing w:line="360" w:lineRule="auto"/>
        <w:ind w:left="720" w:hanging="360"/>
        <w:jc w:val="center"/>
        <w:rPr>
          <w:sz w:val="24"/>
          <w:szCs w:val="24"/>
        </w:rPr>
      </w:pPr>
      <w:bookmarkStart w:id="8" w:name="_Toc325709841"/>
      <w:r w:rsidRPr="007C61CD">
        <w:rPr>
          <w:sz w:val="24"/>
          <w:szCs w:val="24"/>
        </w:rPr>
        <w:t>HIPÓTESIS</w:t>
      </w:r>
      <w:bookmarkEnd w:id="8"/>
    </w:p>
    <w:p w:rsidR="00BC25EC" w:rsidRPr="007C61CD" w:rsidRDefault="00BC25EC" w:rsidP="007C61CD">
      <w:pPr>
        <w:spacing w:line="360" w:lineRule="auto"/>
        <w:rPr>
          <w:rFonts w:cs="Arial"/>
          <w:sz w:val="24"/>
          <w:szCs w:val="24"/>
        </w:rPr>
      </w:pPr>
    </w:p>
    <w:p w:rsidR="001F5715" w:rsidRPr="007C61CD" w:rsidRDefault="001F5715" w:rsidP="009F45AD">
      <w:pPr>
        <w:spacing w:line="360" w:lineRule="auto"/>
        <w:ind w:firstLine="426"/>
        <w:rPr>
          <w:rFonts w:cs="Arial"/>
          <w:sz w:val="24"/>
          <w:szCs w:val="24"/>
        </w:rPr>
      </w:pPr>
      <w:r w:rsidRPr="007C61CD">
        <w:rPr>
          <w:rFonts w:cs="Arial"/>
          <w:sz w:val="24"/>
          <w:szCs w:val="24"/>
          <w:lang w:val="es-MX"/>
        </w:rPr>
        <w:t xml:space="preserve">La </w:t>
      </w:r>
      <w:r w:rsidR="00087800" w:rsidRPr="007C61CD">
        <w:rPr>
          <w:rFonts w:cs="Arial"/>
          <w:sz w:val="24"/>
          <w:szCs w:val="24"/>
          <w:lang w:val="es-MX"/>
        </w:rPr>
        <w:t xml:space="preserve">caracterización </w:t>
      </w:r>
      <w:r w:rsidRPr="007C61CD">
        <w:rPr>
          <w:rFonts w:cs="Arial"/>
          <w:sz w:val="24"/>
          <w:szCs w:val="24"/>
          <w:lang w:val="es-MX"/>
        </w:rPr>
        <w:t xml:space="preserve">del </w:t>
      </w:r>
      <w:r w:rsidR="002D0D38">
        <w:rPr>
          <w:rFonts w:cs="Arial"/>
          <w:sz w:val="24"/>
          <w:szCs w:val="24"/>
          <w:lang w:val="es-MX"/>
        </w:rPr>
        <w:t xml:space="preserve">efecto de la </w:t>
      </w:r>
      <w:r w:rsidR="001B68FE">
        <w:rPr>
          <w:rFonts w:cs="Arial"/>
          <w:sz w:val="24"/>
          <w:szCs w:val="24"/>
          <w:lang w:val="es-MX"/>
        </w:rPr>
        <w:t>YOH</w:t>
      </w:r>
      <w:r w:rsidR="004E4556">
        <w:rPr>
          <w:rFonts w:cs="Arial"/>
          <w:sz w:val="24"/>
          <w:szCs w:val="24"/>
          <w:lang w:val="es-MX"/>
        </w:rPr>
        <w:t xml:space="preserve"> sobre </w:t>
      </w:r>
      <w:r w:rsidR="002D0D38">
        <w:rPr>
          <w:rFonts w:cs="Arial"/>
          <w:sz w:val="24"/>
          <w:szCs w:val="24"/>
          <w:lang w:val="es-MX"/>
        </w:rPr>
        <w:t xml:space="preserve">los </w:t>
      </w:r>
      <w:r w:rsidR="002D0D38" w:rsidRPr="009D24F4">
        <w:rPr>
          <w:rFonts w:cs="Arial"/>
          <w:color w:val="000000" w:themeColor="text1"/>
          <w:sz w:val="24"/>
          <w:szCs w:val="24"/>
          <w:lang w:val="es-MX"/>
        </w:rPr>
        <w:t>pará</w:t>
      </w:r>
      <w:r w:rsidR="00995A65" w:rsidRPr="009D24F4">
        <w:rPr>
          <w:rFonts w:cs="Arial"/>
          <w:color w:val="000000" w:themeColor="text1"/>
          <w:sz w:val="24"/>
          <w:szCs w:val="24"/>
          <w:lang w:val="es-MX"/>
        </w:rPr>
        <w:t>metros</w:t>
      </w:r>
      <w:r w:rsidR="00995A65" w:rsidRPr="002D0D38">
        <w:rPr>
          <w:rFonts w:cs="Arial"/>
          <w:color w:val="FF0000"/>
          <w:sz w:val="24"/>
          <w:szCs w:val="24"/>
          <w:lang w:val="es-MX"/>
        </w:rPr>
        <w:t xml:space="preserve"> </w:t>
      </w:r>
      <w:r w:rsidR="001B68FE">
        <w:rPr>
          <w:rFonts w:cs="Arial"/>
          <w:sz w:val="24"/>
          <w:szCs w:val="24"/>
          <w:lang w:val="es-MX"/>
        </w:rPr>
        <w:t>farmacocinéticos y farmacodiná</w:t>
      </w:r>
      <w:r w:rsidR="004E4556">
        <w:rPr>
          <w:rFonts w:cs="Arial"/>
          <w:sz w:val="24"/>
          <w:szCs w:val="24"/>
          <w:lang w:val="es-MX"/>
        </w:rPr>
        <w:t xml:space="preserve">micos en equinos sedados previamente con </w:t>
      </w:r>
      <w:r w:rsidR="001B68FE">
        <w:rPr>
          <w:rFonts w:cs="Arial"/>
          <w:sz w:val="24"/>
          <w:szCs w:val="24"/>
          <w:lang w:val="es-MX"/>
        </w:rPr>
        <w:t>DET</w:t>
      </w:r>
      <w:r w:rsidR="004E4556">
        <w:rPr>
          <w:rFonts w:cs="Arial"/>
          <w:sz w:val="24"/>
          <w:szCs w:val="24"/>
          <w:lang w:val="es-MX"/>
        </w:rPr>
        <w:t>, permitirán al clínico establecer un crite</w:t>
      </w:r>
      <w:r w:rsidR="00995A65">
        <w:rPr>
          <w:rFonts w:cs="Arial"/>
          <w:sz w:val="24"/>
          <w:szCs w:val="24"/>
          <w:lang w:val="es-MX"/>
        </w:rPr>
        <w:t>rio sobre el uso adecuado de la</w:t>
      </w:r>
      <w:r w:rsidR="004E4556">
        <w:rPr>
          <w:rFonts w:cs="Arial"/>
          <w:sz w:val="24"/>
          <w:szCs w:val="24"/>
          <w:lang w:val="es-MX"/>
        </w:rPr>
        <w:t xml:space="preserve"> </w:t>
      </w:r>
      <w:r w:rsidR="001B68FE">
        <w:rPr>
          <w:rFonts w:cs="Arial"/>
          <w:sz w:val="24"/>
          <w:szCs w:val="24"/>
          <w:lang w:val="es-MX"/>
        </w:rPr>
        <w:t>YOH</w:t>
      </w:r>
      <w:r w:rsidR="00995A65">
        <w:rPr>
          <w:rFonts w:cs="Arial"/>
          <w:sz w:val="24"/>
          <w:szCs w:val="24"/>
          <w:lang w:val="es-MX"/>
        </w:rPr>
        <w:t>, y así</w:t>
      </w:r>
      <w:r w:rsidR="004E4556">
        <w:rPr>
          <w:rFonts w:cs="Arial"/>
          <w:sz w:val="24"/>
          <w:szCs w:val="24"/>
          <w:lang w:val="es-MX"/>
        </w:rPr>
        <w:t xml:space="preserve"> poder </w:t>
      </w:r>
      <w:r w:rsidRPr="007C61CD">
        <w:rPr>
          <w:rFonts w:cs="Arial"/>
          <w:sz w:val="24"/>
          <w:szCs w:val="24"/>
        </w:rPr>
        <w:t xml:space="preserve">tomar </w:t>
      </w:r>
      <w:r w:rsidR="00040D95" w:rsidRPr="007C61CD">
        <w:rPr>
          <w:rFonts w:cs="Arial"/>
          <w:sz w:val="24"/>
          <w:szCs w:val="24"/>
        </w:rPr>
        <w:t>decisio</w:t>
      </w:r>
      <w:r w:rsidRPr="007C61CD">
        <w:rPr>
          <w:rFonts w:cs="Arial"/>
          <w:sz w:val="24"/>
          <w:szCs w:val="24"/>
        </w:rPr>
        <w:t>n</w:t>
      </w:r>
      <w:r w:rsidR="00040D95" w:rsidRPr="007C61CD">
        <w:rPr>
          <w:rFonts w:cs="Arial"/>
          <w:sz w:val="24"/>
          <w:szCs w:val="24"/>
        </w:rPr>
        <w:t>es</w:t>
      </w:r>
      <w:r w:rsidRPr="007C61CD">
        <w:rPr>
          <w:rFonts w:cs="Arial"/>
          <w:sz w:val="24"/>
          <w:szCs w:val="24"/>
        </w:rPr>
        <w:t xml:space="preserve"> terapéutica</w:t>
      </w:r>
      <w:r w:rsidR="00040D95" w:rsidRPr="007C61CD">
        <w:rPr>
          <w:rFonts w:cs="Arial"/>
          <w:sz w:val="24"/>
          <w:szCs w:val="24"/>
        </w:rPr>
        <w:t>s en pacientes</w:t>
      </w:r>
      <w:r w:rsidR="004E4556">
        <w:rPr>
          <w:rFonts w:cs="Arial"/>
          <w:sz w:val="24"/>
          <w:szCs w:val="24"/>
        </w:rPr>
        <w:t xml:space="preserve"> equinos</w:t>
      </w:r>
      <w:r w:rsidRPr="007C61CD">
        <w:rPr>
          <w:rFonts w:cs="Arial"/>
          <w:sz w:val="24"/>
          <w:szCs w:val="24"/>
        </w:rPr>
        <w:t xml:space="preserve">. </w:t>
      </w:r>
    </w:p>
    <w:p w:rsidR="00AD54EC" w:rsidRDefault="00AD54EC" w:rsidP="007C61CD">
      <w:pPr>
        <w:tabs>
          <w:tab w:val="left" w:pos="1230"/>
        </w:tabs>
        <w:spacing w:line="360" w:lineRule="auto"/>
        <w:rPr>
          <w:rFonts w:cs="Arial"/>
          <w:sz w:val="24"/>
          <w:szCs w:val="24"/>
          <w:lang w:val="es-MX"/>
        </w:rPr>
      </w:pPr>
    </w:p>
    <w:p w:rsidR="00995A65" w:rsidRPr="007C61CD" w:rsidRDefault="00995A65" w:rsidP="007C61CD">
      <w:pPr>
        <w:tabs>
          <w:tab w:val="left" w:pos="1230"/>
        </w:tabs>
        <w:spacing w:line="360" w:lineRule="auto"/>
        <w:rPr>
          <w:rFonts w:cs="Arial"/>
          <w:sz w:val="24"/>
          <w:szCs w:val="24"/>
          <w:lang w:val="es-MX"/>
        </w:rPr>
      </w:pPr>
    </w:p>
    <w:p w:rsidR="00D2111B" w:rsidRPr="007C61CD" w:rsidRDefault="00E314DA" w:rsidP="007C61CD">
      <w:pPr>
        <w:pStyle w:val="Ttulo1"/>
        <w:spacing w:line="360" w:lineRule="auto"/>
        <w:ind w:left="720" w:hanging="360"/>
        <w:jc w:val="center"/>
        <w:rPr>
          <w:sz w:val="24"/>
          <w:szCs w:val="24"/>
        </w:rPr>
      </w:pPr>
      <w:bookmarkStart w:id="9" w:name="_Toc325709842"/>
      <w:r w:rsidRPr="007C61CD">
        <w:rPr>
          <w:sz w:val="24"/>
          <w:szCs w:val="24"/>
        </w:rPr>
        <w:lastRenderedPageBreak/>
        <w:t>OBJETIVOS</w:t>
      </w:r>
      <w:bookmarkEnd w:id="9"/>
    </w:p>
    <w:p w:rsidR="00BB581B" w:rsidRPr="007C61CD" w:rsidRDefault="00A518CC" w:rsidP="007C61CD">
      <w:pPr>
        <w:pStyle w:val="Textoindependiente"/>
        <w:spacing w:line="360" w:lineRule="auto"/>
        <w:rPr>
          <w:rFonts w:ascii="Arial" w:hAnsi="Arial" w:cs="Arial"/>
          <w:szCs w:val="24"/>
          <w:lang w:val="es-MX"/>
        </w:rPr>
      </w:pPr>
      <w:r>
        <w:rPr>
          <w:rFonts w:ascii="Arial" w:hAnsi="Arial" w:cs="Arial"/>
          <w:szCs w:val="24"/>
        </w:rPr>
        <w:t xml:space="preserve">Describir y </w:t>
      </w:r>
      <w:r>
        <w:rPr>
          <w:rFonts w:ascii="Arial" w:hAnsi="Arial" w:cs="Arial"/>
          <w:szCs w:val="24"/>
          <w:lang w:val="es-MX"/>
        </w:rPr>
        <w:t>caracterizar</w:t>
      </w:r>
      <w:r w:rsidR="000942DC">
        <w:rPr>
          <w:rFonts w:ascii="Arial" w:hAnsi="Arial" w:cs="Arial"/>
          <w:szCs w:val="24"/>
          <w:lang w:val="es-MX"/>
        </w:rPr>
        <w:t xml:space="preserve"> de manera certera y precisa los efectos farmacocinéticos y farmacodinámicos de la yohimbina en caballos sedados previamente con Detomidina a partir de una revisión bibliográfica sistemática.</w:t>
      </w:r>
    </w:p>
    <w:p w:rsidR="00D2111B" w:rsidRPr="007C61CD" w:rsidRDefault="00D2111B" w:rsidP="007C61CD">
      <w:pPr>
        <w:pStyle w:val="Ttulo2"/>
        <w:spacing w:line="360" w:lineRule="auto"/>
        <w:jc w:val="both"/>
        <w:rPr>
          <w:sz w:val="24"/>
          <w:szCs w:val="24"/>
          <w:lang w:val="es-MX"/>
        </w:rPr>
      </w:pPr>
      <w:bookmarkStart w:id="10" w:name="_Toc153267076"/>
      <w:bookmarkStart w:id="11" w:name="_Toc153270034"/>
      <w:bookmarkStart w:id="12" w:name="_Toc153270257"/>
      <w:bookmarkStart w:id="13" w:name="_Toc157528428"/>
      <w:bookmarkStart w:id="14" w:name="_Toc325709843"/>
      <w:r w:rsidRPr="007C61CD">
        <w:rPr>
          <w:sz w:val="24"/>
          <w:szCs w:val="24"/>
          <w:lang w:val="es-MX"/>
        </w:rPr>
        <w:t>Específicos</w:t>
      </w:r>
      <w:bookmarkEnd w:id="10"/>
      <w:bookmarkEnd w:id="11"/>
      <w:bookmarkEnd w:id="12"/>
      <w:bookmarkEnd w:id="13"/>
      <w:bookmarkEnd w:id="14"/>
      <w:r w:rsidRPr="007C61CD">
        <w:rPr>
          <w:sz w:val="24"/>
          <w:szCs w:val="24"/>
          <w:lang w:val="es-MX"/>
        </w:rPr>
        <w:t xml:space="preserve"> </w:t>
      </w:r>
    </w:p>
    <w:p w:rsidR="00040D95" w:rsidRPr="009D24F4" w:rsidRDefault="00333E5D" w:rsidP="007C61CD">
      <w:pPr>
        <w:pStyle w:val="Textoindependiente"/>
        <w:numPr>
          <w:ilvl w:val="0"/>
          <w:numId w:val="6"/>
        </w:numPr>
        <w:spacing w:line="360" w:lineRule="auto"/>
        <w:rPr>
          <w:rFonts w:ascii="Arial" w:hAnsi="Arial" w:cs="Arial"/>
          <w:color w:val="000000" w:themeColor="text1"/>
          <w:szCs w:val="24"/>
          <w:lang w:val="es-MX"/>
        </w:rPr>
      </w:pPr>
      <w:r>
        <w:rPr>
          <w:rFonts w:ascii="Arial" w:eastAsiaTheme="minorHAnsi" w:hAnsi="Arial" w:cs="Arial"/>
          <w:szCs w:val="24"/>
          <w:lang w:val="es-MX" w:eastAsia="en-US"/>
        </w:rPr>
        <w:t>Identificar</w:t>
      </w:r>
      <w:r w:rsidR="00AD54EC" w:rsidRPr="007C61CD">
        <w:rPr>
          <w:rFonts w:ascii="Arial" w:eastAsiaTheme="minorHAnsi" w:hAnsi="Arial" w:cs="Arial"/>
          <w:szCs w:val="24"/>
          <w:lang w:val="es-MX" w:eastAsia="en-US"/>
        </w:rPr>
        <w:t xml:space="preserve"> </w:t>
      </w:r>
      <w:r w:rsidR="00040D95" w:rsidRPr="007C61CD">
        <w:rPr>
          <w:rFonts w:ascii="Arial" w:eastAsiaTheme="minorHAnsi" w:hAnsi="Arial" w:cs="Arial"/>
          <w:szCs w:val="24"/>
          <w:lang w:val="es-MX" w:eastAsia="en-US"/>
        </w:rPr>
        <w:t xml:space="preserve">los </w:t>
      </w:r>
      <w:r>
        <w:rPr>
          <w:rFonts w:ascii="Arial" w:eastAsiaTheme="minorHAnsi" w:hAnsi="Arial" w:cs="Arial"/>
          <w:szCs w:val="24"/>
          <w:lang w:val="es-MX" w:eastAsia="en-US"/>
        </w:rPr>
        <w:t xml:space="preserve">efectos </w:t>
      </w:r>
      <w:r w:rsidR="00D70817">
        <w:rPr>
          <w:rFonts w:ascii="Arial" w:eastAsiaTheme="minorHAnsi" w:hAnsi="Arial" w:cs="Arial"/>
          <w:szCs w:val="24"/>
          <w:lang w:val="es-MX" w:eastAsia="en-US"/>
        </w:rPr>
        <w:t xml:space="preserve">farmacocinéticos y farmacodinámicos </w:t>
      </w:r>
      <w:r>
        <w:rPr>
          <w:rFonts w:ascii="Arial" w:eastAsiaTheme="minorHAnsi" w:hAnsi="Arial" w:cs="Arial"/>
          <w:szCs w:val="24"/>
          <w:lang w:val="es-MX" w:eastAsia="en-US"/>
        </w:rPr>
        <w:t xml:space="preserve">de la </w:t>
      </w:r>
      <w:r w:rsidR="001B68FE" w:rsidRPr="009D24F4">
        <w:rPr>
          <w:rFonts w:ascii="Arial" w:eastAsiaTheme="minorHAnsi" w:hAnsi="Arial" w:cs="Arial"/>
          <w:color w:val="000000" w:themeColor="text1"/>
          <w:szCs w:val="24"/>
          <w:lang w:val="es-MX" w:eastAsia="en-US"/>
        </w:rPr>
        <w:t>DET</w:t>
      </w:r>
      <w:r w:rsidRPr="009D24F4">
        <w:rPr>
          <w:rFonts w:ascii="Arial" w:eastAsiaTheme="minorHAnsi" w:hAnsi="Arial" w:cs="Arial"/>
          <w:color w:val="000000" w:themeColor="text1"/>
          <w:szCs w:val="24"/>
          <w:lang w:val="es-MX" w:eastAsia="en-US"/>
        </w:rPr>
        <w:t xml:space="preserve"> en el caballo</w:t>
      </w:r>
      <w:r w:rsidR="00040D95" w:rsidRPr="009D24F4">
        <w:rPr>
          <w:rFonts w:ascii="Arial" w:eastAsiaTheme="minorHAnsi" w:hAnsi="Arial" w:cs="Arial"/>
          <w:color w:val="000000" w:themeColor="text1"/>
          <w:szCs w:val="24"/>
          <w:lang w:val="es-MX" w:eastAsia="en-US"/>
        </w:rPr>
        <w:t>.</w:t>
      </w:r>
    </w:p>
    <w:p w:rsidR="00995A65" w:rsidRPr="009D24F4" w:rsidRDefault="00995A65" w:rsidP="00995A65">
      <w:pPr>
        <w:pStyle w:val="Textoindependiente"/>
        <w:numPr>
          <w:ilvl w:val="0"/>
          <w:numId w:val="6"/>
        </w:numPr>
        <w:spacing w:line="360" w:lineRule="auto"/>
        <w:rPr>
          <w:rFonts w:ascii="Arial" w:hAnsi="Arial" w:cs="Arial"/>
          <w:color w:val="000000" w:themeColor="text1"/>
          <w:szCs w:val="24"/>
          <w:lang w:val="es-MX"/>
        </w:rPr>
      </w:pPr>
      <w:r w:rsidRPr="009D24F4">
        <w:rPr>
          <w:rFonts w:ascii="Arial" w:eastAsiaTheme="minorHAnsi" w:hAnsi="Arial" w:cs="Arial"/>
          <w:color w:val="000000" w:themeColor="text1"/>
          <w:szCs w:val="24"/>
          <w:lang w:val="es-MX" w:eastAsia="en-US"/>
        </w:rPr>
        <w:t xml:space="preserve">Identificar los efectos </w:t>
      </w:r>
      <w:r w:rsidR="00D70817" w:rsidRPr="009D24F4">
        <w:rPr>
          <w:rFonts w:ascii="Arial" w:eastAsiaTheme="minorHAnsi" w:hAnsi="Arial" w:cs="Arial"/>
          <w:color w:val="000000" w:themeColor="text1"/>
          <w:szCs w:val="24"/>
          <w:lang w:val="es-MX" w:eastAsia="en-US"/>
        </w:rPr>
        <w:t xml:space="preserve">farmacocinéticos y farmacodinámicos de la </w:t>
      </w:r>
      <w:r w:rsidR="001B68FE" w:rsidRPr="009D24F4">
        <w:rPr>
          <w:rFonts w:ascii="Arial" w:eastAsiaTheme="minorHAnsi" w:hAnsi="Arial" w:cs="Arial"/>
          <w:color w:val="000000" w:themeColor="text1"/>
          <w:szCs w:val="24"/>
          <w:lang w:val="es-MX" w:eastAsia="en-US"/>
        </w:rPr>
        <w:t>YOH</w:t>
      </w:r>
      <w:r w:rsidRPr="009D24F4">
        <w:rPr>
          <w:rFonts w:ascii="Arial" w:eastAsiaTheme="minorHAnsi" w:hAnsi="Arial" w:cs="Arial"/>
          <w:color w:val="000000" w:themeColor="text1"/>
          <w:szCs w:val="24"/>
          <w:lang w:val="es-MX" w:eastAsia="en-US"/>
        </w:rPr>
        <w:t xml:space="preserve"> en el caballo.</w:t>
      </w:r>
    </w:p>
    <w:p w:rsidR="00040D95" w:rsidRPr="009D24F4" w:rsidRDefault="00333E5D" w:rsidP="00995A65">
      <w:pPr>
        <w:pStyle w:val="Textoindependiente"/>
        <w:numPr>
          <w:ilvl w:val="0"/>
          <w:numId w:val="6"/>
        </w:numPr>
        <w:spacing w:line="360" w:lineRule="auto"/>
        <w:rPr>
          <w:rFonts w:ascii="Arial" w:hAnsi="Arial" w:cs="Arial"/>
          <w:color w:val="000000" w:themeColor="text1"/>
          <w:szCs w:val="24"/>
          <w:lang w:val="es-MX"/>
        </w:rPr>
      </w:pPr>
      <w:r w:rsidRPr="009D24F4">
        <w:rPr>
          <w:rFonts w:ascii="Arial" w:eastAsiaTheme="minorHAnsi" w:hAnsi="Arial" w:cs="Arial"/>
          <w:color w:val="000000" w:themeColor="text1"/>
          <w:szCs w:val="24"/>
          <w:lang w:val="es-MX" w:eastAsia="en-US"/>
        </w:rPr>
        <w:t>Cara</w:t>
      </w:r>
      <w:r w:rsidR="00995A65" w:rsidRPr="009D24F4">
        <w:rPr>
          <w:rFonts w:ascii="Arial" w:eastAsiaTheme="minorHAnsi" w:hAnsi="Arial" w:cs="Arial"/>
          <w:color w:val="000000" w:themeColor="text1"/>
          <w:szCs w:val="24"/>
          <w:lang w:val="es-MX" w:eastAsia="en-US"/>
        </w:rPr>
        <w:t xml:space="preserve">cterizar los efectos farmacocinéticos y farmacodinámicos de la </w:t>
      </w:r>
      <w:r w:rsidR="001B68FE" w:rsidRPr="009D24F4">
        <w:rPr>
          <w:rFonts w:ascii="Arial" w:eastAsiaTheme="minorHAnsi" w:hAnsi="Arial" w:cs="Arial"/>
          <w:color w:val="000000" w:themeColor="text1"/>
          <w:szCs w:val="24"/>
          <w:lang w:val="es-MX" w:eastAsia="en-US"/>
        </w:rPr>
        <w:t>YOH</w:t>
      </w:r>
      <w:r w:rsidRPr="009D24F4">
        <w:rPr>
          <w:rFonts w:ascii="Arial" w:eastAsiaTheme="minorHAnsi" w:hAnsi="Arial" w:cs="Arial"/>
          <w:color w:val="000000" w:themeColor="text1"/>
          <w:szCs w:val="24"/>
          <w:lang w:val="es-MX" w:eastAsia="en-US"/>
        </w:rPr>
        <w:t xml:space="preserve"> en ca</w:t>
      </w:r>
      <w:r w:rsidR="002D0D38" w:rsidRPr="009D24F4">
        <w:rPr>
          <w:rFonts w:ascii="Arial" w:eastAsiaTheme="minorHAnsi" w:hAnsi="Arial" w:cs="Arial"/>
          <w:color w:val="000000" w:themeColor="text1"/>
          <w:szCs w:val="24"/>
          <w:lang w:val="es-MX" w:eastAsia="en-US"/>
        </w:rPr>
        <w:t xml:space="preserve">ballos sedados previamente con </w:t>
      </w:r>
      <w:r w:rsidR="001B68FE" w:rsidRPr="009D24F4">
        <w:rPr>
          <w:rFonts w:ascii="Arial" w:eastAsiaTheme="minorHAnsi" w:hAnsi="Arial" w:cs="Arial"/>
          <w:color w:val="000000" w:themeColor="text1"/>
          <w:szCs w:val="24"/>
          <w:lang w:val="es-MX" w:eastAsia="en-US"/>
        </w:rPr>
        <w:t>DET</w:t>
      </w:r>
      <w:r w:rsidR="00040D95" w:rsidRPr="009D24F4">
        <w:rPr>
          <w:rFonts w:ascii="Arial" w:eastAsiaTheme="minorHAnsi" w:hAnsi="Arial" w:cs="Arial"/>
          <w:color w:val="000000" w:themeColor="text1"/>
          <w:szCs w:val="24"/>
          <w:lang w:val="es-MX" w:eastAsia="en-US"/>
        </w:rPr>
        <w:t xml:space="preserve">. </w:t>
      </w:r>
    </w:p>
    <w:p w:rsidR="00040D95" w:rsidRPr="007C61CD" w:rsidRDefault="00040D95" w:rsidP="007C61CD">
      <w:pPr>
        <w:spacing w:line="360" w:lineRule="auto"/>
        <w:rPr>
          <w:rFonts w:eastAsiaTheme="minorHAnsi" w:cs="Arial"/>
          <w:sz w:val="24"/>
          <w:szCs w:val="24"/>
          <w:lang w:val="es-MX" w:eastAsia="en-US"/>
        </w:rPr>
      </w:pPr>
      <w:r w:rsidRPr="007C61CD">
        <w:rPr>
          <w:rFonts w:eastAsiaTheme="minorHAnsi" w:cs="Arial"/>
          <w:sz w:val="24"/>
          <w:szCs w:val="24"/>
          <w:lang w:val="es-MX" w:eastAsia="en-US"/>
        </w:rPr>
        <w:br w:type="page"/>
      </w:r>
    </w:p>
    <w:p w:rsidR="00D82CE3" w:rsidRPr="007C61CD" w:rsidRDefault="00D82CE3" w:rsidP="007C61CD">
      <w:pPr>
        <w:pStyle w:val="Ttulo1"/>
        <w:spacing w:line="360" w:lineRule="auto"/>
        <w:jc w:val="center"/>
        <w:rPr>
          <w:sz w:val="24"/>
          <w:szCs w:val="24"/>
        </w:rPr>
      </w:pPr>
      <w:bookmarkStart w:id="15" w:name="_Toc318657466"/>
      <w:bookmarkStart w:id="16" w:name="_Toc325709844"/>
      <w:r w:rsidRPr="007C61CD">
        <w:rPr>
          <w:sz w:val="24"/>
          <w:szCs w:val="24"/>
        </w:rPr>
        <w:lastRenderedPageBreak/>
        <w:t>M</w:t>
      </w:r>
      <w:r w:rsidR="00ED4860" w:rsidRPr="007C61CD">
        <w:rPr>
          <w:sz w:val="24"/>
          <w:szCs w:val="24"/>
        </w:rPr>
        <w:t>ATERIAL Y MÉTODO</w:t>
      </w:r>
      <w:bookmarkEnd w:id="15"/>
      <w:bookmarkEnd w:id="16"/>
    </w:p>
    <w:p w:rsidR="00D82CE3" w:rsidRPr="007C61CD" w:rsidRDefault="00D82CE3" w:rsidP="007C61CD">
      <w:pPr>
        <w:pStyle w:val="Textoindependiente"/>
        <w:spacing w:line="360" w:lineRule="auto"/>
        <w:rPr>
          <w:rFonts w:ascii="Arial" w:hAnsi="Arial" w:cs="Arial"/>
          <w:b/>
          <w:szCs w:val="24"/>
        </w:rPr>
      </w:pPr>
    </w:p>
    <w:p w:rsidR="00D82CE3" w:rsidRPr="007C61CD" w:rsidRDefault="00D82CE3" w:rsidP="007C61CD">
      <w:pPr>
        <w:pStyle w:val="Ttulo2"/>
        <w:spacing w:line="360" w:lineRule="auto"/>
        <w:rPr>
          <w:sz w:val="24"/>
          <w:szCs w:val="24"/>
          <w:lang w:val="es-MX"/>
        </w:rPr>
      </w:pPr>
      <w:bookmarkStart w:id="17" w:name="_Toc318657468"/>
      <w:bookmarkStart w:id="18" w:name="_Toc325709845"/>
      <w:r w:rsidRPr="007C61CD">
        <w:rPr>
          <w:sz w:val="24"/>
          <w:szCs w:val="24"/>
          <w:lang w:val="es-MX"/>
        </w:rPr>
        <w:t>Diseño experimental.</w:t>
      </w:r>
      <w:bookmarkEnd w:id="17"/>
      <w:bookmarkEnd w:id="18"/>
    </w:p>
    <w:p w:rsidR="009C3DD8" w:rsidRPr="00A856B9" w:rsidRDefault="00D70817" w:rsidP="00333E5D">
      <w:pPr>
        <w:autoSpaceDE w:val="0"/>
        <w:autoSpaceDN w:val="0"/>
        <w:adjustRightInd w:val="0"/>
        <w:spacing w:line="360" w:lineRule="auto"/>
        <w:rPr>
          <w:rFonts w:cs="Arial"/>
          <w:color w:val="000000" w:themeColor="text1"/>
          <w:sz w:val="24"/>
          <w:szCs w:val="24"/>
          <w:lang w:val="es-MX"/>
        </w:rPr>
      </w:pPr>
      <w:r w:rsidRPr="00A856B9">
        <w:rPr>
          <w:rFonts w:cs="Arial"/>
          <w:color w:val="000000" w:themeColor="text1"/>
          <w:sz w:val="24"/>
          <w:szCs w:val="24"/>
          <w:lang w:val="es-MX"/>
        </w:rPr>
        <w:t>Se realizará</w:t>
      </w:r>
      <w:r w:rsidR="00A72E14" w:rsidRPr="00A856B9">
        <w:rPr>
          <w:rFonts w:cs="Arial"/>
          <w:color w:val="000000" w:themeColor="text1"/>
          <w:sz w:val="24"/>
          <w:szCs w:val="24"/>
          <w:lang w:val="es-MX"/>
        </w:rPr>
        <w:t xml:space="preserve"> una búsqueda en PubMed (Centro Nacional de Información s</w:t>
      </w:r>
      <w:r w:rsidRPr="00A856B9">
        <w:rPr>
          <w:rFonts w:cs="Arial"/>
          <w:color w:val="000000" w:themeColor="text1"/>
          <w:sz w:val="24"/>
          <w:szCs w:val="24"/>
          <w:lang w:val="es-MX"/>
        </w:rPr>
        <w:t>obre Biotecnología, Biblioteca N</w:t>
      </w:r>
      <w:r w:rsidR="00A72E14" w:rsidRPr="00A856B9">
        <w:rPr>
          <w:rFonts w:cs="Arial"/>
          <w:color w:val="000000" w:themeColor="text1"/>
          <w:sz w:val="24"/>
          <w:szCs w:val="24"/>
          <w:lang w:val="es-MX"/>
        </w:rPr>
        <w:t>acional de Estados Unidos, Bethesda, MD) y SCOPUS (Elsevier Inteligencia Investigación) desde su creación el 26 de mayo de 201</w:t>
      </w:r>
      <w:r w:rsidRPr="00A856B9">
        <w:rPr>
          <w:rFonts w:cs="Arial"/>
          <w:color w:val="000000" w:themeColor="text1"/>
          <w:sz w:val="24"/>
          <w:szCs w:val="24"/>
          <w:lang w:val="es-MX"/>
        </w:rPr>
        <w:t>5. En la revisión se incluirá</w:t>
      </w:r>
      <w:r w:rsidR="00A72E14" w:rsidRPr="00A856B9">
        <w:rPr>
          <w:rFonts w:cs="Arial"/>
          <w:color w:val="000000" w:themeColor="text1"/>
          <w:sz w:val="24"/>
          <w:szCs w:val="24"/>
          <w:lang w:val="es-MX"/>
        </w:rPr>
        <w:t>n estudios experimentales qu</w:t>
      </w:r>
      <w:r w:rsidRPr="00A856B9">
        <w:rPr>
          <w:rFonts w:cs="Arial"/>
          <w:color w:val="000000" w:themeColor="text1"/>
          <w:sz w:val="24"/>
          <w:szCs w:val="24"/>
          <w:lang w:val="es-MX"/>
        </w:rPr>
        <w:t>e involucre</w:t>
      </w:r>
      <w:r w:rsidR="00AF1E1A" w:rsidRPr="00A856B9">
        <w:rPr>
          <w:rFonts w:cs="Arial"/>
          <w:color w:val="000000" w:themeColor="text1"/>
          <w:sz w:val="24"/>
          <w:szCs w:val="24"/>
          <w:lang w:val="es-MX"/>
        </w:rPr>
        <w:t xml:space="preserve">n </w:t>
      </w:r>
      <w:r w:rsidR="00E1568F" w:rsidRPr="00A856B9">
        <w:rPr>
          <w:rFonts w:cs="Arial"/>
          <w:color w:val="000000" w:themeColor="text1"/>
          <w:sz w:val="24"/>
          <w:szCs w:val="24"/>
          <w:lang w:val="es-MX"/>
        </w:rPr>
        <w:t xml:space="preserve">el analisis de los parámetros </w:t>
      </w:r>
      <w:r w:rsidR="00F511EE" w:rsidRPr="00A856B9">
        <w:rPr>
          <w:rFonts w:cs="Arial"/>
          <w:color w:val="000000" w:themeColor="text1"/>
          <w:sz w:val="24"/>
          <w:szCs w:val="24"/>
          <w:lang w:val="es-MX"/>
        </w:rPr>
        <w:t>farmacodiná</w:t>
      </w:r>
      <w:r w:rsidR="00E1568F" w:rsidRPr="00A856B9">
        <w:rPr>
          <w:rFonts w:cs="Arial"/>
          <w:color w:val="000000" w:themeColor="text1"/>
          <w:sz w:val="24"/>
          <w:szCs w:val="24"/>
          <w:lang w:val="es-MX"/>
        </w:rPr>
        <w:t xml:space="preserve">micos y </w:t>
      </w:r>
      <w:r w:rsidR="002D0D38" w:rsidRPr="00A856B9">
        <w:rPr>
          <w:rFonts w:cs="Arial"/>
          <w:color w:val="000000" w:themeColor="text1"/>
          <w:sz w:val="24"/>
          <w:szCs w:val="24"/>
          <w:lang w:val="es-MX"/>
        </w:rPr>
        <w:t>farmacocinéticos en equinos clí</w:t>
      </w:r>
      <w:r w:rsidR="00E1568F" w:rsidRPr="00A856B9">
        <w:rPr>
          <w:rFonts w:cs="Arial"/>
          <w:color w:val="000000" w:themeColor="text1"/>
          <w:sz w:val="24"/>
          <w:szCs w:val="24"/>
          <w:lang w:val="es-MX"/>
        </w:rPr>
        <w:t xml:space="preserve">nicamente sanos tras la </w:t>
      </w:r>
      <w:r w:rsidR="00AF1E1A" w:rsidRPr="00A856B9">
        <w:rPr>
          <w:rFonts w:cs="Arial"/>
          <w:color w:val="000000" w:themeColor="text1"/>
          <w:sz w:val="24"/>
          <w:szCs w:val="24"/>
          <w:lang w:val="es-MX"/>
        </w:rPr>
        <w:t xml:space="preserve">administración de la </w:t>
      </w:r>
      <w:r w:rsidR="00B56224" w:rsidRPr="00A856B9">
        <w:rPr>
          <w:rFonts w:cs="Arial"/>
          <w:color w:val="000000" w:themeColor="text1"/>
          <w:sz w:val="24"/>
          <w:szCs w:val="24"/>
          <w:lang w:val="es-MX"/>
        </w:rPr>
        <w:t>DET</w:t>
      </w:r>
      <w:r w:rsidRPr="00A856B9">
        <w:rPr>
          <w:rFonts w:cs="Arial"/>
          <w:color w:val="000000" w:themeColor="text1"/>
          <w:sz w:val="24"/>
          <w:szCs w:val="24"/>
          <w:lang w:val="es-MX"/>
        </w:rPr>
        <w:t xml:space="preserve"> </w:t>
      </w:r>
      <w:r w:rsidR="00E1568F" w:rsidRPr="00A856B9">
        <w:rPr>
          <w:rFonts w:cs="Arial"/>
          <w:color w:val="000000" w:themeColor="text1"/>
          <w:sz w:val="24"/>
          <w:szCs w:val="24"/>
          <w:lang w:val="es-MX"/>
        </w:rPr>
        <w:t xml:space="preserve">por vía enteral o parenteral. </w:t>
      </w:r>
      <w:r w:rsidR="00A72E14" w:rsidRPr="00A856B9">
        <w:rPr>
          <w:rFonts w:cs="Arial"/>
          <w:color w:val="000000" w:themeColor="text1"/>
          <w:sz w:val="24"/>
          <w:szCs w:val="24"/>
          <w:lang w:val="es-MX"/>
        </w:rPr>
        <w:t xml:space="preserve">También se </w:t>
      </w:r>
      <w:r w:rsidR="00E1568F" w:rsidRPr="00A856B9">
        <w:rPr>
          <w:rFonts w:cs="Arial"/>
          <w:color w:val="000000" w:themeColor="text1"/>
          <w:sz w:val="24"/>
          <w:szCs w:val="24"/>
          <w:lang w:val="es-MX"/>
        </w:rPr>
        <w:t xml:space="preserve">incluirán </w:t>
      </w:r>
      <w:r w:rsidR="00A72E14" w:rsidRPr="00A856B9">
        <w:rPr>
          <w:rFonts w:cs="Arial"/>
          <w:color w:val="000000" w:themeColor="text1"/>
          <w:sz w:val="24"/>
          <w:szCs w:val="24"/>
          <w:lang w:val="es-MX"/>
        </w:rPr>
        <w:t>estudios experimentales que d</w:t>
      </w:r>
      <w:r w:rsidR="00E1568F" w:rsidRPr="00A856B9">
        <w:rPr>
          <w:rFonts w:cs="Arial"/>
          <w:color w:val="000000" w:themeColor="text1"/>
          <w:sz w:val="24"/>
          <w:szCs w:val="24"/>
          <w:lang w:val="es-MX"/>
        </w:rPr>
        <w:t xml:space="preserve">eterminen </w:t>
      </w:r>
      <w:r w:rsidR="00AF1E1A" w:rsidRPr="00A856B9">
        <w:rPr>
          <w:rFonts w:cs="Arial"/>
          <w:color w:val="000000" w:themeColor="text1"/>
          <w:sz w:val="24"/>
          <w:szCs w:val="24"/>
          <w:lang w:val="es-MX"/>
        </w:rPr>
        <w:t>la farmacocinética y</w:t>
      </w:r>
      <w:r w:rsidR="00A72E14" w:rsidRPr="00A856B9">
        <w:rPr>
          <w:rFonts w:cs="Arial"/>
          <w:color w:val="000000" w:themeColor="text1"/>
          <w:sz w:val="24"/>
          <w:szCs w:val="24"/>
          <w:lang w:val="es-MX"/>
        </w:rPr>
        <w:t xml:space="preserve"> la farmacodinamia </w:t>
      </w:r>
      <w:r w:rsidR="00E1568F" w:rsidRPr="00A856B9">
        <w:rPr>
          <w:rFonts w:cs="Arial"/>
          <w:color w:val="000000" w:themeColor="text1"/>
          <w:sz w:val="24"/>
          <w:szCs w:val="24"/>
          <w:lang w:val="es-MX"/>
        </w:rPr>
        <w:t xml:space="preserve">y el </w:t>
      </w:r>
      <w:r w:rsidR="00A72E14" w:rsidRPr="00A856B9">
        <w:rPr>
          <w:rFonts w:cs="Arial"/>
          <w:color w:val="000000" w:themeColor="text1"/>
          <w:sz w:val="24"/>
          <w:szCs w:val="24"/>
          <w:lang w:val="es-MX"/>
        </w:rPr>
        <w:t xml:space="preserve">perfil </w:t>
      </w:r>
      <w:r w:rsidR="00E1568F" w:rsidRPr="00A856B9">
        <w:rPr>
          <w:rFonts w:cs="Arial"/>
          <w:color w:val="000000" w:themeColor="text1"/>
          <w:sz w:val="24"/>
          <w:szCs w:val="24"/>
          <w:lang w:val="es-MX"/>
        </w:rPr>
        <w:t xml:space="preserve">farmacológico de la </w:t>
      </w:r>
      <w:r w:rsidR="00E43E78" w:rsidRPr="00A856B9">
        <w:rPr>
          <w:rFonts w:cs="Arial"/>
          <w:color w:val="000000" w:themeColor="text1"/>
          <w:sz w:val="24"/>
          <w:szCs w:val="24"/>
          <w:lang w:val="es-MX"/>
        </w:rPr>
        <w:t>YOH</w:t>
      </w:r>
      <w:r w:rsidR="00E1568F" w:rsidRPr="00A856B9">
        <w:rPr>
          <w:rFonts w:cs="Arial"/>
          <w:color w:val="000000" w:themeColor="text1"/>
          <w:sz w:val="24"/>
          <w:szCs w:val="24"/>
          <w:lang w:val="es-MX"/>
        </w:rPr>
        <w:t xml:space="preserve"> </w:t>
      </w:r>
      <w:r w:rsidR="00A72E14" w:rsidRPr="00A856B9">
        <w:rPr>
          <w:rFonts w:cs="Arial"/>
          <w:color w:val="000000" w:themeColor="text1"/>
          <w:sz w:val="24"/>
          <w:szCs w:val="24"/>
          <w:lang w:val="es-MX"/>
        </w:rPr>
        <w:t xml:space="preserve">en caballos. </w:t>
      </w:r>
      <w:r w:rsidR="00E1568F" w:rsidRPr="00A856B9">
        <w:rPr>
          <w:rFonts w:cs="Arial"/>
          <w:color w:val="000000" w:themeColor="text1"/>
          <w:sz w:val="24"/>
          <w:szCs w:val="24"/>
          <w:lang w:val="es-MX"/>
        </w:rPr>
        <w:t>Finalmente s</w:t>
      </w:r>
      <w:r w:rsidR="00A72E14" w:rsidRPr="00A856B9">
        <w:rPr>
          <w:rFonts w:cs="Arial"/>
          <w:color w:val="000000" w:themeColor="text1"/>
          <w:sz w:val="24"/>
          <w:szCs w:val="24"/>
          <w:lang w:val="es-MX"/>
        </w:rPr>
        <w:t xml:space="preserve">e </w:t>
      </w:r>
      <w:r w:rsidR="00E1568F" w:rsidRPr="00A856B9">
        <w:rPr>
          <w:rFonts w:cs="Arial"/>
          <w:color w:val="000000" w:themeColor="text1"/>
          <w:sz w:val="24"/>
          <w:szCs w:val="24"/>
          <w:lang w:val="es-MX"/>
        </w:rPr>
        <w:t xml:space="preserve">incluirán </w:t>
      </w:r>
      <w:r w:rsidR="00A72E14" w:rsidRPr="00A856B9">
        <w:rPr>
          <w:rFonts w:cs="Arial"/>
          <w:color w:val="000000" w:themeColor="text1"/>
          <w:sz w:val="24"/>
          <w:szCs w:val="24"/>
          <w:lang w:val="es-MX"/>
        </w:rPr>
        <w:t xml:space="preserve">los estudios experimentales </w:t>
      </w:r>
      <w:r w:rsidR="00E1568F" w:rsidRPr="00A856B9">
        <w:rPr>
          <w:rFonts w:cs="Arial"/>
          <w:color w:val="000000" w:themeColor="text1"/>
          <w:sz w:val="24"/>
          <w:szCs w:val="24"/>
          <w:lang w:val="es-MX"/>
        </w:rPr>
        <w:t xml:space="preserve">que </w:t>
      </w:r>
      <w:r w:rsidR="009C3DD8" w:rsidRPr="00A856B9">
        <w:rPr>
          <w:rFonts w:cs="Arial"/>
          <w:color w:val="000000" w:themeColor="text1"/>
          <w:sz w:val="24"/>
          <w:szCs w:val="24"/>
          <w:lang w:val="es-MX"/>
        </w:rPr>
        <w:t>aborden</w:t>
      </w:r>
      <w:r w:rsidR="00E1568F" w:rsidRPr="00A856B9">
        <w:rPr>
          <w:rFonts w:cs="Arial"/>
          <w:color w:val="000000" w:themeColor="text1"/>
          <w:sz w:val="24"/>
          <w:szCs w:val="24"/>
          <w:lang w:val="es-MX"/>
        </w:rPr>
        <w:t xml:space="preserve"> </w:t>
      </w:r>
      <w:r w:rsidR="00A72E14" w:rsidRPr="00A856B9">
        <w:rPr>
          <w:rFonts w:cs="Arial"/>
          <w:color w:val="000000" w:themeColor="text1"/>
          <w:sz w:val="24"/>
          <w:szCs w:val="24"/>
          <w:lang w:val="es-MX"/>
        </w:rPr>
        <w:t xml:space="preserve">el efecto de </w:t>
      </w:r>
      <w:r w:rsidR="00E1568F" w:rsidRPr="00A856B9">
        <w:rPr>
          <w:rFonts w:cs="Arial"/>
          <w:color w:val="000000" w:themeColor="text1"/>
          <w:sz w:val="24"/>
          <w:szCs w:val="24"/>
          <w:lang w:val="es-MX"/>
        </w:rPr>
        <w:t xml:space="preserve">la </w:t>
      </w:r>
      <w:r w:rsidR="00E43E78" w:rsidRPr="00A856B9">
        <w:rPr>
          <w:rFonts w:cs="Arial"/>
          <w:color w:val="000000" w:themeColor="text1"/>
          <w:sz w:val="24"/>
          <w:szCs w:val="24"/>
          <w:lang w:val="es-MX"/>
        </w:rPr>
        <w:t>YOH</w:t>
      </w:r>
      <w:r w:rsidR="00E1568F" w:rsidRPr="00A856B9">
        <w:rPr>
          <w:rFonts w:cs="Arial"/>
          <w:color w:val="000000" w:themeColor="text1"/>
          <w:sz w:val="24"/>
          <w:szCs w:val="24"/>
          <w:lang w:val="es-MX"/>
        </w:rPr>
        <w:t xml:space="preserve"> </w:t>
      </w:r>
      <w:r w:rsidR="00A72E14" w:rsidRPr="00A856B9">
        <w:rPr>
          <w:rFonts w:cs="Arial"/>
          <w:color w:val="000000" w:themeColor="text1"/>
          <w:sz w:val="24"/>
          <w:szCs w:val="24"/>
          <w:lang w:val="es-MX"/>
        </w:rPr>
        <w:t xml:space="preserve">sobre la farmacocinética, farmacodinámica y parámetros de comportamiento en el caballo sedado </w:t>
      </w:r>
      <w:r w:rsidR="00E1568F" w:rsidRPr="00A856B9">
        <w:rPr>
          <w:rFonts w:cs="Arial"/>
          <w:color w:val="000000" w:themeColor="text1"/>
          <w:sz w:val="24"/>
          <w:szCs w:val="24"/>
          <w:lang w:val="es-MX"/>
        </w:rPr>
        <w:t xml:space="preserve">previamente con </w:t>
      </w:r>
      <w:r w:rsidR="00B56224" w:rsidRPr="00A856B9">
        <w:rPr>
          <w:rFonts w:cs="Arial"/>
          <w:color w:val="000000" w:themeColor="text1"/>
          <w:sz w:val="24"/>
          <w:szCs w:val="24"/>
          <w:lang w:val="es-MX"/>
        </w:rPr>
        <w:t>DET</w:t>
      </w:r>
      <w:r w:rsidR="00A72E14" w:rsidRPr="00A856B9">
        <w:rPr>
          <w:rFonts w:cs="Arial"/>
          <w:color w:val="000000" w:themeColor="text1"/>
          <w:sz w:val="24"/>
          <w:szCs w:val="24"/>
          <w:lang w:val="es-MX"/>
        </w:rPr>
        <w:t xml:space="preserve">. </w:t>
      </w:r>
    </w:p>
    <w:p w:rsidR="00E34199" w:rsidRPr="00A856B9" w:rsidRDefault="009C3DD8" w:rsidP="00333E5D">
      <w:pPr>
        <w:autoSpaceDE w:val="0"/>
        <w:autoSpaceDN w:val="0"/>
        <w:adjustRightInd w:val="0"/>
        <w:spacing w:line="360" w:lineRule="auto"/>
        <w:rPr>
          <w:rFonts w:cs="Arial"/>
          <w:color w:val="000000" w:themeColor="text1"/>
          <w:sz w:val="24"/>
          <w:szCs w:val="24"/>
          <w:lang w:val="es-MX"/>
        </w:rPr>
      </w:pPr>
      <w:r w:rsidRPr="00A856B9">
        <w:rPr>
          <w:rFonts w:cs="Arial"/>
          <w:color w:val="000000" w:themeColor="text1"/>
          <w:sz w:val="24"/>
          <w:szCs w:val="24"/>
          <w:lang w:val="es-MX"/>
        </w:rPr>
        <w:t xml:space="preserve">El resultado de </w:t>
      </w:r>
      <w:r w:rsidR="00E34199" w:rsidRPr="00A856B9">
        <w:rPr>
          <w:rFonts w:cs="Arial"/>
          <w:color w:val="000000" w:themeColor="text1"/>
          <w:sz w:val="24"/>
          <w:szCs w:val="24"/>
          <w:lang w:val="es-MX"/>
        </w:rPr>
        <w:t xml:space="preserve">la </w:t>
      </w:r>
      <w:r w:rsidR="00A518CC" w:rsidRPr="00A856B9">
        <w:rPr>
          <w:rFonts w:cs="Arial"/>
          <w:color w:val="000000" w:themeColor="text1"/>
          <w:sz w:val="24"/>
          <w:szCs w:val="24"/>
          <w:lang w:val="es-MX"/>
        </w:rPr>
        <w:t>búsqueda</w:t>
      </w:r>
      <w:r w:rsidR="00E34199" w:rsidRPr="00A856B9">
        <w:rPr>
          <w:rFonts w:cs="Arial"/>
          <w:color w:val="000000" w:themeColor="text1"/>
          <w:sz w:val="24"/>
          <w:szCs w:val="24"/>
          <w:lang w:val="es-MX"/>
        </w:rPr>
        <w:t xml:space="preserve">, permitirá obtener </w:t>
      </w:r>
      <w:r w:rsidRPr="00A856B9">
        <w:rPr>
          <w:rFonts w:cs="Arial"/>
          <w:color w:val="000000" w:themeColor="text1"/>
          <w:sz w:val="24"/>
          <w:szCs w:val="24"/>
          <w:lang w:val="es-MX"/>
        </w:rPr>
        <w:t xml:space="preserve">una determinada cantidad de estudios </w:t>
      </w:r>
      <w:r w:rsidR="00A518CC" w:rsidRPr="00A856B9">
        <w:rPr>
          <w:rFonts w:cs="Arial"/>
          <w:color w:val="000000" w:themeColor="text1"/>
          <w:sz w:val="24"/>
          <w:szCs w:val="24"/>
          <w:lang w:val="es-MX"/>
        </w:rPr>
        <w:t>científicos</w:t>
      </w:r>
      <w:r w:rsidRPr="00A856B9">
        <w:rPr>
          <w:rFonts w:cs="Arial"/>
          <w:color w:val="000000" w:themeColor="text1"/>
          <w:sz w:val="24"/>
          <w:szCs w:val="24"/>
          <w:lang w:val="es-MX"/>
        </w:rPr>
        <w:t>, de l</w:t>
      </w:r>
      <w:r w:rsidR="00A518CC">
        <w:rPr>
          <w:rFonts w:cs="Arial"/>
          <w:color w:val="000000" w:themeColor="text1"/>
          <w:sz w:val="24"/>
          <w:szCs w:val="24"/>
          <w:lang w:val="es-MX"/>
        </w:rPr>
        <w:t>os cuales se realizará una sele</w:t>
      </w:r>
      <w:r w:rsidRPr="00A856B9">
        <w:rPr>
          <w:rFonts w:cs="Arial"/>
          <w:color w:val="000000" w:themeColor="text1"/>
          <w:sz w:val="24"/>
          <w:szCs w:val="24"/>
          <w:lang w:val="es-MX"/>
        </w:rPr>
        <w:t xml:space="preserve">cción de las investigaciones enfocadas </w:t>
      </w:r>
      <w:r w:rsidR="00A518CC" w:rsidRPr="00A856B9">
        <w:rPr>
          <w:rFonts w:cs="Arial"/>
          <w:color w:val="000000" w:themeColor="text1"/>
          <w:sz w:val="24"/>
          <w:szCs w:val="24"/>
          <w:lang w:val="es-MX"/>
        </w:rPr>
        <w:t>específicamente</w:t>
      </w:r>
      <w:r w:rsidRPr="00A856B9">
        <w:rPr>
          <w:rFonts w:cs="Arial"/>
          <w:color w:val="000000" w:themeColor="text1"/>
          <w:sz w:val="24"/>
          <w:szCs w:val="24"/>
          <w:lang w:val="es-MX"/>
        </w:rPr>
        <w:t xml:space="preserve"> a evaluar los efectos de la </w:t>
      </w:r>
      <w:r w:rsidR="00E34199" w:rsidRPr="00A856B9">
        <w:rPr>
          <w:rFonts w:cs="Arial"/>
          <w:color w:val="000000" w:themeColor="text1"/>
          <w:sz w:val="24"/>
          <w:szCs w:val="24"/>
          <w:lang w:val="es-MX"/>
        </w:rPr>
        <w:t>DET</w:t>
      </w:r>
      <w:r w:rsidRPr="00A856B9">
        <w:rPr>
          <w:rFonts w:cs="Arial"/>
          <w:color w:val="000000" w:themeColor="text1"/>
          <w:sz w:val="24"/>
          <w:szCs w:val="24"/>
          <w:lang w:val="es-MX"/>
        </w:rPr>
        <w:t xml:space="preserve">, </w:t>
      </w:r>
      <w:r w:rsidR="00E34199" w:rsidRPr="00A856B9">
        <w:rPr>
          <w:rFonts w:cs="Arial"/>
          <w:color w:val="000000" w:themeColor="text1"/>
          <w:sz w:val="24"/>
          <w:szCs w:val="24"/>
          <w:lang w:val="es-MX"/>
        </w:rPr>
        <w:t>YOH</w:t>
      </w:r>
      <w:r w:rsidRPr="00A856B9">
        <w:rPr>
          <w:rFonts w:cs="Arial"/>
          <w:color w:val="000000" w:themeColor="text1"/>
          <w:sz w:val="24"/>
          <w:szCs w:val="24"/>
          <w:lang w:val="es-MX"/>
        </w:rPr>
        <w:t xml:space="preserve"> </w:t>
      </w:r>
      <w:r w:rsidR="00E34199" w:rsidRPr="00A856B9">
        <w:rPr>
          <w:rFonts w:cs="Arial"/>
          <w:color w:val="000000" w:themeColor="text1"/>
          <w:sz w:val="24"/>
          <w:szCs w:val="24"/>
          <w:lang w:val="es-MX"/>
        </w:rPr>
        <w:t>y de la YOH cuando previamente se administró DET</w:t>
      </w:r>
      <w:r w:rsidRPr="00A856B9">
        <w:rPr>
          <w:rFonts w:cs="Arial"/>
          <w:color w:val="000000" w:themeColor="text1"/>
          <w:sz w:val="24"/>
          <w:szCs w:val="24"/>
          <w:lang w:val="es-MX"/>
        </w:rPr>
        <w:t>. Los documentos obte</w:t>
      </w:r>
      <w:r w:rsidR="00E34199" w:rsidRPr="00A856B9">
        <w:rPr>
          <w:rFonts w:cs="Arial"/>
          <w:color w:val="000000" w:themeColor="text1"/>
          <w:sz w:val="24"/>
          <w:szCs w:val="24"/>
          <w:lang w:val="es-MX"/>
        </w:rPr>
        <w:t>nidos serán el resultado de una</w:t>
      </w:r>
      <w:r w:rsidR="00A72E14" w:rsidRPr="00A856B9">
        <w:rPr>
          <w:rFonts w:cs="Arial"/>
          <w:color w:val="000000" w:themeColor="text1"/>
          <w:sz w:val="24"/>
          <w:szCs w:val="24"/>
          <w:lang w:val="es-MX"/>
        </w:rPr>
        <w:t xml:space="preserve"> revisión </w:t>
      </w:r>
      <w:r w:rsidR="002D0D38" w:rsidRPr="00A856B9">
        <w:rPr>
          <w:rFonts w:cs="Arial"/>
          <w:color w:val="000000" w:themeColor="text1"/>
          <w:sz w:val="24"/>
          <w:szCs w:val="24"/>
          <w:lang w:val="es-MX"/>
        </w:rPr>
        <w:t>y análi</w:t>
      </w:r>
      <w:r w:rsidR="00E1568F" w:rsidRPr="00A856B9">
        <w:rPr>
          <w:rFonts w:cs="Arial"/>
          <w:color w:val="000000" w:themeColor="text1"/>
          <w:sz w:val="24"/>
          <w:szCs w:val="24"/>
          <w:lang w:val="es-MX"/>
        </w:rPr>
        <w:t xml:space="preserve">sis </w:t>
      </w:r>
      <w:r w:rsidR="00A72E14" w:rsidRPr="00A856B9">
        <w:rPr>
          <w:rFonts w:cs="Arial"/>
          <w:color w:val="000000" w:themeColor="text1"/>
          <w:sz w:val="24"/>
          <w:szCs w:val="24"/>
          <w:lang w:val="es-MX"/>
        </w:rPr>
        <w:t>de los títulos</w:t>
      </w:r>
      <w:r w:rsidR="00E1568F" w:rsidRPr="00A856B9">
        <w:rPr>
          <w:rFonts w:cs="Arial"/>
          <w:color w:val="000000" w:themeColor="text1"/>
          <w:sz w:val="24"/>
          <w:szCs w:val="24"/>
          <w:lang w:val="es-MX"/>
        </w:rPr>
        <w:t>,</w:t>
      </w:r>
      <w:r w:rsidR="00A72E14" w:rsidRPr="00A856B9">
        <w:rPr>
          <w:rFonts w:cs="Arial"/>
          <w:color w:val="000000" w:themeColor="text1"/>
          <w:sz w:val="24"/>
          <w:szCs w:val="24"/>
          <w:lang w:val="es-MX"/>
        </w:rPr>
        <w:t xml:space="preserve"> y</w:t>
      </w:r>
      <w:r w:rsidR="00E1568F" w:rsidRPr="00A856B9">
        <w:rPr>
          <w:rFonts w:cs="Arial"/>
          <w:color w:val="000000" w:themeColor="text1"/>
          <w:sz w:val="24"/>
          <w:szCs w:val="24"/>
          <w:lang w:val="es-MX"/>
        </w:rPr>
        <w:t xml:space="preserve"> en su caso se </w:t>
      </w:r>
      <w:r w:rsidR="00A72E14" w:rsidRPr="00A856B9">
        <w:rPr>
          <w:rFonts w:cs="Arial"/>
          <w:color w:val="000000" w:themeColor="text1"/>
          <w:sz w:val="24"/>
          <w:szCs w:val="24"/>
          <w:lang w:val="es-MX"/>
        </w:rPr>
        <w:t>elimina</w:t>
      </w:r>
      <w:r w:rsidR="00E1568F" w:rsidRPr="00A856B9">
        <w:rPr>
          <w:rFonts w:cs="Arial"/>
          <w:color w:val="000000" w:themeColor="text1"/>
          <w:sz w:val="24"/>
          <w:szCs w:val="24"/>
          <w:lang w:val="es-MX"/>
        </w:rPr>
        <w:t>rá</w:t>
      </w:r>
      <w:r w:rsidRPr="00A856B9">
        <w:rPr>
          <w:rFonts w:cs="Arial"/>
          <w:color w:val="000000" w:themeColor="text1"/>
          <w:sz w:val="24"/>
          <w:szCs w:val="24"/>
          <w:lang w:val="es-MX"/>
        </w:rPr>
        <w:t xml:space="preserve">n manuscritos duplicados </w:t>
      </w:r>
      <w:r w:rsidR="00E34199" w:rsidRPr="00A856B9">
        <w:rPr>
          <w:rFonts w:cs="Arial"/>
          <w:color w:val="000000" w:themeColor="text1"/>
          <w:sz w:val="24"/>
          <w:szCs w:val="24"/>
          <w:lang w:val="es-MX"/>
        </w:rPr>
        <w:t xml:space="preserve">y de </w:t>
      </w:r>
      <w:r w:rsidRPr="00A856B9">
        <w:rPr>
          <w:rFonts w:cs="Arial"/>
          <w:color w:val="000000" w:themeColor="text1"/>
          <w:sz w:val="24"/>
          <w:szCs w:val="24"/>
          <w:lang w:val="es-MX"/>
        </w:rPr>
        <w:t>aquellos</w:t>
      </w:r>
      <w:r w:rsidR="00E34199" w:rsidRPr="00A856B9">
        <w:rPr>
          <w:rFonts w:cs="Arial"/>
          <w:color w:val="000000" w:themeColor="text1"/>
          <w:sz w:val="24"/>
          <w:szCs w:val="24"/>
          <w:lang w:val="es-MX"/>
        </w:rPr>
        <w:t xml:space="preserve"> estudios que evalúe</w:t>
      </w:r>
      <w:r w:rsidR="00A72E14" w:rsidRPr="00A856B9">
        <w:rPr>
          <w:rFonts w:cs="Arial"/>
          <w:color w:val="000000" w:themeColor="text1"/>
          <w:sz w:val="24"/>
          <w:szCs w:val="24"/>
          <w:lang w:val="es-MX"/>
        </w:rPr>
        <w:t xml:space="preserve">n los efectos de otros </w:t>
      </w:r>
      <w:r w:rsidR="00A518CC" w:rsidRPr="00A856B9">
        <w:rPr>
          <w:rFonts w:cs="Arial"/>
          <w:color w:val="000000" w:themeColor="text1"/>
          <w:sz w:val="24"/>
          <w:szCs w:val="24"/>
          <w:lang w:val="es-MX"/>
        </w:rPr>
        <w:t>fármacos</w:t>
      </w:r>
      <w:r w:rsidRPr="00A856B9">
        <w:rPr>
          <w:rFonts w:cs="Arial"/>
          <w:color w:val="000000" w:themeColor="text1"/>
          <w:sz w:val="24"/>
          <w:szCs w:val="24"/>
          <w:lang w:val="es-MX"/>
        </w:rPr>
        <w:t xml:space="preserve"> </w:t>
      </w:r>
      <w:r w:rsidR="00A72E14" w:rsidRPr="00A856B9">
        <w:rPr>
          <w:rFonts w:cs="Arial"/>
          <w:color w:val="000000" w:themeColor="text1"/>
          <w:sz w:val="24"/>
          <w:szCs w:val="24"/>
          <w:lang w:val="es-MX"/>
        </w:rPr>
        <w:t>alfa-2 ad</w:t>
      </w:r>
      <w:r w:rsidR="00A72E14" w:rsidRPr="009D24F4">
        <w:rPr>
          <w:rFonts w:cs="Arial"/>
          <w:color w:val="000000" w:themeColor="text1"/>
          <w:sz w:val="24"/>
          <w:szCs w:val="24"/>
          <w:lang w:val="es-MX"/>
        </w:rPr>
        <w:t xml:space="preserve">renérgicos </w:t>
      </w:r>
      <w:r w:rsidR="00AC7473" w:rsidRPr="009D24F4">
        <w:rPr>
          <w:rFonts w:cs="Arial"/>
          <w:color w:val="000000" w:themeColor="text1"/>
          <w:sz w:val="24"/>
          <w:szCs w:val="24"/>
          <w:lang w:val="es-MX"/>
        </w:rPr>
        <w:t xml:space="preserve"> agonistas o antagonistas </w:t>
      </w:r>
      <w:r w:rsidR="00A72E14" w:rsidRPr="009D24F4">
        <w:rPr>
          <w:rFonts w:cs="Arial"/>
          <w:color w:val="000000" w:themeColor="text1"/>
          <w:sz w:val="24"/>
          <w:szCs w:val="24"/>
          <w:lang w:val="es-MX"/>
        </w:rPr>
        <w:t xml:space="preserve">en </w:t>
      </w:r>
      <w:r w:rsidR="00E1568F" w:rsidRPr="009D24F4">
        <w:rPr>
          <w:rFonts w:cs="Arial"/>
          <w:color w:val="000000" w:themeColor="text1"/>
          <w:sz w:val="24"/>
          <w:szCs w:val="24"/>
          <w:lang w:val="es-MX"/>
        </w:rPr>
        <w:t>el caballo</w:t>
      </w:r>
      <w:r w:rsidRPr="009D24F4">
        <w:rPr>
          <w:rFonts w:cs="Arial"/>
          <w:color w:val="000000" w:themeColor="text1"/>
          <w:sz w:val="24"/>
          <w:szCs w:val="24"/>
          <w:lang w:val="es-MX"/>
        </w:rPr>
        <w:t xml:space="preserve"> </w:t>
      </w:r>
      <w:r w:rsidRPr="00A856B9">
        <w:rPr>
          <w:rFonts w:cs="Arial"/>
          <w:color w:val="000000" w:themeColor="text1"/>
          <w:sz w:val="24"/>
          <w:szCs w:val="24"/>
          <w:lang w:val="es-MX"/>
        </w:rPr>
        <w:t>distintos a</w:t>
      </w:r>
      <w:r w:rsidR="006333C7" w:rsidRPr="00A856B9">
        <w:rPr>
          <w:rFonts w:cs="Arial"/>
          <w:color w:val="000000" w:themeColor="text1"/>
          <w:sz w:val="24"/>
          <w:szCs w:val="24"/>
          <w:lang w:val="es-MX"/>
        </w:rPr>
        <w:t xml:space="preserve">  la DET y YOH</w:t>
      </w:r>
      <w:r w:rsidR="00A72E14" w:rsidRPr="00A856B9">
        <w:rPr>
          <w:rFonts w:cs="Arial"/>
          <w:color w:val="000000" w:themeColor="text1"/>
          <w:sz w:val="24"/>
          <w:szCs w:val="24"/>
          <w:lang w:val="es-MX"/>
        </w:rPr>
        <w:t>.</w:t>
      </w:r>
      <w:r w:rsidR="006333C7" w:rsidRPr="00A856B9">
        <w:rPr>
          <w:rFonts w:cs="Arial"/>
          <w:color w:val="000000" w:themeColor="text1"/>
          <w:sz w:val="24"/>
          <w:szCs w:val="24"/>
          <w:lang w:val="es-MX"/>
        </w:rPr>
        <w:t xml:space="preserve"> También se excluirán aquellos documentos que aborden especies animales distintas a la equina. </w:t>
      </w:r>
    </w:p>
    <w:p w:rsidR="00A57632" w:rsidRPr="00A856B9" w:rsidRDefault="00A518CC" w:rsidP="00333E5D">
      <w:pPr>
        <w:autoSpaceDE w:val="0"/>
        <w:autoSpaceDN w:val="0"/>
        <w:adjustRightInd w:val="0"/>
        <w:spacing w:line="360" w:lineRule="auto"/>
        <w:rPr>
          <w:rFonts w:ascii="Times New Roman" w:hAnsi="Times New Roman"/>
          <w:color w:val="000000" w:themeColor="text1"/>
          <w:sz w:val="24"/>
          <w:szCs w:val="24"/>
          <w:lang w:val="es-MX"/>
        </w:rPr>
      </w:pPr>
      <w:r w:rsidRPr="00A856B9">
        <w:rPr>
          <w:rFonts w:cs="Arial"/>
          <w:color w:val="000000" w:themeColor="text1"/>
          <w:sz w:val="24"/>
          <w:szCs w:val="24"/>
          <w:lang w:val="es-MX"/>
        </w:rPr>
        <w:t>Posteriormente</w:t>
      </w:r>
      <w:r w:rsidR="006333C7" w:rsidRPr="00A856B9">
        <w:rPr>
          <w:rFonts w:cs="Arial"/>
          <w:color w:val="000000" w:themeColor="text1"/>
          <w:sz w:val="24"/>
          <w:szCs w:val="24"/>
          <w:lang w:val="es-MX"/>
        </w:rPr>
        <w:t xml:space="preserve"> </w:t>
      </w:r>
      <w:r w:rsidR="00AC7473" w:rsidRPr="00A856B9">
        <w:rPr>
          <w:rFonts w:cs="Arial"/>
          <w:color w:val="000000" w:themeColor="text1"/>
          <w:sz w:val="24"/>
          <w:szCs w:val="24"/>
          <w:lang w:val="es-MX"/>
        </w:rPr>
        <w:t xml:space="preserve">se iniciará con el </w:t>
      </w:r>
      <w:r w:rsidRPr="00A856B9">
        <w:rPr>
          <w:rFonts w:cs="Arial"/>
          <w:color w:val="000000" w:themeColor="text1"/>
          <w:sz w:val="24"/>
          <w:szCs w:val="24"/>
          <w:lang w:val="es-MX"/>
        </w:rPr>
        <w:t>análisis</w:t>
      </w:r>
      <w:r w:rsidR="00AC7473" w:rsidRPr="00A856B9">
        <w:rPr>
          <w:rFonts w:cs="Arial"/>
          <w:color w:val="000000" w:themeColor="text1"/>
          <w:sz w:val="24"/>
          <w:szCs w:val="24"/>
          <w:lang w:val="es-MX"/>
        </w:rPr>
        <w:t xml:space="preserve"> de los documentos que aborden el uso de la DET en equinos, posteriormente se revisarán los </w:t>
      </w:r>
      <w:r w:rsidRPr="00A856B9">
        <w:rPr>
          <w:rFonts w:cs="Arial"/>
          <w:color w:val="000000" w:themeColor="text1"/>
          <w:sz w:val="24"/>
          <w:szCs w:val="24"/>
          <w:lang w:val="es-MX"/>
        </w:rPr>
        <w:t>artículos</w:t>
      </w:r>
      <w:r w:rsidR="00AC7473" w:rsidRPr="00A856B9">
        <w:rPr>
          <w:rFonts w:cs="Arial"/>
          <w:color w:val="000000" w:themeColor="text1"/>
          <w:sz w:val="24"/>
          <w:szCs w:val="24"/>
          <w:lang w:val="es-MX"/>
        </w:rPr>
        <w:t xml:space="preserve"> que incluyan la administración de la YOH y finalmente, se analizarán los documentos que </w:t>
      </w:r>
      <w:r w:rsidRPr="00A856B9">
        <w:rPr>
          <w:rFonts w:cs="Arial"/>
          <w:color w:val="000000" w:themeColor="text1"/>
          <w:sz w:val="24"/>
          <w:szCs w:val="24"/>
          <w:lang w:val="es-MX"/>
        </w:rPr>
        <w:t>evalúen</w:t>
      </w:r>
      <w:r w:rsidR="00AC7473" w:rsidRPr="00A856B9">
        <w:rPr>
          <w:rFonts w:cs="Arial"/>
          <w:color w:val="000000" w:themeColor="text1"/>
          <w:sz w:val="24"/>
          <w:szCs w:val="24"/>
          <w:lang w:val="es-MX"/>
        </w:rPr>
        <w:t xml:space="preserve"> el efecto de la YOH en pacientes equinos previamente sedados con DET.  En los tres </w:t>
      </w:r>
      <w:r w:rsidR="00532DE3">
        <w:rPr>
          <w:rFonts w:cs="Arial"/>
          <w:color w:val="000000" w:themeColor="text1"/>
          <w:sz w:val="24"/>
          <w:szCs w:val="24"/>
          <w:lang w:val="es-MX"/>
        </w:rPr>
        <w:t>casos, el primer criterio de aná</w:t>
      </w:r>
      <w:r w:rsidR="00AC7473" w:rsidRPr="00A856B9">
        <w:rPr>
          <w:rFonts w:cs="Arial"/>
          <w:color w:val="000000" w:themeColor="text1"/>
          <w:sz w:val="24"/>
          <w:szCs w:val="24"/>
          <w:lang w:val="es-MX"/>
        </w:rPr>
        <w:t xml:space="preserve">lisis consistirá en evaluar variables como </w:t>
      </w:r>
      <w:r w:rsidR="00AF1E1A" w:rsidRPr="00A856B9">
        <w:rPr>
          <w:rFonts w:cs="Arial"/>
          <w:color w:val="000000" w:themeColor="text1"/>
          <w:sz w:val="24"/>
          <w:szCs w:val="24"/>
          <w:lang w:val="es-MX"/>
        </w:rPr>
        <w:t xml:space="preserve">sexo, </w:t>
      </w:r>
      <w:r w:rsidR="00532DE3">
        <w:rPr>
          <w:rFonts w:cs="Arial"/>
          <w:color w:val="000000" w:themeColor="text1"/>
          <w:sz w:val="24"/>
          <w:szCs w:val="24"/>
          <w:lang w:val="es-MX"/>
        </w:rPr>
        <w:t>fin zooté</w:t>
      </w:r>
      <w:r w:rsidR="00AC7473" w:rsidRPr="00A856B9">
        <w:rPr>
          <w:rFonts w:cs="Arial"/>
          <w:color w:val="000000" w:themeColor="text1"/>
          <w:sz w:val="24"/>
          <w:szCs w:val="24"/>
          <w:lang w:val="es-MX"/>
        </w:rPr>
        <w:t xml:space="preserve">cnico, </w:t>
      </w:r>
      <w:r w:rsidR="00AF1E1A" w:rsidRPr="00A856B9">
        <w:rPr>
          <w:rFonts w:cs="Arial"/>
          <w:color w:val="000000" w:themeColor="text1"/>
          <w:sz w:val="24"/>
          <w:szCs w:val="24"/>
          <w:lang w:val="es-MX"/>
        </w:rPr>
        <w:t xml:space="preserve">edad, dosis, </w:t>
      </w:r>
      <w:r w:rsidR="00AC7473" w:rsidRPr="00A856B9">
        <w:rPr>
          <w:rFonts w:cs="Arial"/>
          <w:color w:val="000000" w:themeColor="text1"/>
          <w:sz w:val="24"/>
          <w:szCs w:val="24"/>
          <w:lang w:val="es-MX"/>
        </w:rPr>
        <w:t xml:space="preserve">presentación farmaceútica, </w:t>
      </w:r>
      <w:r w:rsidR="00AF1E1A" w:rsidRPr="00A856B9">
        <w:rPr>
          <w:rFonts w:cs="Arial"/>
          <w:color w:val="000000" w:themeColor="text1"/>
          <w:sz w:val="24"/>
          <w:szCs w:val="24"/>
          <w:lang w:val="es-MX"/>
        </w:rPr>
        <w:t>vía de</w:t>
      </w:r>
      <w:r w:rsidR="00E1568F" w:rsidRPr="00A856B9">
        <w:rPr>
          <w:rFonts w:cs="Arial"/>
          <w:color w:val="000000" w:themeColor="text1"/>
          <w:sz w:val="24"/>
          <w:szCs w:val="24"/>
          <w:lang w:val="es-MX"/>
        </w:rPr>
        <w:t xml:space="preserve"> administración, efectos clínico</w:t>
      </w:r>
      <w:r w:rsidR="00AF1E1A" w:rsidRPr="00A856B9">
        <w:rPr>
          <w:rFonts w:cs="Arial"/>
          <w:color w:val="000000" w:themeColor="text1"/>
          <w:sz w:val="24"/>
          <w:szCs w:val="24"/>
          <w:lang w:val="es-MX"/>
        </w:rPr>
        <w:t>s, cambios en el comportamiento</w:t>
      </w:r>
      <w:r w:rsidR="00532DE3">
        <w:rPr>
          <w:rFonts w:cs="Arial"/>
          <w:color w:val="000000" w:themeColor="text1"/>
          <w:sz w:val="24"/>
          <w:szCs w:val="24"/>
          <w:lang w:val="es-MX"/>
        </w:rPr>
        <w:t>, entendiend</w:t>
      </w:r>
      <w:r w:rsidR="00AC7473" w:rsidRPr="00A856B9">
        <w:rPr>
          <w:rFonts w:cs="Arial"/>
          <w:color w:val="000000" w:themeColor="text1"/>
          <w:sz w:val="24"/>
          <w:szCs w:val="24"/>
          <w:lang w:val="es-MX"/>
        </w:rPr>
        <w:t xml:space="preserve">o por estos, los </w:t>
      </w:r>
      <w:r w:rsidR="00AF1E1A" w:rsidRPr="00A856B9">
        <w:rPr>
          <w:rFonts w:cs="Arial"/>
          <w:color w:val="000000" w:themeColor="text1"/>
          <w:sz w:val="24"/>
          <w:szCs w:val="24"/>
          <w:lang w:val="es-MX"/>
        </w:rPr>
        <w:lastRenderedPageBreak/>
        <w:t xml:space="preserve">parámetros cardíacos y sanguíneos, </w:t>
      </w:r>
      <w:r w:rsidR="00AC7473" w:rsidRPr="00A856B9">
        <w:rPr>
          <w:rFonts w:cs="Arial"/>
          <w:color w:val="000000" w:themeColor="text1"/>
          <w:sz w:val="24"/>
          <w:szCs w:val="24"/>
          <w:lang w:val="es-MX"/>
        </w:rPr>
        <w:t xml:space="preserve">además de los </w:t>
      </w:r>
      <w:r w:rsidR="00E1568F" w:rsidRPr="00A856B9">
        <w:rPr>
          <w:rFonts w:cs="Arial"/>
          <w:color w:val="000000" w:themeColor="text1"/>
          <w:sz w:val="24"/>
          <w:szCs w:val="24"/>
          <w:lang w:val="es-MX"/>
        </w:rPr>
        <w:t xml:space="preserve">parámetros </w:t>
      </w:r>
      <w:r w:rsidR="00F511EE" w:rsidRPr="00A856B9">
        <w:rPr>
          <w:rFonts w:cs="Arial"/>
          <w:color w:val="000000" w:themeColor="text1"/>
          <w:sz w:val="24"/>
          <w:szCs w:val="24"/>
          <w:lang w:val="es-MX"/>
        </w:rPr>
        <w:t>farmacocinéticos y farmacodiná</w:t>
      </w:r>
      <w:r w:rsidR="00E1568F" w:rsidRPr="00A856B9">
        <w:rPr>
          <w:rFonts w:cs="Arial"/>
          <w:color w:val="000000" w:themeColor="text1"/>
          <w:sz w:val="24"/>
          <w:szCs w:val="24"/>
          <w:lang w:val="es-MX"/>
        </w:rPr>
        <w:t>micos</w:t>
      </w:r>
      <w:r w:rsidR="00AA51FD" w:rsidRPr="00A856B9">
        <w:rPr>
          <w:rFonts w:ascii="Times New Roman" w:hAnsi="Times New Roman"/>
          <w:color w:val="000000" w:themeColor="text1"/>
          <w:sz w:val="24"/>
          <w:szCs w:val="24"/>
          <w:lang w:val="es-MX"/>
        </w:rPr>
        <w:t>.</w:t>
      </w:r>
    </w:p>
    <w:p w:rsidR="00E34199" w:rsidRPr="00A856B9" w:rsidRDefault="00E34199" w:rsidP="00333E5D">
      <w:pPr>
        <w:autoSpaceDE w:val="0"/>
        <w:autoSpaceDN w:val="0"/>
        <w:adjustRightInd w:val="0"/>
        <w:spacing w:line="360" w:lineRule="auto"/>
        <w:rPr>
          <w:rFonts w:ascii="Times New Roman" w:hAnsi="Times New Roman"/>
          <w:color w:val="000000" w:themeColor="text1"/>
          <w:sz w:val="24"/>
          <w:szCs w:val="24"/>
          <w:lang w:val="es-MX"/>
        </w:rPr>
      </w:pPr>
    </w:p>
    <w:p w:rsidR="00376E8B" w:rsidRPr="009D24F4" w:rsidRDefault="004D67F3" w:rsidP="004D67F3">
      <w:pPr>
        <w:autoSpaceDE w:val="0"/>
        <w:autoSpaceDN w:val="0"/>
        <w:adjustRightInd w:val="0"/>
        <w:spacing w:line="360" w:lineRule="auto"/>
        <w:rPr>
          <w:rFonts w:cs="Arial"/>
          <w:color w:val="000000" w:themeColor="text1"/>
          <w:sz w:val="24"/>
          <w:szCs w:val="24"/>
          <w:lang w:val="es-MX"/>
        </w:rPr>
      </w:pPr>
      <w:r w:rsidRPr="00A856B9">
        <w:rPr>
          <w:rFonts w:cs="Arial"/>
          <w:color w:val="000000" w:themeColor="text1"/>
          <w:sz w:val="24"/>
          <w:szCs w:val="24"/>
          <w:lang w:val="es-MX"/>
        </w:rPr>
        <w:t>El</w:t>
      </w:r>
      <w:r w:rsidR="002D0D38" w:rsidRPr="00A856B9">
        <w:rPr>
          <w:rFonts w:cs="Arial"/>
          <w:color w:val="000000" w:themeColor="text1"/>
          <w:sz w:val="24"/>
          <w:szCs w:val="24"/>
          <w:lang w:val="es-MX"/>
        </w:rPr>
        <w:t xml:space="preserve"> </w:t>
      </w:r>
      <w:r w:rsidR="00BD7101" w:rsidRPr="00A856B9">
        <w:rPr>
          <w:rFonts w:cs="Arial"/>
          <w:color w:val="000000" w:themeColor="text1"/>
          <w:sz w:val="24"/>
          <w:szCs w:val="24"/>
          <w:lang w:val="es-MX"/>
        </w:rPr>
        <w:t>artículo</w:t>
      </w:r>
      <w:r w:rsidR="002D0D38" w:rsidRPr="00A856B9">
        <w:rPr>
          <w:rFonts w:cs="Arial"/>
          <w:color w:val="000000" w:themeColor="text1"/>
          <w:sz w:val="24"/>
          <w:szCs w:val="24"/>
          <w:lang w:val="es-MX"/>
        </w:rPr>
        <w:t xml:space="preserve"> </w:t>
      </w:r>
      <w:r w:rsidRPr="00A856B9">
        <w:rPr>
          <w:rFonts w:cs="Arial"/>
          <w:color w:val="000000" w:themeColor="text1"/>
          <w:sz w:val="24"/>
          <w:szCs w:val="24"/>
          <w:lang w:val="es-MX"/>
        </w:rPr>
        <w:t xml:space="preserve">de carácter </w:t>
      </w:r>
      <w:r w:rsidR="00A518CC" w:rsidRPr="00A856B9">
        <w:rPr>
          <w:rFonts w:cs="Arial"/>
          <w:color w:val="000000" w:themeColor="text1"/>
          <w:sz w:val="24"/>
          <w:szCs w:val="24"/>
          <w:lang w:val="es-MX"/>
        </w:rPr>
        <w:t>científico</w:t>
      </w:r>
      <w:r w:rsidRPr="00A856B9">
        <w:rPr>
          <w:rFonts w:cs="Arial"/>
          <w:color w:val="000000" w:themeColor="text1"/>
          <w:sz w:val="24"/>
          <w:szCs w:val="24"/>
          <w:lang w:val="es-MX"/>
        </w:rPr>
        <w:t xml:space="preserve">  resultado de la </w:t>
      </w:r>
      <w:r w:rsidR="00AC7473" w:rsidRPr="00A856B9">
        <w:rPr>
          <w:rFonts w:cs="Arial"/>
          <w:color w:val="000000" w:themeColor="text1"/>
          <w:sz w:val="24"/>
          <w:szCs w:val="24"/>
          <w:lang w:val="es-MX"/>
        </w:rPr>
        <w:t>revisió</w:t>
      </w:r>
      <w:r w:rsidR="00CF0B3B" w:rsidRPr="00A856B9">
        <w:rPr>
          <w:rFonts w:cs="Arial"/>
          <w:color w:val="000000" w:themeColor="text1"/>
          <w:sz w:val="24"/>
          <w:szCs w:val="24"/>
          <w:lang w:val="es-MX"/>
        </w:rPr>
        <w:t>n sistemá</w:t>
      </w:r>
      <w:r w:rsidR="002D0D38" w:rsidRPr="00A856B9">
        <w:rPr>
          <w:rFonts w:cs="Arial"/>
          <w:color w:val="000000" w:themeColor="text1"/>
          <w:sz w:val="24"/>
          <w:szCs w:val="24"/>
          <w:lang w:val="es-MX"/>
        </w:rPr>
        <w:t xml:space="preserve">tica </w:t>
      </w:r>
      <w:r w:rsidRPr="00A856B9">
        <w:rPr>
          <w:rFonts w:cs="Arial"/>
          <w:color w:val="000000" w:themeColor="text1"/>
          <w:sz w:val="24"/>
          <w:szCs w:val="24"/>
          <w:lang w:val="es-MX"/>
        </w:rPr>
        <w:t xml:space="preserve">que se basa en los </w:t>
      </w:r>
      <w:r w:rsidR="002D0D38" w:rsidRPr="00A856B9">
        <w:rPr>
          <w:rFonts w:cs="Arial"/>
          <w:color w:val="000000" w:themeColor="text1"/>
          <w:sz w:val="24"/>
          <w:szCs w:val="24"/>
          <w:lang w:val="es-MX"/>
        </w:rPr>
        <w:t xml:space="preserve">efectos de la </w:t>
      </w:r>
      <w:r w:rsidR="00E43E78" w:rsidRPr="00A856B9">
        <w:rPr>
          <w:rFonts w:cs="Arial"/>
          <w:color w:val="000000" w:themeColor="text1"/>
          <w:sz w:val="24"/>
          <w:szCs w:val="24"/>
          <w:lang w:val="es-MX"/>
        </w:rPr>
        <w:t>YOH</w:t>
      </w:r>
      <w:r w:rsidR="002D0D38" w:rsidRPr="00A856B9">
        <w:rPr>
          <w:rFonts w:cs="Arial"/>
          <w:color w:val="000000" w:themeColor="text1"/>
          <w:sz w:val="24"/>
          <w:szCs w:val="24"/>
          <w:lang w:val="es-MX"/>
        </w:rPr>
        <w:t xml:space="preserve"> sobre parámetr</w:t>
      </w:r>
      <w:r w:rsidR="00F511EE" w:rsidRPr="00A856B9">
        <w:rPr>
          <w:rFonts w:cs="Arial"/>
          <w:color w:val="000000" w:themeColor="text1"/>
          <w:sz w:val="24"/>
          <w:szCs w:val="24"/>
          <w:lang w:val="es-MX"/>
        </w:rPr>
        <w:t>os farmacócineticos, farmacodiná</w:t>
      </w:r>
      <w:r w:rsidR="002D0D38" w:rsidRPr="00A856B9">
        <w:rPr>
          <w:rFonts w:cs="Arial"/>
          <w:color w:val="000000" w:themeColor="text1"/>
          <w:sz w:val="24"/>
          <w:szCs w:val="24"/>
          <w:lang w:val="es-MX"/>
        </w:rPr>
        <w:t>micos y de comportamiento farmaco</w:t>
      </w:r>
      <w:r w:rsidR="0045709E" w:rsidRPr="00A856B9">
        <w:rPr>
          <w:rFonts w:cs="Arial"/>
          <w:color w:val="000000" w:themeColor="text1"/>
          <w:sz w:val="24"/>
          <w:szCs w:val="24"/>
          <w:lang w:val="es-MX"/>
        </w:rPr>
        <w:t xml:space="preserve">lógico en caballos sedados con </w:t>
      </w:r>
      <w:r w:rsidR="00B56224" w:rsidRPr="00A856B9">
        <w:rPr>
          <w:rFonts w:cs="Arial"/>
          <w:color w:val="000000" w:themeColor="text1"/>
          <w:sz w:val="24"/>
          <w:szCs w:val="24"/>
          <w:lang w:val="es-MX"/>
        </w:rPr>
        <w:t>DET</w:t>
      </w:r>
      <w:r w:rsidR="002D0D38" w:rsidRPr="00A856B9">
        <w:rPr>
          <w:rFonts w:cs="Arial"/>
          <w:color w:val="000000" w:themeColor="text1"/>
          <w:sz w:val="24"/>
          <w:szCs w:val="24"/>
          <w:lang w:val="es-MX"/>
        </w:rPr>
        <w:t xml:space="preserve"> se </w:t>
      </w:r>
      <w:r w:rsidR="00CF0B3B" w:rsidRPr="00A856B9">
        <w:rPr>
          <w:rFonts w:cs="Arial"/>
          <w:color w:val="000000" w:themeColor="text1"/>
          <w:sz w:val="24"/>
          <w:szCs w:val="24"/>
          <w:lang w:val="es-MX"/>
        </w:rPr>
        <w:t>adecuará</w:t>
      </w:r>
      <w:r w:rsidRPr="00A856B9">
        <w:rPr>
          <w:rFonts w:cs="Arial"/>
          <w:color w:val="000000" w:themeColor="text1"/>
          <w:sz w:val="24"/>
          <w:szCs w:val="24"/>
          <w:lang w:val="es-MX"/>
        </w:rPr>
        <w:t xml:space="preserve"> a las instrucciones </w:t>
      </w:r>
      <w:r w:rsidR="00CF0B3B" w:rsidRPr="00A856B9">
        <w:rPr>
          <w:rFonts w:cs="Arial"/>
          <w:color w:val="000000" w:themeColor="text1"/>
          <w:sz w:val="24"/>
          <w:szCs w:val="24"/>
          <w:lang w:val="es-MX"/>
        </w:rPr>
        <w:t xml:space="preserve">a los </w:t>
      </w:r>
      <w:r w:rsidRPr="00A856B9">
        <w:rPr>
          <w:rFonts w:cs="Arial"/>
          <w:color w:val="000000" w:themeColor="text1"/>
          <w:sz w:val="24"/>
          <w:szCs w:val="24"/>
          <w:lang w:val="es-MX"/>
        </w:rPr>
        <w:t xml:space="preserve"> autores de </w:t>
      </w:r>
      <w:r w:rsidR="002D0D38" w:rsidRPr="00A856B9">
        <w:rPr>
          <w:rFonts w:cs="Arial"/>
          <w:color w:val="000000" w:themeColor="text1"/>
          <w:sz w:val="24"/>
          <w:szCs w:val="24"/>
          <w:lang w:val="es-MX"/>
        </w:rPr>
        <w:t xml:space="preserve">la revista </w:t>
      </w:r>
      <w:r w:rsidRPr="00A856B9">
        <w:rPr>
          <w:rFonts w:cs="Arial"/>
          <w:color w:val="000000" w:themeColor="text1"/>
          <w:sz w:val="24"/>
          <w:szCs w:val="24"/>
          <w:lang w:val="es-MX"/>
        </w:rPr>
        <w:t xml:space="preserve">indexada </w:t>
      </w:r>
      <w:r w:rsidR="00E1568F" w:rsidRPr="00A856B9">
        <w:rPr>
          <w:rFonts w:cs="Arial"/>
          <w:color w:val="000000" w:themeColor="text1"/>
          <w:sz w:val="24"/>
          <w:szCs w:val="24"/>
          <w:lang w:val="es-MX"/>
        </w:rPr>
        <w:t>Journal of Veterinary Pharmacology and Therapeutics</w:t>
      </w:r>
      <w:r w:rsidRPr="00A856B9">
        <w:rPr>
          <w:rFonts w:cs="Arial"/>
          <w:color w:val="000000" w:themeColor="text1"/>
          <w:sz w:val="24"/>
          <w:szCs w:val="24"/>
          <w:lang w:val="es-MX"/>
        </w:rPr>
        <w:t>. La intención, radica en enviar la revisión a esa revista, para que se</w:t>
      </w:r>
      <w:r w:rsidR="00CF0B3B" w:rsidRPr="00A856B9">
        <w:rPr>
          <w:rFonts w:cs="Arial"/>
          <w:color w:val="000000" w:themeColor="text1"/>
          <w:sz w:val="24"/>
          <w:szCs w:val="24"/>
          <w:lang w:val="es-MX"/>
        </w:rPr>
        <w:t>a considerada como publicación.</w:t>
      </w:r>
      <w:r w:rsidRPr="00A856B9">
        <w:rPr>
          <w:rFonts w:cs="Arial"/>
          <w:color w:val="000000" w:themeColor="text1"/>
          <w:sz w:val="24"/>
          <w:szCs w:val="24"/>
          <w:lang w:val="es-MX"/>
        </w:rPr>
        <w:t xml:space="preserve">  A continuación, se describen las </w:t>
      </w:r>
      <w:r w:rsidR="00A518CC" w:rsidRPr="00A856B9">
        <w:rPr>
          <w:rFonts w:cs="Arial"/>
          <w:color w:val="000000" w:themeColor="text1"/>
          <w:sz w:val="24"/>
          <w:szCs w:val="24"/>
          <w:lang w:val="es-MX"/>
        </w:rPr>
        <w:t>características</w:t>
      </w:r>
      <w:r w:rsidRPr="00A856B9">
        <w:rPr>
          <w:rFonts w:cs="Arial"/>
          <w:color w:val="000000" w:themeColor="text1"/>
          <w:sz w:val="24"/>
          <w:szCs w:val="24"/>
          <w:lang w:val="es-MX"/>
        </w:rPr>
        <w:t xml:space="preserve"> de la </w:t>
      </w:r>
      <w:r w:rsidR="00A518CC" w:rsidRPr="00A856B9">
        <w:rPr>
          <w:rFonts w:cs="Arial"/>
          <w:color w:val="000000" w:themeColor="text1"/>
          <w:sz w:val="24"/>
          <w:szCs w:val="24"/>
          <w:lang w:val="es-MX"/>
        </w:rPr>
        <w:t>guía</w:t>
      </w:r>
      <w:r w:rsidRPr="00A856B9">
        <w:rPr>
          <w:rFonts w:cs="Arial"/>
          <w:color w:val="000000" w:themeColor="text1"/>
          <w:sz w:val="24"/>
          <w:szCs w:val="24"/>
          <w:lang w:val="es-MX"/>
        </w:rPr>
        <w:t xml:space="preserve"> a los autores de esta revista, las cuales se encuentran </w:t>
      </w:r>
      <w:r w:rsidRPr="009D24F4">
        <w:rPr>
          <w:rFonts w:cs="Arial"/>
          <w:color w:val="000000" w:themeColor="text1"/>
          <w:sz w:val="24"/>
          <w:szCs w:val="24"/>
          <w:lang w:val="es-MX"/>
        </w:rPr>
        <w:t xml:space="preserve">publicadas en su portal. </w:t>
      </w:r>
    </w:p>
    <w:p w:rsidR="004D67F3" w:rsidRPr="004D67F3" w:rsidRDefault="004D67F3" w:rsidP="004D67F3">
      <w:pPr>
        <w:autoSpaceDE w:val="0"/>
        <w:autoSpaceDN w:val="0"/>
        <w:adjustRightInd w:val="0"/>
        <w:spacing w:line="360" w:lineRule="auto"/>
        <w:rPr>
          <w:rFonts w:cs="Arial"/>
          <w:color w:val="FF6600"/>
          <w:sz w:val="24"/>
          <w:szCs w:val="24"/>
          <w:lang w:val="es-MX"/>
        </w:rPr>
      </w:pPr>
    </w:p>
    <w:p w:rsidR="004D67F3" w:rsidRPr="004D67F3" w:rsidRDefault="004D67F3" w:rsidP="004D67F3">
      <w:pPr>
        <w:autoSpaceDE w:val="0"/>
        <w:autoSpaceDN w:val="0"/>
        <w:adjustRightInd w:val="0"/>
        <w:spacing w:line="360" w:lineRule="auto"/>
        <w:rPr>
          <w:rFonts w:cs="Arial"/>
          <w:color w:val="404040" w:themeColor="text1" w:themeTint="BF"/>
          <w:sz w:val="24"/>
          <w:szCs w:val="24"/>
          <w:lang w:val="es-MX"/>
        </w:rPr>
      </w:pPr>
    </w:p>
    <w:p w:rsidR="00BD7101" w:rsidRPr="001D5AD4" w:rsidRDefault="00BD7101" w:rsidP="00E1568F">
      <w:pPr>
        <w:jc w:val="center"/>
        <w:rPr>
          <w:rFonts w:cs="Arial"/>
          <w:b/>
          <w:sz w:val="24"/>
          <w:szCs w:val="24"/>
          <w:lang w:val="es-MX"/>
        </w:rPr>
      </w:pPr>
    </w:p>
    <w:p w:rsidR="00BE28B8" w:rsidRPr="00E1568F" w:rsidRDefault="00E1568F" w:rsidP="00E1568F">
      <w:pPr>
        <w:jc w:val="center"/>
        <w:rPr>
          <w:rFonts w:cs="Arial"/>
          <w:b/>
          <w:sz w:val="24"/>
          <w:szCs w:val="24"/>
          <w:lang w:val="en-US"/>
        </w:rPr>
      </w:pPr>
      <w:r>
        <w:rPr>
          <w:rFonts w:cs="Arial"/>
          <w:b/>
          <w:sz w:val="24"/>
          <w:szCs w:val="24"/>
          <w:lang w:val="en-US"/>
        </w:rPr>
        <w:t>Guía</w:t>
      </w:r>
      <w:r w:rsidR="00333E5D" w:rsidRPr="00E1568F">
        <w:rPr>
          <w:rFonts w:cs="Arial"/>
          <w:b/>
          <w:sz w:val="24"/>
          <w:szCs w:val="24"/>
          <w:lang w:val="en-US"/>
        </w:rPr>
        <w:t xml:space="preserve"> de autor</w:t>
      </w:r>
      <w:r w:rsidR="00376E8B" w:rsidRPr="00E1568F">
        <w:rPr>
          <w:rFonts w:cs="Arial"/>
          <w:b/>
          <w:sz w:val="24"/>
          <w:szCs w:val="24"/>
          <w:lang w:val="en-US"/>
        </w:rPr>
        <w:t>:</w:t>
      </w:r>
    </w:p>
    <w:p w:rsidR="00BE28B8" w:rsidRPr="00065198" w:rsidRDefault="00BE28B8" w:rsidP="00BE28B8">
      <w:pPr>
        <w:rPr>
          <w:rFonts w:cs="Arial"/>
          <w:sz w:val="24"/>
          <w:szCs w:val="24"/>
          <w:lang w:val="en-US"/>
        </w:rPr>
      </w:pPr>
      <w:r w:rsidRPr="00065198">
        <w:rPr>
          <w:rFonts w:cs="Arial"/>
          <w:sz w:val="24"/>
          <w:szCs w:val="24"/>
          <w:lang w:val="en-US"/>
        </w:rPr>
        <w:t>General</w:t>
      </w:r>
    </w:p>
    <w:p w:rsidR="00BE28B8" w:rsidRPr="00065198" w:rsidRDefault="00BE28B8" w:rsidP="00BE28B8">
      <w:pPr>
        <w:rPr>
          <w:rFonts w:cs="Arial"/>
          <w:sz w:val="24"/>
          <w:szCs w:val="24"/>
          <w:lang w:val="en-US"/>
        </w:rPr>
      </w:pPr>
    </w:p>
    <w:p w:rsidR="00BE28B8" w:rsidRPr="00065198" w:rsidRDefault="00BE28B8" w:rsidP="00BE28B8">
      <w:pPr>
        <w:rPr>
          <w:rFonts w:cs="Arial"/>
          <w:sz w:val="24"/>
          <w:szCs w:val="24"/>
          <w:lang w:val="en-US"/>
        </w:rPr>
      </w:pPr>
      <w:r w:rsidRPr="00065198">
        <w:rPr>
          <w:rFonts w:cs="Arial"/>
          <w:sz w:val="24"/>
          <w:szCs w:val="24"/>
          <w:lang w:val="en-US"/>
        </w:rPr>
        <w:t xml:space="preserve">NEW: Journal of Veterinary Pharmacology and Therapeutics is covered by Wiley Blackwell’s Early View service. </w:t>
      </w:r>
    </w:p>
    <w:p w:rsidR="00BE28B8" w:rsidRPr="00065198" w:rsidRDefault="00BE28B8" w:rsidP="00BE28B8">
      <w:pPr>
        <w:rPr>
          <w:rFonts w:cs="Arial"/>
          <w:sz w:val="24"/>
          <w:szCs w:val="24"/>
          <w:lang w:val="en-US"/>
        </w:rPr>
      </w:pPr>
    </w:p>
    <w:p w:rsidR="00BE28B8" w:rsidRPr="00065198" w:rsidRDefault="00BE28B8" w:rsidP="00BE28B8">
      <w:pPr>
        <w:rPr>
          <w:rFonts w:cs="Arial"/>
          <w:sz w:val="24"/>
          <w:szCs w:val="24"/>
          <w:lang w:val="en-US"/>
        </w:rPr>
      </w:pPr>
      <w:r w:rsidRPr="00065198">
        <w:rPr>
          <w:rFonts w:cs="Arial"/>
          <w:sz w:val="24"/>
          <w:szCs w:val="24"/>
          <w:lang w:val="en-US"/>
        </w:rPr>
        <w:t xml:space="preserve">Early View articles are complete full-text articles published online in advance of their publication in a printed issue. Articles are therefore available as soon as they are ready, rather than having to wait for the next scheduled print issue. Early View articles are complete and final. They have been fully reviewed, revised and edited for publication, and the authors’ final corrections have been incorporated. Because they are in final form, no changes can be made after online publication. </w:t>
      </w:r>
    </w:p>
    <w:p w:rsidR="00BE28B8" w:rsidRPr="00065198" w:rsidRDefault="00BE28B8" w:rsidP="00BE28B8">
      <w:pPr>
        <w:rPr>
          <w:rFonts w:cs="Arial"/>
          <w:sz w:val="24"/>
          <w:szCs w:val="24"/>
          <w:lang w:val="en-US"/>
        </w:rPr>
      </w:pPr>
    </w:p>
    <w:p w:rsidR="00BE28B8" w:rsidRPr="00065198" w:rsidRDefault="00BE28B8" w:rsidP="00BE28B8">
      <w:pPr>
        <w:rPr>
          <w:rFonts w:cs="Arial"/>
          <w:sz w:val="24"/>
          <w:szCs w:val="24"/>
          <w:lang w:val="en-US"/>
        </w:rPr>
      </w:pPr>
      <w:r w:rsidRPr="00065198">
        <w:rPr>
          <w:rFonts w:cs="Arial"/>
          <w:sz w:val="24"/>
          <w:szCs w:val="24"/>
          <w:lang w:val="en-US"/>
        </w:rPr>
        <w:t xml:space="preserve">The nature of Early View articles means that they do not yet have volume, issue or page numbers, so Early View articles cannot be cited in the traditional way. They are therefore given a Digital Object Identifier (DOI), which allows the article to be cited and tracked before it is allocated to an issue. After print publication, the DOI remains valid and can continue to be used to cite and access the article. </w:t>
      </w:r>
    </w:p>
    <w:p w:rsidR="00BE28B8" w:rsidRPr="00065198" w:rsidRDefault="00BE28B8" w:rsidP="00BE28B8">
      <w:pPr>
        <w:rPr>
          <w:rFonts w:cs="Arial"/>
          <w:sz w:val="24"/>
          <w:szCs w:val="24"/>
          <w:lang w:val="en-US"/>
        </w:rPr>
      </w:pPr>
    </w:p>
    <w:p w:rsidR="00BE28B8" w:rsidRPr="00065198" w:rsidRDefault="00BE28B8" w:rsidP="00BE28B8">
      <w:pPr>
        <w:rPr>
          <w:rFonts w:cs="Arial"/>
          <w:sz w:val="24"/>
          <w:szCs w:val="24"/>
          <w:lang w:val="en-US"/>
        </w:rPr>
      </w:pPr>
      <w:r w:rsidRPr="00065198">
        <w:rPr>
          <w:rFonts w:cs="Arial"/>
          <w:sz w:val="24"/>
          <w:szCs w:val="24"/>
          <w:lang w:val="en-US"/>
        </w:rPr>
        <w:t xml:space="preserve">The Journal of Veterinary Pharmacology and Therapeutics only accepts online submissions. Please submit your manuscript online at http://mc.manuscriptcentral.com/jvpt. Once you have submitted your paper, you will receive a confirmation email, which will include your manuscript reference number; you can log onto the system at any time to track the progress of your manuscript. </w:t>
      </w:r>
    </w:p>
    <w:p w:rsidR="00BE28B8" w:rsidRPr="00065198" w:rsidRDefault="00BE28B8" w:rsidP="00BE28B8">
      <w:pPr>
        <w:rPr>
          <w:rFonts w:cs="Arial"/>
          <w:sz w:val="24"/>
          <w:szCs w:val="24"/>
          <w:lang w:val="en-US"/>
        </w:rPr>
      </w:pPr>
    </w:p>
    <w:p w:rsidR="00BE28B8" w:rsidRPr="00065198" w:rsidRDefault="00BE28B8" w:rsidP="00BE28B8">
      <w:pPr>
        <w:rPr>
          <w:rFonts w:cs="Arial"/>
          <w:sz w:val="24"/>
          <w:szCs w:val="24"/>
          <w:lang w:val="en-US"/>
        </w:rPr>
      </w:pPr>
      <w:r w:rsidRPr="00065198">
        <w:rPr>
          <w:rFonts w:cs="Arial"/>
          <w:sz w:val="24"/>
          <w:szCs w:val="24"/>
          <w:lang w:val="en-US"/>
        </w:rPr>
        <w:t xml:space="preserve">If you have problems with your submission, please contact the Editorial Office. </w:t>
      </w:r>
    </w:p>
    <w:p w:rsidR="00BE28B8" w:rsidRPr="00065198" w:rsidRDefault="00BE28B8" w:rsidP="00BE28B8">
      <w:pPr>
        <w:rPr>
          <w:rFonts w:cs="Arial"/>
          <w:sz w:val="24"/>
          <w:szCs w:val="24"/>
          <w:lang w:val="en-US"/>
        </w:rPr>
      </w:pPr>
    </w:p>
    <w:p w:rsidR="00BE28B8" w:rsidRPr="00065198" w:rsidRDefault="00BE28B8" w:rsidP="00BE28B8">
      <w:pPr>
        <w:rPr>
          <w:rFonts w:cs="Arial"/>
          <w:sz w:val="24"/>
          <w:szCs w:val="24"/>
          <w:lang w:val="en-US"/>
        </w:rPr>
      </w:pPr>
      <w:r w:rsidRPr="00065198">
        <w:rPr>
          <w:rFonts w:cs="Arial"/>
          <w:sz w:val="24"/>
          <w:szCs w:val="24"/>
          <w:lang w:val="en-US"/>
        </w:rPr>
        <w:t>The Editor details are given below:</w:t>
      </w:r>
    </w:p>
    <w:p w:rsidR="00BE28B8" w:rsidRPr="00065198" w:rsidRDefault="00BE28B8" w:rsidP="00BE28B8">
      <w:pPr>
        <w:rPr>
          <w:rFonts w:cs="Arial"/>
          <w:sz w:val="24"/>
          <w:szCs w:val="24"/>
          <w:lang w:val="en-US"/>
        </w:rPr>
      </w:pPr>
    </w:p>
    <w:p w:rsidR="00BE28B8" w:rsidRPr="00065198" w:rsidRDefault="00BE28B8" w:rsidP="00BE28B8">
      <w:pPr>
        <w:rPr>
          <w:rFonts w:cs="Arial"/>
          <w:sz w:val="24"/>
          <w:szCs w:val="24"/>
          <w:lang w:val="en-US"/>
        </w:rPr>
      </w:pPr>
      <w:r w:rsidRPr="00065198">
        <w:rPr>
          <w:rFonts w:cs="Arial"/>
          <w:sz w:val="24"/>
          <w:szCs w:val="24"/>
          <w:lang w:val="en-US"/>
        </w:rPr>
        <w:t>Jim E. Riviere</w:t>
      </w:r>
    </w:p>
    <w:p w:rsidR="00BE28B8" w:rsidRPr="00065198" w:rsidRDefault="00BE28B8" w:rsidP="00BE28B8">
      <w:pPr>
        <w:rPr>
          <w:rFonts w:cs="Arial"/>
          <w:sz w:val="24"/>
          <w:szCs w:val="24"/>
          <w:lang w:val="en-US"/>
        </w:rPr>
      </w:pPr>
      <w:r w:rsidRPr="00065198">
        <w:rPr>
          <w:rFonts w:cs="Arial"/>
          <w:sz w:val="24"/>
          <w:szCs w:val="24"/>
          <w:lang w:val="en-US"/>
        </w:rPr>
        <w:t xml:space="preserve"> The MacDonald Chair in Veterinary Medicine</w:t>
      </w:r>
    </w:p>
    <w:p w:rsidR="00BE28B8" w:rsidRPr="00065198" w:rsidRDefault="00BE28B8" w:rsidP="00BE28B8">
      <w:pPr>
        <w:rPr>
          <w:rFonts w:cs="Arial"/>
          <w:sz w:val="24"/>
          <w:szCs w:val="24"/>
          <w:lang w:val="en-US"/>
        </w:rPr>
      </w:pPr>
      <w:r w:rsidRPr="00065198">
        <w:rPr>
          <w:rFonts w:cs="Arial"/>
          <w:sz w:val="24"/>
          <w:szCs w:val="24"/>
          <w:lang w:val="en-US"/>
        </w:rPr>
        <w:t xml:space="preserve"> University Distinguished Professor</w:t>
      </w:r>
    </w:p>
    <w:p w:rsidR="00BE28B8" w:rsidRPr="00065198" w:rsidRDefault="00BE28B8" w:rsidP="00BE28B8">
      <w:pPr>
        <w:rPr>
          <w:rFonts w:cs="Arial"/>
          <w:sz w:val="24"/>
          <w:szCs w:val="24"/>
          <w:lang w:val="en-US"/>
        </w:rPr>
      </w:pPr>
      <w:r w:rsidRPr="00065198">
        <w:rPr>
          <w:rFonts w:cs="Arial"/>
          <w:sz w:val="24"/>
          <w:szCs w:val="24"/>
          <w:lang w:val="en-US"/>
        </w:rPr>
        <w:t xml:space="preserve"> Kansas Bioscience Eminent Scholar</w:t>
      </w:r>
    </w:p>
    <w:p w:rsidR="00BE28B8" w:rsidRPr="00065198" w:rsidRDefault="00BE28B8" w:rsidP="00BE28B8">
      <w:pPr>
        <w:rPr>
          <w:rFonts w:cs="Arial"/>
          <w:sz w:val="24"/>
          <w:szCs w:val="24"/>
          <w:lang w:val="en-US"/>
        </w:rPr>
      </w:pPr>
      <w:r w:rsidRPr="00065198">
        <w:rPr>
          <w:rFonts w:cs="Arial"/>
          <w:sz w:val="24"/>
          <w:szCs w:val="24"/>
          <w:lang w:val="en-US"/>
        </w:rPr>
        <w:t xml:space="preserve"> Director, Institute of Computational Comparative Medicine</w:t>
      </w:r>
    </w:p>
    <w:p w:rsidR="00BE28B8" w:rsidRPr="00065198" w:rsidRDefault="00BE28B8" w:rsidP="00BE28B8">
      <w:pPr>
        <w:rPr>
          <w:rFonts w:cs="Arial"/>
          <w:sz w:val="24"/>
          <w:szCs w:val="24"/>
          <w:lang w:val="en-US"/>
        </w:rPr>
      </w:pPr>
      <w:r w:rsidRPr="00065198">
        <w:rPr>
          <w:rFonts w:cs="Arial"/>
          <w:sz w:val="24"/>
          <w:szCs w:val="24"/>
          <w:lang w:val="en-US"/>
        </w:rPr>
        <w:t xml:space="preserve"> Mosier P200A, Department of Anatomy and Physiology</w:t>
      </w:r>
    </w:p>
    <w:p w:rsidR="00BE28B8" w:rsidRPr="00065198" w:rsidRDefault="00BE28B8" w:rsidP="00BE28B8">
      <w:pPr>
        <w:rPr>
          <w:rFonts w:cs="Arial"/>
          <w:sz w:val="24"/>
          <w:szCs w:val="24"/>
          <w:lang w:val="en-US"/>
        </w:rPr>
      </w:pPr>
      <w:r w:rsidRPr="00065198">
        <w:rPr>
          <w:rFonts w:cs="Arial"/>
          <w:sz w:val="24"/>
          <w:szCs w:val="24"/>
          <w:lang w:val="en-US"/>
        </w:rPr>
        <w:t xml:space="preserve"> College of Veterinary Medicine</w:t>
      </w:r>
    </w:p>
    <w:p w:rsidR="00BE28B8" w:rsidRPr="00065198" w:rsidRDefault="00BE28B8" w:rsidP="00BE28B8">
      <w:pPr>
        <w:rPr>
          <w:rFonts w:cs="Arial"/>
          <w:sz w:val="24"/>
          <w:szCs w:val="24"/>
          <w:lang w:val="en-US"/>
        </w:rPr>
      </w:pPr>
      <w:r w:rsidRPr="00065198">
        <w:rPr>
          <w:rFonts w:cs="Arial"/>
          <w:sz w:val="24"/>
          <w:szCs w:val="24"/>
          <w:lang w:val="en-US"/>
        </w:rPr>
        <w:t xml:space="preserve"> Kansas State University, Manhattan, KS 66506-5802, USA</w:t>
      </w:r>
    </w:p>
    <w:p w:rsidR="00BE28B8" w:rsidRPr="00065198" w:rsidRDefault="00BE28B8" w:rsidP="00BE28B8">
      <w:pPr>
        <w:rPr>
          <w:rFonts w:cs="Arial"/>
          <w:sz w:val="24"/>
          <w:szCs w:val="24"/>
          <w:lang w:val="en-US"/>
        </w:rPr>
      </w:pPr>
      <w:r w:rsidRPr="00065198">
        <w:rPr>
          <w:rFonts w:cs="Arial"/>
          <w:sz w:val="24"/>
          <w:szCs w:val="24"/>
          <w:lang w:val="en-US"/>
        </w:rPr>
        <w:t xml:space="preserve"> Phone: </w:t>
      </w:r>
      <w:proofErr w:type="gramStart"/>
      <w:r w:rsidRPr="00065198">
        <w:rPr>
          <w:rFonts w:cs="Arial"/>
          <w:sz w:val="24"/>
          <w:szCs w:val="24"/>
          <w:lang w:val="en-US"/>
        </w:rPr>
        <w:t>( Fax</w:t>
      </w:r>
      <w:proofErr w:type="gramEnd"/>
      <w:r w:rsidRPr="00065198">
        <w:rPr>
          <w:rFonts w:cs="Arial"/>
          <w:sz w:val="24"/>
          <w:szCs w:val="24"/>
          <w:lang w:val="en-US"/>
        </w:rPr>
        <w:t>: 532-4953 Email: jriviere@ksu.edu http://www.k-state.edu/iccm/</w:t>
      </w:r>
    </w:p>
    <w:p w:rsidR="00BE28B8" w:rsidRPr="00065198" w:rsidRDefault="00BE28B8" w:rsidP="00BE28B8">
      <w:pPr>
        <w:rPr>
          <w:rFonts w:cs="Arial"/>
          <w:sz w:val="24"/>
          <w:szCs w:val="24"/>
          <w:lang w:val="en-US"/>
        </w:rPr>
      </w:pPr>
      <w:r w:rsidRPr="00065198">
        <w:rPr>
          <w:rFonts w:cs="Arial"/>
          <w:sz w:val="24"/>
          <w:szCs w:val="24"/>
          <w:lang w:val="en-US"/>
        </w:rPr>
        <w:t xml:space="preserve"> Tel: (785) 532-3683</w:t>
      </w:r>
    </w:p>
    <w:p w:rsidR="00BE28B8" w:rsidRPr="00065198" w:rsidRDefault="00BE28B8" w:rsidP="00BE28B8">
      <w:pPr>
        <w:rPr>
          <w:rFonts w:cs="Arial"/>
          <w:sz w:val="24"/>
          <w:szCs w:val="24"/>
          <w:lang w:val="en-US"/>
        </w:rPr>
      </w:pPr>
      <w:r w:rsidRPr="00065198">
        <w:rPr>
          <w:rFonts w:cs="Arial"/>
          <w:sz w:val="24"/>
          <w:szCs w:val="24"/>
          <w:lang w:val="en-US"/>
        </w:rPr>
        <w:t xml:space="preserve"> Fax: + 532-4953</w:t>
      </w:r>
    </w:p>
    <w:p w:rsidR="00BE28B8" w:rsidRPr="00065198" w:rsidRDefault="00BE28B8" w:rsidP="00BE28B8">
      <w:pPr>
        <w:rPr>
          <w:rFonts w:cs="Arial"/>
          <w:sz w:val="24"/>
          <w:szCs w:val="24"/>
          <w:lang w:val="en-US"/>
        </w:rPr>
      </w:pPr>
    </w:p>
    <w:p w:rsidR="00BE28B8" w:rsidRPr="00065198" w:rsidRDefault="00BE28B8" w:rsidP="00BE28B8">
      <w:pPr>
        <w:rPr>
          <w:rFonts w:cs="Arial"/>
          <w:sz w:val="24"/>
          <w:szCs w:val="24"/>
          <w:lang w:val="en-US"/>
        </w:rPr>
      </w:pPr>
      <w:r w:rsidRPr="00065198">
        <w:rPr>
          <w:rFonts w:cs="Arial"/>
          <w:sz w:val="24"/>
          <w:szCs w:val="24"/>
          <w:lang w:val="en-US"/>
        </w:rPr>
        <w:t>Johanna Fink-Gremmels</w:t>
      </w:r>
    </w:p>
    <w:p w:rsidR="00BE28B8" w:rsidRPr="00065198" w:rsidRDefault="00BE28B8" w:rsidP="00BE28B8">
      <w:pPr>
        <w:rPr>
          <w:rFonts w:cs="Arial"/>
          <w:sz w:val="24"/>
          <w:szCs w:val="24"/>
          <w:lang w:val="en-US"/>
        </w:rPr>
      </w:pPr>
      <w:r w:rsidRPr="00065198">
        <w:rPr>
          <w:rFonts w:cs="Arial"/>
          <w:sz w:val="24"/>
          <w:szCs w:val="24"/>
          <w:lang w:val="en-US"/>
        </w:rPr>
        <w:t xml:space="preserve"> Utrecht University</w:t>
      </w:r>
    </w:p>
    <w:p w:rsidR="00BE28B8" w:rsidRPr="00065198" w:rsidRDefault="00BE28B8" w:rsidP="00BE28B8">
      <w:pPr>
        <w:rPr>
          <w:rFonts w:cs="Arial"/>
          <w:sz w:val="24"/>
          <w:szCs w:val="24"/>
          <w:lang w:val="en-US"/>
        </w:rPr>
      </w:pPr>
      <w:r w:rsidRPr="00065198">
        <w:rPr>
          <w:rFonts w:cs="Arial"/>
          <w:sz w:val="24"/>
          <w:szCs w:val="24"/>
          <w:lang w:val="en-US"/>
        </w:rPr>
        <w:t xml:space="preserve"> Faculty of Veterinary Medicine</w:t>
      </w:r>
    </w:p>
    <w:p w:rsidR="00BE28B8" w:rsidRPr="00065198" w:rsidRDefault="00BE28B8" w:rsidP="00BE28B8">
      <w:pPr>
        <w:rPr>
          <w:rFonts w:cs="Arial"/>
          <w:sz w:val="24"/>
          <w:szCs w:val="24"/>
          <w:lang w:val="en-US"/>
        </w:rPr>
      </w:pPr>
      <w:r w:rsidRPr="00065198">
        <w:rPr>
          <w:rFonts w:cs="Arial"/>
          <w:sz w:val="24"/>
          <w:szCs w:val="24"/>
          <w:lang w:val="en-US"/>
        </w:rPr>
        <w:t xml:space="preserve"> Div. Veterinary Pharmacology, Pharmacy and Toxicology</w:t>
      </w:r>
    </w:p>
    <w:p w:rsidR="00BE28B8" w:rsidRPr="00065198" w:rsidRDefault="00BE28B8" w:rsidP="00BE28B8">
      <w:pPr>
        <w:rPr>
          <w:rFonts w:cs="Arial"/>
          <w:sz w:val="24"/>
          <w:szCs w:val="24"/>
          <w:lang w:val="en-US"/>
        </w:rPr>
      </w:pPr>
      <w:r w:rsidRPr="00065198">
        <w:rPr>
          <w:rFonts w:cs="Arial"/>
          <w:sz w:val="24"/>
          <w:szCs w:val="24"/>
          <w:lang w:val="en-US"/>
        </w:rPr>
        <w:t xml:space="preserve"> Yalelaan 16</w:t>
      </w:r>
    </w:p>
    <w:p w:rsidR="00BE28B8" w:rsidRPr="00065198" w:rsidRDefault="00BE28B8" w:rsidP="00BE28B8">
      <w:pPr>
        <w:rPr>
          <w:rFonts w:cs="Arial"/>
          <w:sz w:val="24"/>
          <w:szCs w:val="24"/>
          <w:lang w:val="en-US"/>
        </w:rPr>
      </w:pPr>
      <w:r w:rsidRPr="00065198">
        <w:rPr>
          <w:rFonts w:cs="Arial"/>
          <w:sz w:val="24"/>
          <w:szCs w:val="24"/>
          <w:lang w:val="en-US"/>
        </w:rPr>
        <w:t xml:space="preserve"> 3508 TD Utrecht, The Netherlands</w:t>
      </w:r>
    </w:p>
    <w:p w:rsidR="00BE28B8" w:rsidRPr="00065198" w:rsidRDefault="00BE28B8" w:rsidP="00BE28B8">
      <w:pPr>
        <w:rPr>
          <w:rFonts w:cs="Arial"/>
          <w:sz w:val="24"/>
          <w:szCs w:val="24"/>
          <w:lang w:val="en-US"/>
        </w:rPr>
      </w:pPr>
      <w:r w:rsidRPr="00065198">
        <w:rPr>
          <w:rFonts w:cs="Arial"/>
          <w:sz w:val="24"/>
          <w:szCs w:val="24"/>
          <w:lang w:val="en-US"/>
        </w:rPr>
        <w:t xml:space="preserve"> Email: J.Fink@vet.uu.nl</w:t>
      </w:r>
    </w:p>
    <w:p w:rsidR="00BE28B8" w:rsidRPr="00065198" w:rsidRDefault="00BE28B8" w:rsidP="00BE28B8">
      <w:pPr>
        <w:rPr>
          <w:rFonts w:cs="Arial"/>
          <w:sz w:val="24"/>
          <w:szCs w:val="24"/>
          <w:lang w:val="en-US"/>
        </w:rPr>
      </w:pPr>
      <w:r w:rsidRPr="00065198">
        <w:rPr>
          <w:rFonts w:cs="Arial"/>
          <w:sz w:val="24"/>
          <w:szCs w:val="24"/>
          <w:lang w:val="en-US"/>
        </w:rPr>
        <w:t xml:space="preserve"> Tel: +31 (030) 2535453</w:t>
      </w:r>
    </w:p>
    <w:p w:rsidR="00BE28B8" w:rsidRPr="00065198" w:rsidRDefault="00BE28B8" w:rsidP="00BE28B8">
      <w:pPr>
        <w:rPr>
          <w:rFonts w:cs="Arial"/>
          <w:sz w:val="24"/>
          <w:szCs w:val="24"/>
          <w:lang w:val="en-US"/>
        </w:rPr>
      </w:pPr>
      <w:r w:rsidRPr="00065198">
        <w:rPr>
          <w:rFonts w:cs="Arial"/>
          <w:sz w:val="24"/>
          <w:szCs w:val="24"/>
          <w:lang w:val="en-US"/>
        </w:rPr>
        <w:t xml:space="preserve"> Fax: +31 (030) 2534125 </w:t>
      </w:r>
    </w:p>
    <w:p w:rsidR="00BE28B8" w:rsidRPr="00065198" w:rsidRDefault="00BE28B8" w:rsidP="00BE28B8">
      <w:pPr>
        <w:rPr>
          <w:rFonts w:cs="Arial"/>
          <w:sz w:val="24"/>
          <w:szCs w:val="24"/>
          <w:lang w:val="en-US"/>
        </w:rPr>
      </w:pPr>
    </w:p>
    <w:p w:rsidR="00BE28B8" w:rsidRPr="00065198" w:rsidRDefault="00BE28B8" w:rsidP="00BE28B8">
      <w:pPr>
        <w:rPr>
          <w:rFonts w:cs="Arial"/>
          <w:sz w:val="24"/>
          <w:szCs w:val="24"/>
          <w:lang w:val="en-US"/>
        </w:rPr>
      </w:pPr>
      <w:r w:rsidRPr="00065198">
        <w:rPr>
          <w:rFonts w:cs="Arial"/>
          <w:sz w:val="24"/>
          <w:szCs w:val="24"/>
          <w:lang w:val="en-US"/>
        </w:rPr>
        <w:t>Review editor</w:t>
      </w:r>
    </w:p>
    <w:p w:rsidR="00BE28B8" w:rsidRPr="00065198" w:rsidRDefault="00BE28B8" w:rsidP="00BE28B8">
      <w:pPr>
        <w:rPr>
          <w:rFonts w:cs="Arial"/>
          <w:sz w:val="24"/>
          <w:szCs w:val="24"/>
          <w:lang w:val="en-US"/>
        </w:rPr>
      </w:pPr>
    </w:p>
    <w:p w:rsidR="00BE28B8" w:rsidRPr="00065198" w:rsidRDefault="00BE28B8" w:rsidP="00BE28B8">
      <w:pPr>
        <w:rPr>
          <w:rFonts w:cs="Arial"/>
          <w:sz w:val="24"/>
          <w:szCs w:val="24"/>
          <w:lang w:val="en-US"/>
        </w:rPr>
      </w:pPr>
      <w:r w:rsidRPr="00065198">
        <w:rPr>
          <w:rFonts w:cs="Arial"/>
          <w:sz w:val="24"/>
          <w:szCs w:val="24"/>
          <w:lang w:val="en-US"/>
        </w:rPr>
        <w:t>Mark Papich</w:t>
      </w:r>
    </w:p>
    <w:p w:rsidR="00BE28B8" w:rsidRPr="00065198" w:rsidRDefault="00BE28B8" w:rsidP="00BE28B8">
      <w:pPr>
        <w:rPr>
          <w:rFonts w:cs="Arial"/>
          <w:sz w:val="24"/>
          <w:szCs w:val="24"/>
          <w:lang w:val="en-US"/>
        </w:rPr>
      </w:pPr>
      <w:r w:rsidRPr="00065198">
        <w:rPr>
          <w:rFonts w:cs="Arial"/>
          <w:sz w:val="24"/>
          <w:szCs w:val="24"/>
          <w:lang w:val="en-US"/>
        </w:rPr>
        <w:t xml:space="preserve"> Department of Molecular Biomedical Sciences</w:t>
      </w:r>
    </w:p>
    <w:p w:rsidR="00BE28B8" w:rsidRPr="00065198" w:rsidRDefault="00BE28B8" w:rsidP="00BE28B8">
      <w:pPr>
        <w:rPr>
          <w:rFonts w:cs="Arial"/>
          <w:sz w:val="24"/>
          <w:szCs w:val="24"/>
          <w:lang w:val="en-US"/>
        </w:rPr>
      </w:pPr>
      <w:r w:rsidRPr="00065198">
        <w:rPr>
          <w:rFonts w:cs="Arial"/>
          <w:sz w:val="24"/>
          <w:szCs w:val="24"/>
          <w:lang w:val="en-US"/>
        </w:rPr>
        <w:t xml:space="preserve"> College of Veterinary Medicine</w:t>
      </w:r>
    </w:p>
    <w:p w:rsidR="00BE28B8" w:rsidRPr="00065198" w:rsidRDefault="00BE28B8" w:rsidP="00BE28B8">
      <w:pPr>
        <w:rPr>
          <w:rFonts w:cs="Arial"/>
          <w:sz w:val="24"/>
          <w:szCs w:val="24"/>
          <w:lang w:val="en-US"/>
        </w:rPr>
      </w:pPr>
      <w:r w:rsidRPr="00065198">
        <w:rPr>
          <w:rFonts w:cs="Arial"/>
          <w:sz w:val="24"/>
          <w:szCs w:val="24"/>
          <w:lang w:val="en-US"/>
        </w:rPr>
        <w:t xml:space="preserve"> North Carolina State University</w:t>
      </w:r>
    </w:p>
    <w:p w:rsidR="00BE28B8" w:rsidRPr="00065198" w:rsidRDefault="00BE28B8" w:rsidP="00BE28B8">
      <w:pPr>
        <w:rPr>
          <w:rFonts w:cs="Arial"/>
          <w:sz w:val="24"/>
          <w:szCs w:val="24"/>
          <w:lang w:val="en-US"/>
        </w:rPr>
      </w:pPr>
      <w:r w:rsidRPr="00065198">
        <w:rPr>
          <w:rFonts w:cs="Arial"/>
          <w:sz w:val="24"/>
          <w:szCs w:val="24"/>
          <w:lang w:val="en-US"/>
        </w:rPr>
        <w:t xml:space="preserve"> 4700 Hillsborough Street</w:t>
      </w:r>
    </w:p>
    <w:p w:rsidR="00BE28B8" w:rsidRPr="00065198" w:rsidRDefault="00BE28B8" w:rsidP="00BE28B8">
      <w:pPr>
        <w:rPr>
          <w:rFonts w:cs="Arial"/>
          <w:sz w:val="24"/>
          <w:szCs w:val="24"/>
          <w:lang w:val="en-US"/>
        </w:rPr>
      </w:pPr>
      <w:r w:rsidRPr="00065198">
        <w:rPr>
          <w:rFonts w:cs="Arial"/>
          <w:sz w:val="24"/>
          <w:szCs w:val="24"/>
          <w:lang w:val="en-US"/>
        </w:rPr>
        <w:t xml:space="preserve"> Raleigh, NC 27606, USA</w:t>
      </w:r>
    </w:p>
    <w:p w:rsidR="00BE28B8" w:rsidRPr="00065198" w:rsidRDefault="00BE28B8" w:rsidP="00BE28B8">
      <w:pPr>
        <w:rPr>
          <w:rFonts w:cs="Arial"/>
          <w:sz w:val="24"/>
          <w:szCs w:val="24"/>
          <w:lang w:val="en-US"/>
        </w:rPr>
      </w:pPr>
      <w:r w:rsidRPr="00065198">
        <w:rPr>
          <w:rFonts w:cs="Arial"/>
          <w:sz w:val="24"/>
          <w:szCs w:val="24"/>
          <w:lang w:val="en-US"/>
        </w:rPr>
        <w:t xml:space="preserve"> Email: mark_papich@ncsu.edu </w:t>
      </w:r>
    </w:p>
    <w:p w:rsidR="00BE28B8" w:rsidRPr="00065198" w:rsidRDefault="00BE28B8" w:rsidP="00BE28B8">
      <w:pPr>
        <w:rPr>
          <w:rFonts w:cs="Arial"/>
          <w:sz w:val="24"/>
          <w:szCs w:val="24"/>
          <w:lang w:val="en-US"/>
        </w:rPr>
      </w:pPr>
    </w:p>
    <w:p w:rsidR="00BE28B8" w:rsidRPr="00065198" w:rsidRDefault="00BE28B8" w:rsidP="00BE28B8">
      <w:pPr>
        <w:rPr>
          <w:rFonts w:cs="Arial"/>
          <w:i/>
          <w:sz w:val="24"/>
          <w:szCs w:val="24"/>
          <w:lang w:val="en-US"/>
        </w:rPr>
      </w:pPr>
      <w:r w:rsidRPr="00065198">
        <w:rPr>
          <w:rFonts w:cs="Arial"/>
          <w:i/>
          <w:sz w:val="24"/>
          <w:szCs w:val="24"/>
          <w:lang w:val="en-US"/>
        </w:rPr>
        <w:t>Manuscript presentation</w:t>
      </w:r>
    </w:p>
    <w:p w:rsidR="00BE28B8" w:rsidRPr="00065198" w:rsidRDefault="00BE28B8" w:rsidP="00BE28B8">
      <w:pPr>
        <w:rPr>
          <w:rFonts w:cs="Arial"/>
          <w:sz w:val="24"/>
          <w:szCs w:val="24"/>
          <w:lang w:val="en-US"/>
        </w:rPr>
      </w:pPr>
      <w:r w:rsidRPr="00065198">
        <w:rPr>
          <w:rFonts w:cs="Arial"/>
          <w:sz w:val="24"/>
          <w:szCs w:val="24"/>
          <w:lang w:val="en-US"/>
        </w:rPr>
        <w:t xml:space="preserve">The Journals language is English. The original manuscript should be formatted with double line spacing using the letter type Ariel or Times Roman (12 pt) with continuing line numbers from the title page onwards. Line numbers are also requested for manuscripts submitted as PDF-files. Symbols (including Greek letters) have to be noted and explained with a separate list of abbreviations preceding the manuscript. Abbreviations should be defined in a footnote the first time they are used. </w:t>
      </w:r>
    </w:p>
    <w:p w:rsidR="00BE28B8" w:rsidRPr="00065198" w:rsidRDefault="00BE28B8" w:rsidP="00BE28B8">
      <w:pPr>
        <w:rPr>
          <w:rFonts w:cs="Arial"/>
          <w:sz w:val="24"/>
          <w:szCs w:val="24"/>
          <w:lang w:val="en-US"/>
        </w:rPr>
      </w:pPr>
    </w:p>
    <w:p w:rsidR="00BE28B8" w:rsidRPr="00065198" w:rsidRDefault="00BE28B8" w:rsidP="00BE28B8">
      <w:pPr>
        <w:rPr>
          <w:rFonts w:cs="Arial"/>
          <w:sz w:val="24"/>
          <w:szCs w:val="24"/>
          <w:lang w:val="en-US"/>
        </w:rPr>
      </w:pPr>
      <w:r w:rsidRPr="00065198">
        <w:rPr>
          <w:rFonts w:cs="Arial"/>
          <w:sz w:val="24"/>
          <w:szCs w:val="24"/>
          <w:lang w:val="en-US"/>
        </w:rPr>
        <w:t xml:space="preserve">The title page should contain the full title and a short running title, author's full name(s), present affiliation, and address for correspondence, email address of the corresponding author, and the fax number. </w:t>
      </w:r>
    </w:p>
    <w:p w:rsidR="00BE28B8" w:rsidRPr="00065198" w:rsidRDefault="00BE28B8" w:rsidP="00BE28B8">
      <w:pPr>
        <w:rPr>
          <w:rFonts w:cs="Arial"/>
          <w:sz w:val="24"/>
          <w:szCs w:val="24"/>
          <w:lang w:val="en-US"/>
        </w:rPr>
      </w:pPr>
    </w:p>
    <w:p w:rsidR="00BE28B8" w:rsidRPr="00065198" w:rsidRDefault="00BE28B8" w:rsidP="00BE28B8">
      <w:pPr>
        <w:rPr>
          <w:rFonts w:cs="Arial"/>
          <w:sz w:val="24"/>
          <w:szCs w:val="24"/>
          <w:lang w:val="en-US"/>
        </w:rPr>
      </w:pPr>
      <w:r w:rsidRPr="00065198">
        <w:rPr>
          <w:rFonts w:cs="Arial"/>
          <w:sz w:val="24"/>
          <w:szCs w:val="24"/>
          <w:lang w:val="en-US"/>
        </w:rPr>
        <w:t xml:space="preserve">The abstract should not exceed 200 words and should include a list of 5 keywords. </w:t>
      </w:r>
    </w:p>
    <w:p w:rsidR="00BE28B8" w:rsidRPr="00065198" w:rsidRDefault="00BE28B8" w:rsidP="00BE28B8">
      <w:pPr>
        <w:rPr>
          <w:rFonts w:cs="Arial"/>
          <w:sz w:val="24"/>
          <w:szCs w:val="24"/>
          <w:lang w:val="en-US"/>
        </w:rPr>
      </w:pPr>
    </w:p>
    <w:p w:rsidR="00BE28B8" w:rsidRPr="00065198" w:rsidRDefault="00BE28B8" w:rsidP="00BE28B8">
      <w:pPr>
        <w:rPr>
          <w:rFonts w:cs="Arial"/>
          <w:sz w:val="24"/>
          <w:szCs w:val="24"/>
          <w:lang w:val="en-US"/>
        </w:rPr>
      </w:pPr>
      <w:r w:rsidRPr="00065198">
        <w:rPr>
          <w:rFonts w:cs="Arial"/>
          <w:sz w:val="24"/>
          <w:szCs w:val="24"/>
          <w:lang w:val="en-US"/>
        </w:rPr>
        <w:t xml:space="preserve">The main sections should follow the general outline of a scientific paper, starting with an Introduction, Materials and Methods, followed by Results and Discussion, acknowledgements and references. These sections might be divided into sub-sections where appropriate. </w:t>
      </w:r>
    </w:p>
    <w:p w:rsidR="00BE28B8" w:rsidRPr="00065198" w:rsidRDefault="00BE28B8" w:rsidP="00BE28B8">
      <w:pPr>
        <w:rPr>
          <w:rFonts w:cs="Arial"/>
          <w:sz w:val="24"/>
          <w:szCs w:val="24"/>
          <w:lang w:val="en-US"/>
        </w:rPr>
      </w:pPr>
    </w:p>
    <w:p w:rsidR="00BE28B8" w:rsidRPr="00065198" w:rsidRDefault="00BE28B8" w:rsidP="00BE28B8">
      <w:pPr>
        <w:rPr>
          <w:rFonts w:cs="Arial"/>
          <w:i/>
          <w:sz w:val="24"/>
          <w:szCs w:val="24"/>
          <w:lang w:val="en-US"/>
        </w:rPr>
      </w:pPr>
      <w:r w:rsidRPr="00065198">
        <w:rPr>
          <w:rFonts w:cs="Arial"/>
          <w:i/>
          <w:sz w:val="24"/>
          <w:szCs w:val="24"/>
          <w:lang w:val="en-US"/>
        </w:rPr>
        <w:t>Tables and figures</w:t>
      </w:r>
    </w:p>
    <w:p w:rsidR="00BE28B8" w:rsidRPr="00065198" w:rsidRDefault="00BE28B8" w:rsidP="00BE28B8">
      <w:pPr>
        <w:rPr>
          <w:rFonts w:cs="Arial"/>
          <w:sz w:val="24"/>
          <w:szCs w:val="24"/>
          <w:lang w:val="en-US"/>
        </w:rPr>
      </w:pPr>
      <w:r w:rsidRPr="00065198">
        <w:rPr>
          <w:rFonts w:cs="Arial"/>
          <w:sz w:val="24"/>
          <w:szCs w:val="24"/>
          <w:lang w:val="en-US"/>
        </w:rPr>
        <w:t xml:space="preserve">Tables and figures (including original images) should be presented on separate pages at the end of the manuscript, each with a clear (self-explaining) legend. Tables and figures should be referred to in the text together with an indication of their approximate position (mark with colour). </w:t>
      </w:r>
    </w:p>
    <w:p w:rsidR="00BE28B8" w:rsidRPr="00065198" w:rsidRDefault="00BE28B8" w:rsidP="00BE28B8">
      <w:pPr>
        <w:rPr>
          <w:rFonts w:cs="Arial"/>
          <w:sz w:val="24"/>
          <w:szCs w:val="24"/>
          <w:lang w:val="en-US"/>
        </w:rPr>
      </w:pPr>
    </w:p>
    <w:p w:rsidR="00BE28B8" w:rsidRPr="00065198" w:rsidRDefault="00BE28B8" w:rsidP="00BE28B8">
      <w:pPr>
        <w:rPr>
          <w:rFonts w:cs="Arial"/>
          <w:sz w:val="24"/>
          <w:szCs w:val="24"/>
          <w:lang w:val="en-US"/>
        </w:rPr>
      </w:pPr>
      <w:r w:rsidRPr="00065198">
        <w:rPr>
          <w:rFonts w:cs="Arial"/>
          <w:sz w:val="24"/>
          <w:szCs w:val="24"/>
          <w:lang w:val="en-US"/>
        </w:rPr>
        <w:t xml:space="preserve">Authors must pay to have their figures reproduced in colour. Please submit the data for figures in black and white or submit a Colourwork Agreement Form. </w:t>
      </w:r>
    </w:p>
    <w:p w:rsidR="00BE28B8" w:rsidRPr="00065198" w:rsidRDefault="00BE28B8" w:rsidP="00BE28B8">
      <w:pPr>
        <w:rPr>
          <w:rFonts w:cs="Arial"/>
          <w:sz w:val="24"/>
          <w:szCs w:val="24"/>
          <w:lang w:val="en-US"/>
        </w:rPr>
      </w:pPr>
    </w:p>
    <w:p w:rsidR="00BE28B8" w:rsidRPr="00065198" w:rsidRDefault="00BE28B8" w:rsidP="00BE28B8">
      <w:pPr>
        <w:rPr>
          <w:rFonts w:cs="Arial"/>
          <w:sz w:val="24"/>
          <w:szCs w:val="24"/>
          <w:lang w:val="en-US"/>
        </w:rPr>
      </w:pPr>
      <w:r w:rsidRPr="00065198">
        <w:rPr>
          <w:rFonts w:cs="Arial"/>
          <w:sz w:val="24"/>
          <w:szCs w:val="24"/>
          <w:lang w:val="en-US"/>
        </w:rPr>
        <w:t xml:space="preserve">Authors to post hardcopy Colour Work Agreement (CWA) forms with original signature to Customer Services at the below address. Scanned or faxed versions of the forms should not be sent as that would be in contravention of Wiley’s PCI compliance policy. </w:t>
      </w:r>
    </w:p>
    <w:p w:rsidR="00BE28B8" w:rsidRPr="00065198" w:rsidRDefault="00BE28B8" w:rsidP="00BE28B8">
      <w:pPr>
        <w:rPr>
          <w:rFonts w:cs="Arial"/>
          <w:sz w:val="24"/>
          <w:szCs w:val="24"/>
          <w:lang w:val="en-US"/>
        </w:rPr>
      </w:pPr>
    </w:p>
    <w:p w:rsidR="00BE28B8" w:rsidRPr="00065198" w:rsidRDefault="00BE28B8" w:rsidP="00BE28B8">
      <w:pPr>
        <w:rPr>
          <w:rFonts w:cs="Arial"/>
          <w:sz w:val="24"/>
          <w:szCs w:val="24"/>
          <w:lang w:val="en-US"/>
        </w:rPr>
      </w:pPr>
      <w:r w:rsidRPr="00065198">
        <w:rPr>
          <w:rFonts w:cs="Arial"/>
          <w:sz w:val="24"/>
          <w:szCs w:val="24"/>
          <w:lang w:val="en-US"/>
        </w:rPr>
        <w:t>Customer Services (OPI)</w:t>
      </w:r>
    </w:p>
    <w:p w:rsidR="00BE28B8" w:rsidRPr="00065198" w:rsidRDefault="00BE28B8" w:rsidP="00BE28B8">
      <w:pPr>
        <w:rPr>
          <w:rFonts w:cs="Arial"/>
          <w:sz w:val="24"/>
          <w:szCs w:val="24"/>
          <w:lang w:val="en-US"/>
        </w:rPr>
      </w:pPr>
      <w:r w:rsidRPr="00065198">
        <w:rPr>
          <w:rFonts w:cs="Arial"/>
          <w:sz w:val="24"/>
          <w:szCs w:val="24"/>
          <w:lang w:val="en-US"/>
        </w:rPr>
        <w:t>John Wiley &amp; Sons Ltd, European Distribution Centre</w:t>
      </w:r>
    </w:p>
    <w:p w:rsidR="00BE28B8" w:rsidRPr="00065198" w:rsidRDefault="00BE28B8" w:rsidP="00BE28B8">
      <w:pPr>
        <w:rPr>
          <w:rFonts w:cs="Arial"/>
          <w:sz w:val="24"/>
          <w:szCs w:val="24"/>
          <w:lang w:val="en-US"/>
        </w:rPr>
      </w:pPr>
      <w:r w:rsidRPr="00065198">
        <w:rPr>
          <w:rFonts w:cs="Arial"/>
          <w:sz w:val="24"/>
          <w:szCs w:val="24"/>
          <w:lang w:val="en-US"/>
        </w:rPr>
        <w:t>New Era Estate</w:t>
      </w:r>
    </w:p>
    <w:p w:rsidR="00BE28B8" w:rsidRPr="00065198" w:rsidRDefault="00BE28B8" w:rsidP="00BE28B8">
      <w:pPr>
        <w:rPr>
          <w:rFonts w:cs="Arial"/>
          <w:sz w:val="24"/>
          <w:szCs w:val="24"/>
          <w:lang w:val="en-US"/>
        </w:rPr>
      </w:pPr>
      <w:r w:rsidRPr="00065198">
        <w:rPr>
          <w:rFonts w:cs="Arial"/>
          <w:sz w:val="24"/>
          <w:szCs w:val="24"/>
          <w:lang w:val="en-US"/>
        </w:rPr>
        <w:t>Oldlands Way</w:t>
      </w:r>
    </w:p>
    <w:p w:rsidR="00BE28B8" w:rsidRPr="00065198" w:rsidRDefault="00BE28B8" w:rsidP="00BE28B8">
      <w:pPr>
        <w:rPr>
          <w:rFonts w:cs="Arial"/>
          <w:sz w:val="24"/>
          <w:szCs w:val="24"/>
          <w:lang w:val="en-US"/>
        </w:rPr>
      </w:pPr>
      <w:r w:rsidRPr="00065198">
        <w:rPr>
          <w:rFonts w:cs="Arial"/>
          <w:sz w:val="24"/>
          <w:szCs w:val="24"/>
          <w:lang w:val="en-US"/>
        </w:rPr>
        <w:t>Bognor Regis</w:t>
      </w:r>
    </w:p>
    <w:p w:rsidR="00BE28B8" w:rsidRPr="00065198" w:rsidRDefault="00BE28B8" w:rsidP="00BE28B8">
      <w:pPr>
        <w:rPr>
          <w:rFonts w:cs="Arial"/>
          <w:sz w:val="24"/>
          <w:szCs w:val="24"/>
          <w:lang w:val="en-US"/>
        </w:rPr>
      </w:pPr>
      <w:r w:rsidRPr="00065198">
        <w:rPr>
          <w:rFonts w:cs="Arial"/>
          <w:sz w:val="24"/>
          <w:szCs w:val="24"/>
          <w:lang w:val="en-US"/>
        </w:rPr>
        <w:t>West Sussex</w:t>
      </w:r>
    </w:p>
    <w:p w:rsidR="00BE28B8" w:rsidRPr="00065198" w:rsidRDefault="00BE28B8" w:rsidP="00BE28B8">
      <w:pPr>
        <w:rPr>
          <w:rFonts w:cs="Arial"/>
          <w:sz w:val="24"/>
          <w:szCs w:val="24"/>
          <w:lang w:val="en-US"/>
        </w:rPr>
      </w:pPr>
      <w:r w:rsidRPr="00065198">
        <w:rPr>
          <w:rFonts w:cs="Arial"/>
          <w:sz w:val="24"/>
          <w:szCs w:val="24"/>
          <w:lang w:val="en-US"/>
        </w:rPr>
        <w:t>PO22 9NQ</w:t>
      </w:r>
    </w:p>
    <w:p w:rsidR="00BE28B8" w:rsidRPr="00065198" w:rsidRDefault="00BE28B8" w:rsidP="00BE28B8">
      <w:pPr>
        <w:rPr>
          <w:rFonts w:cs="Arial"/>
          <w:sz w:val="24"/>
          <w:szCs w:val="24"/>
          <w:lang w:val="en-US"/>
        </w:rPr>
      </w:pPr>
    </w:p>
    <w:p w:rsidR="00BE28B8" w:rsidRPr="00065198" w:rsidRDefault="00BE28B8" w:rsidP="00BE28B8">
      <w:pPr>
        <w:rPr>
          <w:rFonts w:cs="Arial"/>
          <w:sz w:val="24"/>
          <w:szCs w:val="24"/>
          <w:lang w:val="en-US"/>
        </w:rPr>
      </w:pPr>
      <w:r w:rsidRPr="00065198">
        <w:rPr>
          <w:rFonts w:cs="Arial"/>
          <w:sz w:val="24"/>
          <w:szCs w:val="24"/>
          <w:lang w:val="en-US"/>
        </w:rPr>
        <w:t>Preparation of Electronic Figures for Publication: Although low quality images are adequate for review purposes, print publication requires high quality images to prevent the final product being blurred or fuzzy. Submit EPS (lineart) or TIFF (halftone/photographs) files only. MS PowerPoint and Word Graphics are unsuitable for printed pictures. Do not use pixel-oriented programmes. Scans (TIFF only) should have a resolution of 300 dpi (halftone) or 600 to 1200 dpi (line drawings) in relation to the reproduction size (see below). EPS files should be saved with fonts embedded (and with a TIFF preview if possible).</w:t>
      </w:r>
    </w:p>
    <w:p w:rsidR="00BE28B8" w:rsidRPr="00065198" w:rsidRDefault="00BE28B8" w:rsidP="00BE28B8">
      <w:pPr>
        <w:rPr>
          <w:rFonts w:cs="Arial"/>
          <w:sz w:val="24"/>
          <w:szCs w:val="24"/>
          <w:lang w:val="en-US"/>
        </w:rPr>
      </w:pPr>
      <w:r w:rsidRPr="00065198">
        <w:rPr>
          <w:rFonts w:cs="Arial"/>
          <w:sz w:val="24"/>
          <w:szCs w:val="24"/>
          <w:lang w:val="en-US"/>
        </w:rPr>
        <w:t>For scanned images, the scanning resolution (at final image size) should be as follows to ensure good reproduction: lineart:  &gt;600 dpi; half-tones (including gel photographs</w:t>
      </w:r>
      <w:proofErr w:type="gramStart"/>
      <w:r w:rsidRPr="00065198">
        <w:rPr>
          <w:rFonts w:cs="Arial"/>
          <w:sz w:val="24"/>
          <w:szCs w:val="24"/>
          <w:lang w:val="en-US"/>
        </w:rPr>
        <w:t>):</w:t>
      </w:r>
      <w:proofErr w:type="gramEnd"/>
      <w:r w:rsidRPr="00065198">
        <w:rPr>
          <w:rFonts w:cs="Arial"/>
          <w:sz w:val="24"/>
          <w:szCs w:val="24"/>
          <w:lang w:val="en-US"/>
        </w:rPr>
        <w:t xml:space="preserve"> &gt;300 dpi; figures containing both halftone and line images: &gt;600 dpi.</w:t>
      </w:r>
    </w:p>
    <w:p w:rsidR="00BE28B8" w:rsidRPr="00065198" w:rsidRDefault="00BE28B8" w:rsidP="00BE28B8">
      <w:pPr>
        <w:rPr>
          <w:rFonts w:cs="Arial"/>
          <w:sz w:val="24"/>
          <w:szCs w:val="24"/>
          <w:lang w:val="en-US"/>
        </w:rPr>
      </w:pPr>
      <w:r w:rsidRPr="00065198">
        <w:rPr>
          <w:rFonts w:cs="Arial"/>
          <w:sz w:val="24"/>
          <w:szCs w:val="24"/>
          <w:lang w:val="en-US"/>
        </w:rPr>
        <w:t>Further information can be obtained at Wiley Blackwell’s guidelines for figures: http://authorservices.wiley.com/bauthor/illustration.asp.</w:t>
      </w:r>
    </w:p>
    <w:p w:rsidR="00BE28B8" w:rsidRPr="00065198" w:rsidRDefault="00BE28B8" w:rsidP="00BE28B8">
      <w:pPr>
        <w:rPr>
          <w:rFonts w:cs="Arial"/>
          <w:sz w:val="24"/>
          <w:szCs w:val="24"/>
          <w:lang w:val="en-US"/>
        </w:rPr>
      </w:pPr>
    </w:p>
    <w:p w:rsidR="00BE28B8" w:rsidRPr="00065198" w:rsidRDefault="00BE28B8" w:rsidP="00BE28B8">
      <w:pPr>
        <w:rPr>
          <w:rFonts w:cs="Arial"/>
          <w:sz w:val="24"/>
          <w:szCs w:val="24"/>
          <w:lang w:val="en-US"/>
        </w:rPr>
      </w:pPr>
      <w:r w:rsidRPr="00065198">
        <w:rPr>
          <w:rFonts w:cs="Arial"/>
          <w:sz w:val="24"/>
          <w:szCs w:val="24"/>
          <w:lang w:val="en-US"/>
        </w:rPr>
        <w:t>Check your electronic artwork before submitting it: http://authorservices.wiley.com/bauthor/eachecklist.asp</w:t>
      </w:r>
    </w:p>
    <w:p w:rsidR="00BE28B8" w:rsidRPr="00065198" w:rsidRDefault="00BE28B8" w:rsidP="00BE28B8">
      <w:pPr>
        <w:rPr>
          <w:rFonts w:cs="Arial"/>
          <w:sz w:val="24"/>
          <w:szCs w:val="24"/>
          <w:lang w:val="en-US"/>
        </w:rPr>
      </w:pPr>
    </w:p>
    <w:p w:rsidR="00BE28B8" w:rsidRPr="00065198" w:rsidRDefault="00BE28B8" w:rsidP="00BE28B8">
      <w:pPr>
        <w:rPr>
          <w:rFonts w:cs="Arial"/>
          <w:i/>
          <w:sz w:val="24"/>
          <w:szCs w:val="24"/>
          <w:lang w:val="en-US"/>
        </w:rPr>
      </w:pPr>
      <w:r w:rsidRPr="00065198">
        <w:rPr>
          <w:rFonts w:cs="Arial"/>
          <w:i/>
          <w:sz w:val="24"/>
          <w:szCs w:val="24"/>
          <w:lang w:val="en-US"/>
        </w:rPr>
        <w:lastRenderedPageBreak/>
        <w:t>Abbreviations and Terminology</w:t>
      </w:r>
    </w:p>
    <w:p w:rsidR="00BE28B8" w:rsidRPr="00065198" w:rsidRDefault="00BE28B8" w:rsidP="00BE28B8">
      <w:pPr>
        <w:rPr>
          <w:rFonts w:cs="Arial"/>
          <w:sz w:val="24"/>
          <w:szCs w:val="24"/>
          <w:lang w:val="en-US"/>
        </w:rPr>
      </w:pPr>
      <w:r w:rsidRPr="00065198">
        <w:rPr>
          <w:rFonts w:cs="Arial"/>
          <w:sz w:val="24"/>
          <w:szCs w:val="24"/>
          <w:lang w:val="en-US"/>
        </w:rPr>
        <w:t xml:space="preserve"> Spelling should conform to that of standard dictionaries (e.g. The Concise English Dictionary, Webster's New Collegiate Dictionary). Style should conform to that of standard manuals of English usage. Authors who are not fluent in English should seek skilled advice on the composition of their manuscripts. </w:t>
      </w:r>
    </w:p>
    <w:p w:rsidR="00BE28B8" w:rsidRPr="00065198" w:rsidRDefault="00BE28B8" w:rsidP="00BE28B8">
      <w:pPr>
        <w:rPr>
          <w:rFonts w:cs="Arial"/>
          <w:sz w:val="24"/>
          <w:szCs w:val="24"/>
          <w:lang w:val="en-US"/>
        </w:rPr>
      </w:pPr>
    </w:p>
    <w:p w:rsidR="00BE28B8" w:rsidRPr="00065198" w:rsidRDefault="00BE28B8" w:rsidP="00BE28B8">
      <w:pPr>
        <w:rPr>
          <w:rFonts w:cs="Arial"/>
          <w:sz w:val="24"/>
          <w:szCs w:val="24"/>
          <w:lang w:val="en-US"/>
        </w:rPr>
      </w:pPr>
      <w:r w:rsidRPr="00065198">
        <w:rPr>
          <w:rFonts w:cs="Arial"/>
          <w:sz w:val="24"/>
          <w:szCs w:val="24"/>
          <w:lang w:val="en-US"/>
        </w:rPr>
        <w:t xml:space="preserve">Units of measurement, symbols and standard abbreviations should conform to those recommended by the International Union of Bio-Chemistry (IUB) and the International Union of Pure and Applied Chemistry (IUPAC). Metric measurements are preferred, and dosages should be expressed entirely in metric units (SI units). </w:t>
      </w:r>
    </w:p>
    <w:p w:rsidR="00BE28B8" w:rsidRPr="00065198" w:rsidRDefault="00BE28B8" w:rsidP="00BE28B8">
      <w:pPr>
        <w:rPr>
          <w:rFonts w:cs="Arial"/>
          <w:sz w:val="24"/>
          <w:szCs w:val="24"/>
          <w:lang w:val="en-US"/>
        </w:rPr>
      </w:pPr>
    </w:p>
    <w:p w:rsidR="00BE28B8" w:rsidRPr="00065198" w:rsidRDefault="00BE28B8" w:rsidP="00BE28B8">
      <w:pPr>
        <w:rPr>
          <w:rFonts w:cs="Arial"/>
          <w:i/>
          <w:sz w:val="24"/>
          <w:szCs w:val="24"/>
          <w:lang w:val="en-US"/>
        </w:rPr>
      </w:pPr>
      <w:r w:rsidRPr="00065198">
        <w:rPr>
          <w:rFonts w:cs="Arial"/>
          <w:i/>
          <w:sz w:val="24"/>
          <w:szCs w:val="24"/>
          <w:lang w:val="en-US"/>
        </w:rPr>
        <w:t>References</w:t>
      </w:r>
    </w:p>
    <w:p w:rsidR="00BE28B8" w:rsidRPr="00065198" w:rsidRDefault="00BE28B8" w:rsidP="00BE28B8">
      <w:pPr>
        <w:rPr>
          <w:rFonts w:cs="Arial"/>
          <w:sz w:val="24"/>
          <w:szCs w:val="24"/>
          <w:lang w:val="en-US"/>
        </w:rPr>
      </w:pPr>
      <w:r w:rsidRPr="00065198">
        <w:rPr>
          <w:rFonts w:cs="Arial"/>
          <w:sz w:val="24"/>
          <w:szCs w:val="24"/>
          <w:lang w:val="en-US"/>
        </w:rPr>
        <w:t xml:space="preserve"> The reference list should be in alphabetical order and include the full title thus: </w:t>
      </w:r>
    </w:p>
    <w:p w:rsidR="00BE28B8" w:rsidRPr="00065198" w:rsidRDefault="00BE28B8" w:rsidP="00BE28B8">
      <w:pPr>
        <w:rPr>
          <w:rFonts w:cs="Arial"/>
          <w:sz w:val="24"/>
          <w:szCs w:val="24"/>
          <w:lang w:val="en-US"/>
        </w:rPr>
      </w:pPr>
      <w:r w:rsidRPr="00065198">
        <w:rPr>
          <w:rFonts w:cs="Arial"/>
          <w:sz w:val="24"/>
          <w:szCs w:val="24"/>
          <w:lang w:val="en-US"/>
        </w:rPr>
        <w:t xml:space="preserve">•Eddy, R.G. (1977) </w:t>
      </w:r>
      <w:proofErr w:type="gramStart"/>
      <w:r w:rsidRPr="00065198">
        <w:rPr>
          <w:rFonts w:cs="Arial"/>
          <w:sz w:val="24"/>
          <w:szCs w:val="24"/>
          <w:lang w:val="en-US"/>
        </w:rPr>
        <w:t>The</w:t>
      </w:r>
      <w:proofErr w:type="gramEnd"/>
      <w:r w:rsidRPr="00065198">
        <w:rPr>
          <w:rFonts w:cs="Arial"/>
          <w:sz w:val="24"/>
          <w:szCs w:val="24"/>
          <w:lang w:val="en-US"/>
        </w:rPr>
        <w:t xml:space="preserve"> use of cloprostenal in the treatment of no visible oestrus and cystic ovarian disease in dairy cows. Veterinary Record, 109, 62-65. </w:t>
      </w:r>
    </w:p>
    <w:p w:rsidR="00BE28B8" w:rsidRPr="00065198" w:rsidRDefault="00BE28B8" w:rsidP="00BE28B8">
      <w:pPr>
        <w:rPr>
          <w:rFonts w:cs="Arial"/>
          <w:sz w:val="24"/>
          <w:szCs w:val="24"/>
          <w:lang w:val="en-US"/>
        </w:rPr>
      </w:pPr>
      <w:r w:rsidRPr="00065198">
        <w:rPr>
          <w:rFonts w:cs="Arial"/>
          <w:sz w:val="24"/>
          <w:szCs w:val="24"/>
          <w:lang w:val="en-US"/>
        </w:rPr>
        <w:t xml:space="preserve">•Moe, G.K. &amp; Abildskov, J.A. (1980). Antiarrhythmic drugs. In The Pharmacological Basis of Therapeutics. 6th edn. Eds Gilman, A.G., Goodman, L.S. &amp; Gilman. A. pp. 683-704. Macmillan, New York. </w:t>
      </w:r>
    </w:p>
    <w:p w:rsidR="00BE28B8" w:rsidRPr="00065198" w:rsidRDefault="00BE28B8" w:rsidP="00BE28B8">
      <w:pPr>
        <w:rPr>
          <w:rFonts w:cs="Arial"/>
          <w:sz w:val="24"/>
          <w:szCs w:val="24"/>
          <w:lang w:val="en-US"/>
        </w:rPr>
      </w:pPr>
    </w:p>
    <w:p w:rsidR="00BE28B8" w:rsidRPr="00065198" w:rsidRDefault="00BE28B8" w:rsidP="00BE28B8">
      <w:pPr>
        <w:rPr>
          <w:rFonts w:cs="Arial"/>
          <w:sz w:val="24"/>
          <w:szCs w:val="24"/>
          <w:lang w:val="en-US"/>
        </w:rPr>
      </w:pPr>
      <w:r w:rsidRPr="00065198">
        <w:rPr>
          <w:rFonts w:cs="Arial"/>
          <w:sz w:val="24"/>
          <w:szCs w:val="24"/>
          <w:lang w:val="en-US"/>
        </w:rPr>
        <w:t xml:space="preserve">References in the text should cite the name of the author followed by the year of publication, e.g. (Brown, 1978). When reference is made to a work by two authors, both names should be given, e.g. (Brown &amp; White, 1978): for three or more authors, the first name followed by et al. should be used, e.g. (Brown et al., 1978). Authors are responsible for the accuracy of their references. </w:t>
      </w:r>
    </w:p>
    <w:p w:rsidR="00BE28B8" w:rsidRPr="00065198" w:rsidRDefault="00BE28B8" w:rsidP="00BE28B8">
      <w:pPr>
        <w:rPr>
          <w:rFonts w:cs="Arial"/>
          <w:sz w:val="24"/>
          <w:szCs w:val="24"/>
          <w:lang w:val="en-US"/>
        </w:rPr>
      </w:pPr>
    </w:p>
    <w:p w:rsidR="00BE28B8" w:rsidRPr="00065198" w:rsidRDefault="00BE28B8" w:rsidP="00BE28B8">
      <w:pPr>
        <w:rPr>
          <w:rFonts w:cs="Arial"/>
          <w:sz w:val="24"/>
          <w:szCs w:val="24"/>
          <w:lang w:val="en-US"/>
        </w:rPr>
      </w:pPr>
      <w:r w:rsidRPr="00065198">
        <w:rPr>
          <w:rFonts w:cs="Arial"/>
          <w:sz w:val="24"/>
          <w:szCs w:val="24"/>
          <w:lang w:val="en-US"/>
        </w:rPr>
        <w:t>We recommend the use of a tool such as Reference Manager for reference management and formatting.</w:t>
      </w:r>
    </w:p>
    <w:p w:rsidR="00BE28B8" w:rsidRPr="00065198" w:rsidRDefault="00BE28B8" w:rsidP="00BE28B8">
      <w:pPr>
        <w:rPr>
          <w:rFonts w:cs="Arial"/>
          <w:sz w:val="24"/>
          <w:szCs w:val="24"/>
          <w:lang w:val="en-US"/>
        </w:rPr>
      </w:pPr>
    </w:p>
    <w:p w:rsidR="00BE28B8" w:rsidRPr="00065198" w:rsidRDefault="00BE28B8" w:rsidP="00BE28B8">
      <w:pPr>
        <w:rPr>
          <w:rFonts w:cs="Arial"/>
          <w:sz w:val="24"/>
          <w:szCs w:val="24"/>
          <w:lang w:val="en-US"/>
        </w:rPr>
      </w:pPr>
      <w:r w:rsidRPr="00065198">
        <w:rPr>
          <w:rFonts w:cs="Arial"/>
          <w:sz w:val="24"/>
          <w:szCs w:val="24"/>
          <w:lang w:val="en-US"/>
        </w:rPr>
        <w:t xml:space="preserve">Reference Manager </w:t>
      </w:r>
      <w:proofErr w:type="gramStart"/>
      <w:r w:rsidRPr="00065198">
        <w:rPr>
          <w:rFonts w:cs="Arial"/>
          <w:sz w:val="24"/>
          <w:szCs w:val="24"/>
          <w:lang w:val="en-US"/>
        </w:rPr>
        <w:t>reference</w:t>
      </w:r>
      <w:proofErr w:type="gramEnd"/>
      <w:r w:rsidRPr="00065198">
        <w:rPr>
          <w:rFonts w:cs="Arial"/>
          <w:sz w:val="24"/>
          <w:szCs w:val="24"/>
          <w:lang w:val="en-US"/>
        </w:rPr>
        <w:t xml:space="preserve"> styles can be searched for here: </w:t>
      </w:r>
      <w:hyperlink r:id="rId11" w:history="1">
        <w:r w:rsidRPr="00065198">
          <w:rPr>
            <w:rStyle w:val="Hipervnculo"/>
            <w:rFonts w:cs="Arial"/>
            <w:sz w:val="24"/>
            <w:szCs w:val="24"/>
            <w:lang w:val="en-US"/>
          </w:rPr>
          <w:t>http://www.refman.com/support/rmstyles.asp</w:t>
        </w:r>
      </w:hyperlink>
    </w:p>
    <w:p w:rsidR="00BE28B8" w:rsidRPr="00065198" w:rsidRDefault="00BE28B8" w:rsidP="00BE28B8">
      <w:pPr>
        <w:rPr>
          <w:rFonts w:cs="Arial"/>
          <w:sz w:val="24"/>
          <w:szCs w:val="24"/>
          <w:lang w:val="en-US"/>
        </w:rPr>
      </w:pPr>
    </w:p>
    <w:p w:rsidR="00BE28B8" w:rsidRPr="00065198" w:rsidRDefault="00BE28B8" w:rsidP="00BE28B8">
      <w:pPr>
        <w:rPr>
          <w:rFonts w:cs="Arial"/>
          <w:i/>
          <w:sz w:val="24"/>
          <w:szCs w:val="24"/>
          <w:lang w:val="en-US"/>
        </w:rPr>
      </w:pPr>
      <w:r w:rsidRPr="00065198">
        <w:rPr>
          <w:rFonts w:cs="Arial"/>
          <w:i/>
          <w:sz w:val="24"/>
          <w:szCs w:val="24"/>
          <w:lang w:val="en-US"/>
        </w:rPr>
        <w:t>Reviews</w:t>
      </w:r>
    </w:p>
    <w:p w:rsidR="00BE28B8" w:rsidRPr="00065198" w:rsidRDefault="00BE28B8" w:rsidP="00BE28B8">
      <w:pPr>
        <w:rPr>
          <w:rFonts w:cs="Arial"/>
          <w:sz w:val="24"/>
          <w:szCs w:val="24"/>
          <w:lang w:val="en-US"/>
        </w:rPr>
      </w:pPr>
      <w:r w:rsidRPr="00065198">
        <w:rPr>
          <w:rFonts w:cs="Arial"/>
          <w:sz w:val="24"/>
          <w:szCs w:val="24"/>
          <w:lang w:val="en-US"/>
        </w:rPr>
        <w:t xml:space="preserve"> The Journal welcomes reviews providing an updated state of the art on topics associated with Veterinary Pharmacology, Veterinary Therapy and Veterinary Toxicology. It is however recommended that authors who are planning or preparing larger review-type articles should contact the Review Editor for detailed information.</w:t>
      </w:r>
    </w:p>
    <w:p w:rsidR="00BE28B8" w:rsidRPr="00065198" w:rsidRDefault="00BE28B8" w:rsidP="00BE28B8">
      <w:pPr>
        <w:rPr>
          <w:rFonts w:cs="Arial"/>
          <w:sz w:val="24"/>
          <w:szCs w:val="24"/>
          <w:lang w:val="en-US"/>
        </w:rPr>
      </w:pPr>
    </w:p>
    <w:p w:rsidR="00E64114" w:rsidRPr="00065198" w:rsidRDefault="00642BC5" w:rsidP="00E64114">
      <w:pPr>
        <w:rPr>
          <w:rFonts w:cs="Arial"/>
          <w:b/>
          <w:sz w:val="24"/>
          <w:szCs w:val="24"/>
          <w:lang w:val="en-US"/>
        </w:rPr>
      </w:pPr>
      <w:hyperlink r:id="rId12" w:history="1">
        <w:r w:rsidR="00E64114" w:rsidRPr="00065198">
          <w:rPr>
            <w:rStyle w:val="Hipervnculo"/>
            <w:rFonts w:cs="Arial"/>
            <w:b/>
            <w:sz w:val="24"/>
            <w:szCs w:val="24"/>
            <w:lang w:val="en-US"/>
          </w:rPr>
          <w:t>http://onlinelibrary.wiley.com/journal/10.1111/(ISSN)1365-2885/homepage/ForAuthors.html</w:t>
        </w:r>
      </w:hyperlink>
    </w:p>
    <w:p w:rsidR="00E17990" w:rsidRDefault="00E17990" w:rsidP="00E64114">
      <w:pPr>
        <w:rPr>
          <w:b/>
          <w:lang w:val="en-US"/>
        </w:rPr>
      </w:pPr>
    </w:p>
    <w:p w:rsidR="0069749F" w:rsidRDefault="00E17990" w:rsidP="00395B39">
      <w:pPr>
        <w:spacing w:line="360" w:lineRule="auto"/>
        <w:rPr>
          <w:rFonts w:cs="Arial"/>
          <w:sz w:val="24"/>
          <w:szCs w:val="24"/>
          <w:lang w:val="en-US"/>
        </w:rPr>
      </w:pPr>
      <w:r>
        <w:rPr>
          <w:b/>
          <w:lang w:val="en-US"/>
        </w:rPr>
        <w:br w:type="page"/>
      </w:r>
    </w:p>
    <w:p w:rsidR="00ED56B9" w:rsidRPr="00642BC5" w:rsidRDefault="00ED56B9" w:rsidP="00395B39">
      <w:pPr>
        <w:pStyle w:val="Ttulo1"/>
        <w:spacing w:line="360" w:lineRule="auto"/>
        <w:jc w:val="center"/>
        <w:rPr>
          <w:sz w:val="24"/>
          <w:szCs w:val="24"/>
          <w:lang w:val="en-US"/>
        </w:rPr>
      </w:pPr>
      <w:bookmarkStart w:id="19" w:name="_Toc325709846"/>
      <w:r w:rsidRPr="00642BC5">
        <w:rPr>
          <w:sz w:val="24"/>
          <w:szCs w:val="24"/>
          <w:lang w:val="en-US"/>
        </w:rPr>
        <w:lastRenderedPageBreak/>
        <w:t>RESULTADOS</w:t>
      </w:r>
      <w:bookmarkEnd w:id="19"/>
    </w:p>
    <w:p w:rsidR="000529E6" w:rsidRDefault="000529E6" w:rsidP="000529E6">
      <w:pPr>
        <w:spacing w:line="360" w:lineRule="auto"/>
        <w:rPr>
          <w:color w:val="000000" w:themeColor="text1"/>
          <w:lang w:val="en-US"/>
        </w:rPr>
      </w:pPr>
    </w:p>
    <w:p w:rsidR="00B41C1C" w:rsidRPr="00A518CC" w:rsidRDefault="00B41C1C" w:rsidP="00B41C1C">
      <w:pPr>
        <w:shd w:val="clear" w:color="auto" w:fill="FFFFFF"/>
        <w:spacing w:line="360" w:lineRule="auto"/>
        <w:rPr>
          <w:rFonts w:ascii="Times New Roman" w:eastAsia="Times New Roman" w:hAnsi="Times New Roman"/>
          <w:b/>
          <w:sz w:val="24"/>
          <w:szCs w:val="24"/>
          <w:lang w:val="en-US" w:eastAsia="es-MX"/>
        </w:rPr>
      </w:pPr>
      <w:r w:rsidRPr="00A518CC">
        <w:rPr>
          <w:rFonts w:ascii="Times New Roman" w:eastAsia="Times New Roman" w:hAnsi="Times New Roman"/>
          <w:b/>
          <w:sz w:val="24"/>
          <w:szCs w:val="24"/>
          <w:lang w:val="en-US" w:eastAsia="es-MX"/>
        </w:rPr>
        <w:t>A systematic review of experimental studies of yohimbine effects over pharmacokinetic, pharmacodynamic and behavioral parameters in horses sedated with detomidine</w:t>
      </w:r>
    </w:p>
    <w:p w:rsidR="00B41C1C" w:rsidRPr="00A518CC" w:rsidRDefault="00B41C1C" w:rsidP="00B41C1C">
      <w:pPr>
        <w:shd w:val="clear" w:color="auto" w:fill="FFFFFF"/>
        <w:spacing w:line="360" w:lineRule="auto"/>
        <w:rPr>
          <w:rFonts w:ascii="Times New Roman" w:eastAsia="Times New Roman" w:hAnsi="Times New Roman"/>
          <w:b/>
          <w:sz w:val="24"/>
          <w:szCs w:val="24"/>
          <w:lang w:val="en-US" w:eastAsia="es-MX"/>
        </w:rPr>
      </w:pPr>
      <w:r w:rsidRPr="00A518CC">
        <w:rPr>
          <w:rFonts w:ascii="Times New Roman" w:eastAsia="Times New Roman" w:hAnsi="Times New Roman"/>
          <w:b/>
          <w:sz w:val="24"/>
          <w:szCs w:val="24"/>
          <w:lang w:val="en-US" w:eastAsia="es-MX"/>
        </w:rPr>
        <w:t>Short title: yohimbine effects over pharmacokinetic, pharmacodynamic and behavioral parameters in horses sedated with detomidine</w:t>
      </w:r>
    </w:p>
    <w:p w:rsidR="00B41C1C" w:rsidRPr="00A518CC" w:rsidRDefault="00B41C1C" w:rsidP="00B41C1C">
      <w:pPr>
        <w:shd w:val="clear" w:color="auto" w:fill="FFFFFF"/>
        <w:spacing w:line="360" w:lineRule="auto"/>
        <w:rPr>
          <w:rFonts w:ascii="Times New Roman" w:eastAsia="Times New Roman" w:hAnsi="Times New Roman"/>
          <w:b/>
          <w:sz w:val="24"/>
          <w:szCs w:val="24"/>
          <w:lang w:val="en-US" w:eastAsia="es-MX"/>
        </w:rPr>
      </w:pPr>
    </w:p>
    <w:p w:rsidR="00B41C1C" w:rsidRPr="00A518CC" w:rsidRDefault="00B41C1C" w:rsidP="00B41C1C">
      <w:pPr>
        <w:shd w:val="clear" w:color="auto" w:fill="FFFFFF"/>
        <w:spacing w:line="360" w:lineRule="auto"/>
        <w:rPr>
          <w:rFonts w:ascii="Times New Roman" w:eastAsia="Arial Unicode MS" w:hAnsi="Times New Roman"/>
          <w:b/>
          <w:sz w:val="24"/>
          <w:szCs w:val="24"/>
          <w:lang w:val="es-MX"/>
        </w:rPr>
      </w:pPr>
      <w:r w:rsidRPr="00A518CC">
        <w:rPr>
          <w:rFonts w:ascii="Times New Roman" w:eastAsia="Arial Unicode MS" w:hAnsi="Times New Roman"/>
          <w:b/>
          <w:sz w:val="24"/>
          <w:szCs w:val="24"/>
          <w:lang w:val="es-MX"/>
        </w:rPr>
        <w:t>E. G. Osornio-Plata</w:t>
      </w:r>
      <w:r w:rsidRPr="00A518CC">
        <w:rPr>
          <w:rFonts w:ascii="Times New Roman" w:eastAsia="Arial Unicode MS" w:hAnsi="Times New Roman"/>
          <w:b/>
          <w:sz w:val="24"/>
          <w:szCs w:val="24"/>
          <w:vertAlign w:val="superscript"/>
          <w:lang w:val="es-MX"/>
        </w:rPr>
        <w:t>1</w:t>
      </w:r>
      <w:r w:rsidRPr="00A518CC">
        <w:rPr>
          <w:rFonts w:ascii="Times New Roman" w:eastAsia="Arial Unicode MS" w:hAnsi="Times New Roman"/>
          <w:b/>
          <w:sz w:val="24"/>
          <w:szCs w:val="24"/>
          <w:lang w:val="es-MX"/>
        </w:rPr>
        <w:t>, J. A. Ibancovichi-Camarillo</w:t>
      </w:r>
      <w:r w:rsidRPr="00A518CC">
        <w:rPr>
          <w:rFonts w:ascii="Times New Roman" w:eastAsia="Arial Unicode MS" w:hAnsi="Times New Roman"/>
          <w:b/>
          <w:sz w:val="24"/>
          <w:szCs w:val="24"/>
          <w:vertAlign w:val="superscript"/>
          <w:lang w:val="es-MX"/>
        </w:rPr>
        <w:t>2</w:t>
      </w:r>
      <w:r w:rsidRPr="00A518CC">
        <w:rPr>
          <w:rFonts w:ascii="Times New Roman" w:eastAsia="Arial Unicode MS" w:hAnsi="Times New Roman"/>
          <w:b/>
          <w:sz w:val="24"/>
          <w:szCs w:val="24"/>
          <w:lang w:val="es-MX"/>
        </w:rPr>
        <w:t>, S. Recillas-Morales</w:t>
      </w:r>
      <w:r w:rsidRPr="00A518CC">
        <w:rPr>
          <w:rFonts w:ascii="Times New Roman" w:eastAsia="Arial Unicode MS" w:hAnsi="Times New Roman"/>
          <w:b/>
          <w:sz w:val="24"/>
          <w:szCs w:val="24"/>
          <w:vertAlign w:val="superscript"/>
          <w:lang w:val="es-MX"/>
        </w:rPr>
        <w:t>3</w:t>
      </w:r>
      <w:r w:rsidRPr="00A518CC">
        <w:rPr>
          <w:rFonts w:ascii="Times New Roman" w:eastAsia="Arial Unicode MS" w:hAnsi="Times New Roman"/>
          <w:b/>
          <w:sz w:val="24"/>
          <w:szCs w:val="24"/>
          <w:lang w:val="es-MX"/>
        </w:rPr>
        <w:t>, J. M. Victoria-Mora</w:t>
      </w:r>
      <w:r w:rsidRPr="00A518CC">
        <w:rPr>
          <w:rFonts w:ascii="Times New Roman" w:eastAsia="Arial Unicode MS" w:hAnsi="Times New Roman"/>
          <w:b/>
          <w:sz w:val="24"/>
          <w:szCs w:val="24"/>
          <w:vertAlign w:val="superscript"/>
          <w:lang w:val="es-MX"/>
        </w:rPr>
        <w:t>3</w:t>
      </w:r>
      <w:r w:rsidRPr="00A518CC">
        <w:rPr>
          <w:rFonts w:ascii="Times New Roman" w:eastAsia="Arial Unicode MS" w:hAnsi="Times New Roman"/>
          <w:b/>
          <w:sz w:val="24"/>
          <w:szCs w:val="24"/>
          <w:lang w:val="es-MX"/>
        </w:rPr>
        <w:t>, P. Sánchez-Aparicio</w:t>
      </w:r>
      <w:r w:rsidRPr="00A518CC">
        <w:rPr>
          <w:rFonts w:ascii="Times New Roman" w:eastAsia="Arial Unicode MS" w:hAnsi="Times New Roman"/>
          <w:b/>
          <w:sz w:val="24"/>
          <w:szCs w:val="24"/>
          <w:vertAlign w:val="superscript"/>
          <w:lang w:val="es-MX"/>
        </w:rPr>
        <w:t>3*</w:t>
      </w:r>
      <w:r w:rsidRPr="00A518CC">
        <w:rPr>
          <w:rFonts w:ascii="Times New Roman" w:eastAsia="Arial Unicode MS" w:hAnsi="Times New Roman"/>
          <w:b/>
          <w:sz w:val="24"/>
          <w:szCs w:val="24"/>
          <w:lang w:val="es-MX"/>
        </w:rPr>
        <w:t xml:space="preserve"> </w:t>
      </w:r>
    </w:p>
    <w:p w:rsidR="00B41C1C" w:rsidRPr="00A518CC" w:rsidRDefault="00B41C1C" w:rsidP="00B41C1C">
      <w:pPr>
        <w:shd w:val="clear" w:color="auto" w:fill="FFFFFF"/>
        <w:spacing w:line="360" w:lineRule="auto"/>
        <w:rPr>
          <w:rFonts w:ascii="Times New Roman" w:eastAsia="Arial Unicode MS" w:hAnsi="Times New Roman"/>
          <w:sz w:val="24"/>
          <w:szCs w:val="24"/>
          <w:lang w:val="es-MX"/>
        </w:rPr>
      </w:pPr>
      <w:r w:rsidRPr="00A518CC">
        <w:rPr>
          <w:rFonts w:ascii="Times New Roman" w:eastAsia="Arial Unicode MS" w:hAnsi="Times New Roman"/>
          <w:sz w:val="24"/>
          <w:szCs w:val="24"/>
          <w:vertAlign w:val="superscript"/>
          <w:lang w:val="es-MX"/>
        </w:rPr>
        <w:t>1</w:t>
      </w:r>
      <w:r w:rsidRPr="00A518CC">
        <w:rPr>
          <w:rFonts w:ascii="Times New Roman" w:eastAsia="Arial Unicode MS" w:hAnsi="Times New Roman"/>
          <w:sz w:val="24"/>
          <w:szCs w:val="24"/>
          <w:lang w:val="es-MX"/>
        </w:rPr>
        <w:t xml:space="preserve">Licenciatura en Medicina Veterinaria y Zootecnia, Facultad de Medicina Veterinaria y Zootecnia, Universidad Autónoma del Estado de México, Toluca, México. </w:t>
      </w:r>
    </w:p>
    <w:p w:rsidR="00B41C1C" w:rsidRPr="00A518CC" w:rsidRDefault="00B41C1C" w:rsidP="00B41C1C">
      <w:pPr>
        <w:shd w:val="clear" w:color="auto" w:fill="FFFFFF"/>
        <w:spacing w:line="360" w:lineRule="auto"/>
        <w:rPr>
          <w:rFonts w:ascii="Times New Roman" w:eastAsia="Arial Unicode MS" w:hAnsi="Times New Roman"/>
          <w:sz w:val="24"/>
          <w:szCs w:val="24"/>
          <w:lang w:val="es-MX"/>
        </w:rPr>
      </w:pPr>
      <w:r w:rsidRPr="00A518CC">
        <w:rPr>
          <w:rFonts w:ascii="Times New Roman" w:eastAsia="Arial Unicode MS" w:hAnsi="Times New Roman"/>
          <w:sz w:val="24"/>
          <w:szCs w:val="24"/>
          <w:vertAlign w:val="superscript"/>
          <w:lang w:val="es-MX"/>
        </w:rPr>
        <w:t>2</w:t>
      </w:r>
      <w:r w:rsidRPr="00A518CC">
        <w:rPr>
          <w:rFonts w:ascii="Times New Roman" w:eastAsia="Arial Unicode MS" w:hAnsi="Times New Roman"/>
          <w:sz w:val="24"/>
          <w:szCs w:val="24"/>
          <w:lang w:val="es-MX"/>
        </w:rPr>
        <w:t xml:space="preserve">Hospital Veterinario Grandes Especies, Universidad Autónoma del Estado de México, Toluca, México. </w:t>
      </w:r>
    </w:p>
    <w:p w:rsidR="00B41C1C" w:rsidRPr="00A518CC" w:rsidRDefault="00B41C1C" w:rsidP="00B41C1C">
      <w:pPr>
        <w:shd w:val="clear" w:color="auto" w:fill="FFFFFF"/>
        <w:spacing w:line="360" w:lineRule="auto"/>
        <w:rPr>
          <w:rFonts w:ascii="Times New Roman" w:eastAsia="Arial Unicode MS" w:hAnsi="Times New Roman"/>
          <w:sz w:val="24"/>
          <w:szCs w:val="24"/>
          <w:lang w:val="es-MX"/>
        </w:rPr>
      </w:pPr>
      <w:r w:rsidRPr="00A518CC">
        <w:rPr>
          <w:rFonts w:ascii="Times New Roman" w:eastAsia="Arial Unicode MS" w:hAnsi="Times New Roman"/>
          <w:sz w:val="24"/>
          <w:szCs w:val="24"/>
          <w:vertAlign w:val="superscript"/>
          <w:lang w:val="es-MX"/>
        </w:rPr>
        <w:t>3</w:t>
      </w:r>
      <w:r w:rsidRPr="00A518CC">
        <w:rPr>
          <w:rFonts w:ascii="Times New Roman" w:eastAsia="Arial Unicode MS" w:hAnsi="Times New Roman"/>
          <w:sz w:val="24"/>
          <w:szCs w:val="24"/>
          <w:lang w:val="es-MX"/>
        </w:rPr>
        <w:t xml:space="preserve">Facultad de Medicina Veterinaria y Zootecnia, Universidad Autónoma del Estado de México, Toluca, México. </w:t>
      </w:r>
    </w:p>
    <w:p w:rsidR="00B41C1C" w:rsidRPr="00A518CC" w:rsidRDefault="00B41C1C" w:rsidP="00B41C1C">
      <w:pPr>
        <w:shd w:val="clear" w:color="auto" w:fill="FFFFFF"/>
        <w:spacing w:line="360" w:lineRule="auto"/>
        <w:rPr>
          <w:rFonts w:ascii="Times New Roman" w:eastAsia="Arial Unicode MS" w:hAnsi="Times New Roman"/>
          <w:sz w:val="24"/>
          <w:szCs w:val="24"/>
          <w:lang w:val="es-MX"/>
        </w:rPr>
      </w:pPr>
      <w:r w:rsidRPr="00A518CC">
        <w:rPr>
          <w:rFonts w:ascii="Times New Roman" w:eastAsia="Arial Unicode MS" w:hAnsi="Times New Roman"/>
          <w:sz w:val="24"/>
          <w:szCs w:val="24"/>
          <w:lang w:val="es-MX"/>
        </w:rPr>
        <w:t xml:space="preserve">*Corresponding author: El Cerrillo Piedras Blancas, Toluca, Estado de México C.P. 50090 Tel-fax 0052 (722) 2965548 ext 126 </w:t>
      </w:r>
      <w:hyperlink r:id="rId13" w:history="1">
        <w:r w:rsidRPr="00A518CC">
          <w:rPr>
            <w:rStyle w:val="Hipervnculo"/>
            <w:rFonts w:ascii="Times New Roman" w:eastAsia="Arial Unicode MS" w:hAnsi="Times New Roman"/>
            <w:color w:val="auto"/>
            <w:sz w:val="24"/>
            <w:szCs w:val="24"/>
            <w:lang w:val="es-MX"/>
          </w:rPr>
          <w:t>pedrosanchezaparicio0@gmail.com</w:t>
        </w:r>
      </w:hyperlink>
      <w:r w:rsidRPr="00A518CC">
        <w:rPr>
          <w:rFonts w:ascii="Times New Roman" w:eastAsia="Arial Unicode MS" w:hAnsi="Times New Roman"/>
          <w:sz w:val="24"/>
          <w:szCs w:val="24"/>
          <w:lang w:val="es-MX"/>
        </w:rPr>
        <w:t xml:space="preserve"> </w:t>
      </w:r>
    </w:p>
    <w:p w:rsidR="00B41C1C" w:rsidRPr="00A518CC" w:rsidRDefault="00B41C1C" w:rsidP="00B41C1C">
      <w:pPr>
        <w:autoSpaceDE w:val="0"/>
        <w:autoSpaceDN w:val="0"/>
        <w:adjustRightInd w:val="0"/>
        <w:spacing w:line="360" w:lineRule="auto"/>
        <w:rPr>
          <w:rFonts w:ascii="Times New Roman" w:hAnsi="Times New Roman"/>
          <w:sz w:val="24"/>
          <w:szCs w:val="24"/>
          <w:lang w:val="es-MX"/>
        </w:rPr>
      </w:pPr>
    </w:p>
    <w:p w:rsidR="00B41C1C" w:rsidRPr="00A518CC" w:rsidRDefault="00B41C1C" w:rsidP="00B41C1C">
      <w:pPr>
        <w:autoSpaceDE w:val="0"/>
        <w:autoSpaceDN w:val="0"/>
        <w:adjustRightInd w:val="0"/>
        <w:spacing w:line="360" w:lineRule="auto"/>
        <w:outlineLvl w:val="0"/>
        <w:rPr>
          <w:rFonts w:ascii="Times New Roman" w:hAnsi="Times New Roman"/>
          <w:b/>
          <w:sz w:val="24"/>
          <w:szCs w:val="24"/>
          <w:lang w:val="en-US"/>
        </w:rPr>
      </w:pPr>
      <w:r w:rsidRPr="00A518CC">
        <w:rPr>
          <w:rFonts w:ascii="Times New Roman" w:hAnsi="Times New Roman"/>
          <w:b/>
          <w:sz w:val="24"/>
          <w:szCs w:val="24"/>
          <w:lang w:val="en-US"/>
        </w:rPr>
        <w:t xml:space="preserve">Summary </w:t>
      </w:r>
    </w:p>
    <w:p w:rsidR="00B41C1C" w:rsidRPr="00A518CC" w:rsidRDefault="00B41C1C" w:rsidP="00B41C1C">
      <w:pPr>
        <w:autoSpaceDE w:val="0"/>
        <w:autoSpaceDN w:val="0"/>
        <w:adjustRightInd w:val="0"/>
        <w:spacing w:line="360" w:lineRule="auto"/>
        <w:rPr>
          <w:rFonts w:ascii="Times New Roman" w:hAnsi="Times New Roman"/>
          <w:sz w:val="24"/>
          <w:szCs w:val="24"/>
          <w:lang w:val="en-US"/>
        </w:rPr>
      </w:pPr>
      <w:r w:rsidRPr="00A518CC">
        <w:rPr>
          <w:rFonts w:ascii="Times New Roman" w:hAnsi="Times New Roman"/>
          <w:sz w:val="24"/>
          <w:szCs w:val="24"/>
          <w:lang w:val="en-US"/>
        </w:rPr>
        <w:t>Based on the evidence of experimental studies, the aim of this study was to systematically review the safety of the detomidine in horses, the yohimbine effect over pharmacokinetic, pharmacodynamic and behavioral parameters in horses sedated with detomidine. A search was made on Pubmed</w:t>
      </w:r>
      <w:r w:rsidRPr="00A518CC">
        <w:rPr>
          <w:rStyle w:val="Refdenotaalpie"/>
          <w:rFonts w:ascii="Times New Roman" w:hAnsi="Times New Roman"/>
          <w:sz w:val="24"/>
          <w:szCs w:val="24"/>
          <w:lang w:val="en-US"/>
        </w:rPr>
        <w:footnoteReference w:id="1"/>
      </w:r>
      <w:r w:rsidRPr="00A518CC">
        <w:rPr>
          <w:rFonts w:ascii="Times New Roman" w:hAnsi="Times New Roman"/>
          <w:sz w:val="24"/>
          <w:szCs w:val="24"/>
          <w:lang w:val="en-US"/>
        </w:rPr>
        <w:t xml:space="preserve"> and SCOPUS</w:t>
      </w:r>
      <w:r w:rsidRPr="00A518CC">
        <w:rPr>
          <w:rStyle w:val="Refdenotaalpie"/>
          <w:rFonts w:ascii="Times New Roman" w:hAnsi="Times New Roman"/>
          <w:sz w:val="24"/>
          <w:szCs w:val="24"/>
          <w:lang w:val="en-US"/>
        </w:rPr>
        <w:footnoteReference w:id="2"/>
      </w:r>
      <w:r w:rsidRPr="00A518CC">
        <w:rPr>
          <w:rFonts w:ascii="Times New Roman" w:hAnsi="Times New Roman"/>
          <w:sz w:val="24"/>
          <w:szCs w:val="24"/>
          <w:lang w:val="en-US"/>
        </w:rPr>
        <w:t xml:space="preserve"> for studies evaluating the effects of detomidine or yohimbine in horses on clinics pharmacodynamics and pharmacokinetics parameters. Experimental studies with the effect of yohimbine on the pharmacokinetics, pharmacodynamics and behavioral parameters in horses sedated with detomidine were included. Information was obtained from studies reporting treatments in horses were </w:t>
      </w:r>
      <w:r w:rsidRPr="00A518CC">
        <w:rPr>
          <w:rFonts w:ascii="Times New Roman" w:hAnsi="Times New Roman"/>
          <w:sz w:val="24"/>
          <w:szCs w:val="24"/>
          <w:lang w:val="en-US"/>
        </w:rPr>
        <w:lastRenderedPageBreak/>
        <w:t xml:space="preserve">employed detomidine or yohimbine when administered alone or their combination. Three investigations described on the pharmacokinetics or physiologic effects of the yohimbine when administered subsequent to detomidine to reverse the behavioural and physiologic effects of detomidine. The experimental studies with detomidine in horse showed that detomidine has been absorbed when administered route sublingual, but are less absorbed than when given intramuscular. In those studies, they noted important implications, both from therapeutics and regulatory prospective. They demonstrated intravenously administered detomidine is effective in sedation with effects on cardiovascular effects. </w:t>
      </w:r>
    </w:p>
    <w:p w:rsidR="00B41C1C" w:rsidRPr="00A518CC" w:rsidRDefault="00B41C1C" w:rsidP="00B41C1C">
      <w:pPr>
        <w:autoSpaceDE w:val="0"/>
        <w:autoSpaceDN w:val="0"/>
        <w:adjustRightInd w:val="0"/>
        <w:spacing w:line="360" w:lineRule="auto"/>
        <w:rPr>
          <w:rFonts w:ascii="Times New Roman" w:hAnsi="Times New Roman"/>
          <w:sz w:val="24"/>
          <w:szCs w:val="24"/>
          <w:lang w:val="en-US"/>
        </w:rPr>
      </w:pPr>
    </w:p>
    <w:p w:rsidR="00B41C1C" w:rsidRPr="00A518CC" w:rsidRDefault="00B41C1C" w:rsidP="00B41C1C">
      <w:pPr>
        <w:autoSpaceDE w:val="0"/>
        <w:autoSpaceDN w:val="0"/>
        <w:adjustRightInd w:val="0"/>
        <w:spacing w:line="360" w:lineRule="auto"/>
        <w:rPr>
          <w:rFonts w:ascii="Times New Roman" w:hAnsi="Times New Roman"/>
          <w:sz w:val="24"/>
          <w:szCs w:val="24"/>
          <w:lang w:val="en-US"/>
        </w:rPr>
      </w:pPr>
      <w:r w:rsidRPr="00A518CC">
        <w:rPr>
          <w:rFonts w:ascii="Times New Roman" w:hAnsi="Times New Roman"/>
          <w:b/>
          <w:sz w:val="24"/>
          <w:szCs w:val="24"/>
          <w:lang w:val="en-US"/>
        </w:rPr>
        <w:t>Key words</w:t>
      </w:r>
      <w:r w:rsidRPr="00A518CC">
        <w:rPr>
          <w:rFonts w:ascii="Times New Roman" w:hAnsi="Times New Roman"/>
          <w:sz w:val="24"/>
          <w:szCs w:val="24"/>
          <w:lang w:val="en-US"/>
        </w:rPr>
        <w:t>: Detomidine, yohimbine, pharmacokinetic, pharmacodynamics, behavioural changes.</w:t>
      </w:r>
    </w:p>
    <w:p w:rsidR="00B41C1C" w:rsidRPr="00A518CC" w:rsidRDefault="00B41C1C" w:rsidP="00B41C1C">
      <w:pPr>
        <w:autoSpaceDE w:val="0"/>
        <w:autoSpaceDN w:val="0"/>
        <w:adjustRightInd w:val="0"/>
        <w:spacing w:line="360" w:lineRule="auto"/>
        <w:rPr>
          <w:rFonts w:ascii="Times New Roman" w:hAnsi="Times New Roman"/>
          <w:sz w:val="24"/>
          <w:szCs w:val="24"/>
          <w:lang w:val="en-US"/>
        </w:rPr>
      </w:pPr>
    </w:p>
    <w:p w:rsidR="00B41C1C" w:rsidRPr="00A518CC" w:rsidRDefault="00B41C1C" w:rsidP="00B41C1C">
      <w:pPr>
        <w:autoSpaceDE w:val="0"/>
        <w:autoSpaceDN w:val="0"/>
        <w:adjustRightInd w:val="0"/>
        <w:spacing w:line="360" w:lineRule="auto"/>
        <w:outlineLvl w:val="0"/>
        <w:rPr>
          <w:rFonts w:ascii="Times New Roman" w:hAnsi="Times New Roman"/>
          <w:b/>
          <w:sz w:val="24"/>
          <w:szCs w:val="24"/>
          <w:lang w:val="en-US"/>
        </w:rPr>
      </w:pPr>
      <w:r w:rsidRPr="00A518CC">
        <w:rPr>
          <w:rFonts w:ascii="Times New Roman" w:hAnsi="Times New Roman"/>
          <w:b/>
          <w:sz w:val="24"/>
          <w:szCs w:val="24"/>
          <w:lang w:val="en-US"/>
        </w:rPr>
        <w:t>Introduction</w:t>
      </w:r>
    </w:p>
    <w:p w:rsidR="00B41C1C" w:rsidRPr="00A518CC" w:rsidRDefault="00B41C1C" w:rsidP="00B41C1C">
      <w:pPr>
        <w:spacing w:line="360" w:lineRule="auto"/>
        <w:rPr>
          <w:rFonts w:ascii="Times New Roman" w:hAnsi="Times New Roman"/>
          <w:sz w:val="24"/>
          <w:szCs w:val="24"/>
          <w:lang w:val="en-US"/>
        </w:rPr>
      </w:pPr>
      <w:r w:rsidRPr="00A518CC">
        <w:rPr>
          <w:rFonts w:ascii="Times New Roman" w:hAnsi="Times New Roman"/>
          <w:sz w:val="24"/>
          <w:szCs w:val="24"/>
          <w:lang w:val="en-US"/>
        </w:rPr>
        <w:t xml:space="preserve">There is </w:t>
      </w:r>
      <w:proofErr w:type="gramStart"/>
      <w:r w:rsidRPr="00A518CC">
        <w:rPr>
          <w:rFonts w:ascii="Times New Roman" w:hAnsi="Times New Roman"/>
          <w:sz w:val="24"/>
          <w:szCs w:val="24"/>
          <w:lang w:val="en-US"/>
        </w:rPr>
        <w:t>an</w:t>
      </w:r>
      <w:proofErr w:type="gramEnd"/>
      <w:r w:rsidRPr="00A518CC">
        <w:rPr>
          <w:rFonts w:ascii="Times New Roman" w:hAnsi="Times New Roman"/>
          <w:sz w:val="24"/>
          <w:szCs w:val="24"/>
          <w:lang w:val="en-US"/>
        </w:rPr>
        <w:t xml:space="preserve"> wide gruop of alpha-2 adrenergic adrenoreceptor agonists such as xylazine, detomidine (DET)</w:t>
      </w:r>
      <w:r w:rsidRPr="00A518CC">
        <w:rPr>
          <w:rStyle w:val="Refdenotaalpie"/>
          <w:rFonts w:ascii="Times New Roman" w:hAnsi="Times New Roman"/>
          <w:sz w:val="24"/>
          <w:szCs w:val="24"/>
        </w:rPr>
        <w:footnoteReference w:id="3"/>
      </w:r>
      <w:r w:rsidRPr="00A518CC">
        <w:rPr>
          <w:rFonts w:ascii="Times New Roman" w:hAnsi="Times New Roman"/>
          <w:sz w:val="24"/>
          <w:szCs w:val="24"/>
          <w:lang w:val="en-US"/>
        </w:rPr>
        <w:t>, medetomidine and romifidine. In veterinary practice, xylazine and medetomidine are the most commonly used drugs. DET is a potent agonist of both centrally and peripherally located alpha-2 receptors in many animal species</w:t>
      </w:r>
      <w:r w:rsidRPr="00A518CC">
        <w:rPr>
          <w:rFonts w:ascii="Times New Roman" w:eastAsia="Times New Roman" w:hAnsi="Times New Roman"/>
          <w:sz w:val="24"/>
          <w:szCs w:val="24"/>
          <w:lang w:val="en-US"/>
        </w:rPr>
        <w:t xml:space="preserve"> (</w:t>
      </w:r>
      <w:r w:rsidRPr="00A518CC">
        <w:rPr>
          <w:rFonts w:ascii="Times New Roman" w:hAnsi="Times New Roman"/>
          <w:sz w:val="24"/>
          <w:szCs w:val="24"/>
          <w:lang w:val="en-US"/>
        </w:rPr>
        <w:t xml:space="preserve">Jochle &amp; Hamm 1986; Salonen </w:t>
      </w:r>
      <w:r w:rsidRPr="00A518CC">
        <w:rPr>
          <w:rFonts w:ascii="Times New Roman" w:hAnsi="Times New Roman"/>
          <w:i/>
          <w:sz w:val="24"/>
          <w:szCs w:val="24"/>
          <w:lang w:val="en-US"/>
        </w:rPr>
        <w:t>et al</w:t>
      </w:r>
      <w:r w:rsidRPr="00A518CC">
        <w:rPr>
          <w:rFonts w:ascii="Times New Roman" w:hAnsi="Times New Roman"/>
          <w:sz w:val="24"/>
          <w:szCs w:val="24"/>
          <w:lang w:val="en-US"/>
        </w:rPr>
        <w:t xml:space="preserve">., 1989), is characterized by rapid distribution and metabolism to two main metabolites with subsequent elimination (Knych </w:t>
      </w:r>
      <w:r w:rsidRPr="00A518CC">
        <w:rPr>
          <w:rFonts w:ascii="Times New Roman" w:hAnsi="Times New Roman"/>
          <w:i/>
          <w:sz w:val="24"/>
          <w:szCs w:val="24"/>
          <w:lang w:val="en-US"/>
        </w:rPr>
        <w:t>et al</w:t>
      </w:r>
      <w:r w:rsidRPr="00A518CC">
        <w:rPr>
          <w:rFonts w:ascii="Times New Roman" w:hAnsi="Times New Roman"/>
          <w:sz w:val="24"/>
          <w:szCs w:val="24"/>
          <w:lang w:val="en-US"/>
        </w:rPr>
        <w:t xml:space="preserve">., 2012). It is commonly used in equine medicine for procedures requiring sedation, chemical restraint or analgesia, and it is most commonly administered parenterally (Kaukinen </w:t>
      </w:r>
      <w:r w:rsidRPr="00A518CC">
        <w:rPr>
          <w:rFonts w:ascii="Times New Roman" w:hAnsi="Times New Roman"/>
          <w:i/>
          <w:sz w:val="24"/>
          <w:szCs w:val="24"/>
          <w:lang w:val="en-US"/>
        </w:rPr>
        <w:t>et al</w:t>
      </w:r>
      <w:r w:rsidRPr="00A518CC">
        <w:rPr>
          <w:rFonts w:ascii="Times New Roman" w:hAnsi="Times New Roman"/>
          <w:sz w:val="24"/>
          <w:szCs w:val="24"/>
          <w:lang w:val="en-US"/>
        </w:rPr>
        <w:t>., 2010;</w:t>
      </w:r>
      <w:r w:rsidRPr="00A518CC">
        <w:rPr>
          <w:rFonts w:ascii="Times New Roman" w:hAnsi="Times New Roman"/>
          <w:i/>
          <w:sz w:val="24"/>
          <w:szCs w:val="24"/>
          <w:lang w:val="en-US"/>
        </w:rPr>
        <w:t xml:space="preserve"> </w:t>
      </w:r>
      <w:r w:rsidRPr="00A518CC">
        <w:rPr>
          <w:rFonts w:ascii="Times New Roman" w:hAnsi="Times New Roman"/>
          <w:sz w:val="24"/>
          <w:szCs w:val="24"/>
          <w:lang w:val="en-US"/>
        </w:rPr>
        <w:t xml:space="preserve">DiMaio and Stanley, 2011; Knych </w:t>
      </w:r>
      <w:r w:rsidRPr="00A518CC">
        <w:rPr>
          <w:rFonts w:ascii="Times New Roman" w:hAnsi="Times New Roman"/>
          <w:i/>
          <w:sz w:val="24"/>
          <w:szCs w:val="24"/>
          <w:lang w:val="en-US"/>
        </w:rPr>
        <w:t>et al</w:t>
      </w:r>
      <w:r w:rsidRPr="00A518CC">
        <w:rPr>
          <w:rFonts w:ascii="Times New Roman" w:hAnsi="Times New Roman"/>
          <w:sz w:val="24"/>
          <w:szCs w:val="24"/>
          <w:lang w:val="en-US"/>
        </w:rPr>
        <w:t xml:space="preserve">., 2012; </w:t>
      </w:r>
      <w:r w:rsidRPr="00A518CC">
        <w:rPr>
          <w:rFonts w:ascii="Times New Roman" w:hAnsi="Times New Roman"/>
          <w:i/>
          <w:sz w:val="24"/>
          <w:szCs w:val="24"/>
          <w:lang w:val="en-US"/>
        </w:rPr>
        <w:t>Knych and Stanley, 2014; Vainionpää et al., 2013</w:t>
      </w:r>
      <w:r w:rsidRPr="00A518CC">
        <w:rPr>
          <w:rFonts w:ascii="Times New Roman" w:hAnsi="Times New Roman"/>
          <w:sz w:val="24"/>
          <w:szCs w:val="24"/>
          <w:lang w:val="en-US"/>
        </w:rPr>
        <w:t>)</w:t>
      </w:r>
      <w:r w:rsidRPr="00A518CC">
        <w:rPr>
          <w:rFonts w:ascii="Times New Roman" w:eastAsia="Times New Roman" w:hAnsi="Times New Roman"/>
          <w:sz w:val="24"/>
          <w:szCs w:val="24"/>
          <w:lang w:val="en-US"/>
        </w:rPr>
        <w:t xml:space="preserve">. </w:t>
      </w:r>
      <w:r w:rsidRPr="00A518CC">
        <w:rPr>
          <w:rFonts w:ascii="Times New Roman" w:hAnsi="Times New Roman"/>
          <w:sz w:val="24"/>
          <w:szCs w:val="24"/>
          <w:lang w:val="en-US"/>
        </w:rPr>
        <w:t>The effects of DET on the pharmacokinetics and pharmacodynamics parameters in the horse following either intravenous (IV)</w:t>
      </w:r>
      <w:r w:rsidRPr="00A518CC">
        <w:rPr>
          <w:rStyle w:val="Refdenotaalpie"/>
          <w:rFonts w:ascii="Times New Roman" w:hAnsi="Times New Roman"/>
          <w:sz w:val="24"/>
          <w:szCs w:val="24"/>
          <w:lang w:val="en-US"/>
        </w:rPr>
        <w:footnoteReference w:id="4"/>
      </w:r>
      <w:r w:rsidRPr="00A518CC">
        <w:rPr>
          <w:rFonts w:ascii="Times New Roman" w:hAnsi="Times New Roman"/>
          <w:sz w:val="24"/>
          <w:szCs w:val="24"/>
          <w:lang w:val="en-US"/>
        </w:rPr>
        <w:t xml:space="preserve"> or intramuscular (IM)</w:t>
      </w:r>
      <w:r w:rsidRPr="00A518CC">
        <w:rPr>
          <w:rStyle w:val="Refdenotaalpie"/>
          <w:rFonts w:ascii="Times New Roman" w:hAnsi="Times New Roman"/>
          <w:sz w:val="24"/>
          <w:szCs w:val="24"/>
          <w:lang w:val="en-US"/>
        </w:rPr>
        <w:footnoteReference w:id="5"/>
      </w:r>
      <w:r w:rsidRPr="00A518CC">
        <w:rPr>
          <w:rFonts w:ascii="Times New Roman" w:hAnsi="Times New Roman"/>
          <w:sz w:val="24"/>
          <w:szCs w:val="24"/>
          <w:lang w:val="en-US"/>
        </w:rPr>
        <w:t xml:space="preserve"> administration have been well described (Salonen </w:t>
      </w:r>
      <w:r w:rsidRPr="00A518CC">
        <w:rPr>
          <w:rFonts w:ascii="Times New Roman" w:hAnsi="Times New Roman"/>
          <w:i/>
          <w:sz w:val="24"/>
          <w:szCs w:val="24"/>
          <w:lang w:val="en-US"/>
        </w:rPr>
        <w:t>et al.,</w:t>
      </w:r>
      <w:r w:rsidRPr="00A518CC">
        <w:rPr>
          <w:rFonts w:ascii="Times New Roman" w:hAnsi="Times New Roman"/>
          <w:sz w:val="24"/>
          <w:szCs w:val="24"/>
          <w:lang w:val="en-US"/>
        </w:rPr>
        <w:t xml:space="preserve"> 1989; Grimsrud </w:t>
      </w:r>
      <w:r w:rsidRPr="00A518CC">
        <w:rPr>
          <w:rFonts w:ascii="Times New Roman" w:hAnsi="Times New Roman"/>
          <w:i/>
          <w:sz w:val="24"/>
          <w:szCs w:val="24"/>
          <w:lang w:val="en-US"/>
        </w:rPr>
        <w:t>et al</w:t>
      </w:r>
      <w:r w:rsidRPr="00A518CC">
        <w:rPr>
          <w:rFonts w:ascii="Times New Roman" w:hAnsi="Times New Roman"/>
          <w:sz w:val="24"/>
          <w:szCs w:val="24"/>
          <w:lang w:val="en-US"/>
        </w:rPr>
        <w:t xml:space="preserve">., 2009; Hubbel </w:t>
      </w:r>
      <w:r w:rsidRPr="00A518CC">
        <w:rPr>
          <w:rFonts w:ascii="Times New Roman" w:hAnsi="Times New Roman"/>
          <w:i/>
          <w:sz w:val="24"/>
          <w:szCs w:val="24"/>
          <w:lang w:val="en-US"/>
        </w:rPr>
        <w:t>et al</w:t>
      </w:r>
      <w:r w:rsidRPr="00A518CC">
        <w:rPr>
          <w:rFonts w:ascii="Times New Roman" w:hAnsi="Times New Roman"/>
          <w:sz w:val="24"/>
          <w:szCs w:val="24"/>
          <w:lang w:val="en-US"/>
        </w:rPr>
        <w:t xml:space="preserve">., 2009; Mama </w:t>
      </w:r>
      <w:r w:rsidRPr="00A518CC">
        <w:rPr>
          <w:rFonts w:ascii="Times New Roman" w:hAnsi="Times New Roman"/>
          <w:i/>
          <w:sz w:val="24"/>
          <w:szCs w:val="24"/>
          <w:lang w:val="en-US"/>
        </w:rPr>
        <w:t>et al</w:t>
      </w:r>
      <w:r w:rsidRPr="00A518CC">
        <w:rPr>
          <w:rFonts w:ascii="Times New Roman" w:hAnsi="Times New Roman"/>
          <w:sz w:val="24"/>
          <w:szCs w:val="24"/>
          <w:lang w:val="en-US"/>
        </w:rPr>
        <w:t xml:space="preserve">., 2009; DiMaio and Stanley, 2011). </w:t>
      </w:r>
    </w:p>
    <w:p w:rsidR="00B41C1C" w:rsidRPr="00A518CC" w:rsidRDefault="00B41C1C" w:rsidP="00B41C1C">
      <w:pPr>
        <w:autoSpaceDE w:val="0"/>
        <w:autoSpaceDN w:val="0"/>
        <w:adjustRightInd w:val="0"/>
        <w:spacing w:line="360" w:lineRule="auto"/>
        <w:rPr>
          <w:rFonts w:ascii="Times New Roman" w:hAnsi="Times New Roman"/>
          <w:sz w:val="24"/>
          <w:szCs w:val="24"/>
          <w:lang w:val="en-US"/>
        </w:rPr>
      </w:pPr>
      <w:r w:rsidRPr="00A518CC">
        <w:rPr>
          <w:rFonts w:ascii="Times New Roman" w:hAnsi="Times New Roman"/>
          <w:sz w:val="24"/>
          <w:szCs w:val="24"/>
          <w:lang w:val="en-US"/>
        </w:rPr>
        <w:t xml:space="preserve">Alpha-2 adrenergic antagonists are often used to reverse the sedative, cardiovascular depressant (Knych </w:t>
      </w:r>
      <w:r w:rsidRPr="00A518CC">
        <w:rPr>
          <w:rFonts w:ascii="Times New Roman" w:hAnsi="Times New Roman"/>
          <w:i/>
          <w:sz w:val="24"/>
          <w:szCs w:val="24"/>
          <w:lang w:val="en-US"/>
        </w:rPr>
        <w:t>et al</w:t>
      </w:r>
      <w:r w:rsidRPr="00A518CC">
        <w:rPr>
          <w:rFonts w:ascii="Times New Roman" w:hAnsi="Times New Roman"/>
          <w:sz w:val="24"/>
          <w:szCs w:val="24"/>
          <w:lang w:val="en-US"/>
        </w:rPr>
        <w:t xml:space="preserve">., 2012) and central nervous system (CNS) effects of alpha-2 adrenergic receptor agonists following IV or IM administration. The three antagonist most </w:t>
      </w:r>
      <w:r w:rsidRPr="00A518CC">
        <w:rPr>
          <w:rFonts w:ascii="Times New Roman" w:hAnsi="Times New Roman"/>
          <w:sz w:val="24"/>
          <w:szCs w:val="24"/>
          <w:lang w:val="en-US"/>
        </w:rPr>
        <w:lastRenderedPageBreak/>
        <w:t>commonly used in veterinary medicine are yohimbina (YOH)</w:t>
      </w:r>
      <w:r w:rsidRPr="00A518CC">
        <w:rPr>
          <w:rStyle w:val="Refdenotaalpie"/>
          <w:rFonts w:ascii="Times New Roman" w:hAnsi="Times New Roman"/>
          <w:sz w:val="24"/>
          <w:szCs w:val="24"/>
          <w:lang w:val="en-US"/>
        </w:rPr>
        <w:footnoteReference w:id="6"/>
      </w:r>
      <w:r w:rsidRPr="00A518CC">
        <w:rPr>
          <w:rFonts w:ascii="Times New Roman" w:hAnsi="Times New Roman"/>
          <w:sz w:val="24"/>
          <w:szCs w:val="24"/>
          <w:lang w:val="en-US"/>
        </w:rPr>
        <w:t>, atipamezole and tolazoline. In equine medicine, the only FDA</w:t>
      </w:r>
      <w:r w:rsidRPr="00A518CC">
        <w:rPr>
          <w:rStyle w:val="Refdenotaalpie"/>
          <w:rFonts w:ascii="Times New Roman" w:hAnsi="Times New Roman"/>
          <w:sz w:val="24"/>
          <w:szCs w:val="24"/>
          <w:lang w:val="en-US"/>
        </w:rPr>
        <w:footnoteReference w:id="7"/>
      </w:r>
      <w:r w:rsidRPr="00A518CC">
        <w:rPr>
          <w:rFonts w:ascii="Times New Roman" w:hAnsi="Times New Roman"/>
          <w:sz w:val="24"/>
          <w:szCs w:val="24"/>
          <w:lang w:val="en-US"/>
        </w:rPr>
        <w:t xml:space="preserve"> approved alpha-2 adrenergic antagonist is tolazoline </w:t>
      </w:r>
      <w:r w:rsidR="00A2062B" w:rsidRPr="00A518CC">
        <w:rPr>
          <w:rFonts w:ascii="Times New Roman" w:hAnsi="Times New Roman"/>
          <w:sz w:val="24"/>
          <w:szCs w:val="24"/>
          <w:lang w:val="en-US"/>
        </w:rPr>
        <w:fldChar w:fldCharType="begin" w:fldLock="1"/>
      </w:r>
      <w:r w:rsidRPr="00A518CC">
        <w:rPr>
          <w:rFonts w:ascii="Times New Roman" w:hAnsi="Times New Roman"/>
          <w:sz w:val="24"/>
          <w:szCs w:val="24"/>
          <w:lang w:val="en-US"/>
        </w:rPr>
        <w:instrText>ADDIN CSL_CITATION { "citationItems" : [ { "id" : "ITEM-1", "itemData" : { "DOI" : "10.1111/vaa.12081", "ISSN" : "14672987", "PMID" : "24134603", "abstract" : "OBJECTIVE: To describe the effects of alpha2 -adrenergic receptor antagonists on the pharmacodynamics of sublingual (SL) detomidine in the horse.\\n\\nSTUDY DESIGN: Randomized crossover design.\\n\\nANIMALS: Nine healthy adult horses with an average age of 7.6\u00a0\u00b1\u00a06.5\u00a0years.\\n\\nMETHODS: Four treatment groups were studied: 1) 0.04\u00a0mg\u00a0kg(-1) detomidine SL; 2) 0.04\u00a0mg\u00a0kg(-1) detomidine SL followed 1\u00a0hour later by 0.075\u00a0mg\u00a0kg(-1) yohimbine intravenously (IV); 3) 0.04\u00a0mg\u00a0kg(-1) detomidine SL followed 1\u00a0hour later by 4\u00a0mg\u00a0kg(-1) tolazoline IV; and 4) 0.04\u00a0mg\u00a0kg(-1) detomidine SL followed 1\u00a0hour later by 0.12\u00a0mg\u00a0kg(-1) atipamezole IV. Each horse received all treatments with a minimum of 1\u00a0week between treatments. Blood samples were obtained and plasma analyzed for yohimbine, atipamezole and tolazoline concentrations by liquid chromatography-mass spectrometry. Behavioral effects, heart rate and rhythm, glucose, packed cell volume (PCV) and plasma proteins were monitored.\\n\\nRESULTS: Chin-to-ground distance increased following administration of the antagonists, however, this effect was transient, with a return to pre-reversal values as early as 1\u00a0hour. Detomidine induced bradycardia and increased incidence of atrioventricular blocks were either transiently or incompletely antagonized by all antagonists. PCV and glucose concentrations increased with tolazoline administration, and atipamezole subjectively increased urination frequency but not volume.\\n\\nCONCLUSIONS AND CLINICAL RELEVANCE: At the doses administered in this study, the alpha2 -adrenergic antagonistic effects of tolazoline, yohimbine and atipamezole on cardiac and behavioral effects elicited by SL administration of detomidine are transient and incomplete.", "author" : [ { "dropping-particle" : "", "family" : "Knych", "given" : "Heather K.", "non-dropping-particle" : "", "parse-names" : false, "suffix" : "" }, { "dropping-particle" : "", "family" : "Stanley", "given" : "Scott D.", "non-dropping-particle" : "", "parse-names" : false, "suffix" : "" } ], "container-title" : "Veterinary Anaesthesia and Analgesia", "id" : "ITEM-1", "issue" : "1", "issued" : { "date-parts" : [ [ "2014" ] ] }, "page" : "36-47", "title" : "Effects of three antagonists on selected pharmacodynamic effects of sublingually administered detomidine in the horse", "type" : "article-journal", "volume" : "41" }, "uris" : [ "http://www.mendeley.com/documents/?uuid=b48e1ff8-e8d2-4ada-aeda-a9bd2c7cad80" ] } ], "mendeley" : { "formattedCitation" : "(Knych and Stanley 2014)", "plainTextFormattedCitation" : "(Knych and Stanley 2014)", "previouslyFormattedCitation" : "(Knych and Stanley 2014)" }, "properties" : { "noteIndex" : 0 }, "schema" : "https://github.com/citation-style-language/schema/raw/master/csl-citation.json" }</w:instrText>
      </w:r>
      <w:r w:rsidR="00A2062B" w:rsidRPr="00A518CC">
        <w:rPr>
          <w:rFonts w:ascii="Times New Roman" w:hAnsi="Times New Roman"/>
          <w:sz w:val="24"/>
          <w:szCs w:val="24"/>
          <w:lang w:val="en-US"/>
        </w:rPr>
        <w:fldChar w:fldCharType="separate"/>
      </w:r>
      <w:r w:rsidRPr="00A518CC">
        <w:rPr>
          <w:rFonts w:ascii="Times New Roman" w:hAnsi="Times New Roman"/>
          <w:noProof/>
          <w:sz w:val="24"/>
          <w:szCs w:val="24"/>
          <w:lang w:val="en-US"/>
        </w:rPr>
        <w:t>(Knych &amp; Stanley 2014)</w:t>
      </w:r>
      <w:r w:rsidR="00A2062B" w:rsidRPr="00A518CC">
        <w:rPr>
          <w:rFonts w:ascii="Times New Roman" w:hAnsi="Times New Roman"/>
          <w:sz w:val="24"/>
          <w:szCs w:val="24"/>
          <w:lang w:val="en-US"/>
        </w:rPr>
        <w:fldChar w:fldCharType="end"/>
      </w:r>
      <w:r w:rsidRPr="00A518CC">
        <w:rPr>
          <w:rFonts w:ascii="Times New Roman" w:hAnsi="Times New Roman"/>
          <w:sz w:val="24"/>
          <w:szCs w:val="24"/>
          <w:lang w:val="en-US"/>
        </w:rPr>
        <w:t xml:space="preserve">. YOH is an indole alkaloid derived from several biological or botanical sources, including the bark of the </w:t>
      </w:r>
      <w:r w:rsidRPr="00A518CC">
        <w:rPr>
          <w:rFonts w:ascii="Times New Roman" w:hAnsi="Times New Roman"/>
          <w:i/>
          <w:sz w:val="24"/>
          <w:szCs w:val="24"/>
          <w:lang w:val="en-US"/>
        </w:rPr>
        <w:t>Pausinystalia yohimbine</w:t>
      </w:r>
      <w:r w:rsidRPr="00A518CC">
        <w:rPr>
          <w:rFonts w:ascii="Times New Roman" w:hAnsi="Times New Roman"/>
          <w:sz w:val="24"/>
          <w:szCs w:val="24"/>
          <w:lang w:val="en-US"/>
        </w:rPr>
        <w:t xml:space="preserve"> tree and the Rauwolfia root </w:t>
      </w:r>
      <w:r w:rsidR="00A2062B" w:rsidRPr="00A518CC">
        <w:rPr>
          <w:rFonts w:ascii="Times New Roman" w:hAnsi="Times New Roman"/>
          <w:sz w:val="24"/>
          <w:szCs w:val="24"/>
          <w:lang w:val="en-US"/>
        </w:rPr>
        <w:fldChar w:fldCharType="begin" w:fldLock="1"/>
      </w:r>
      <w:r w:rsidRPr="00A518CC">
        <w:rPr>
          <w:rFonts w:ascii="Times New Roman" w:hAnsi="Times New Roman"/>
          <w:sz w:val="24"/>
          <w:szCs w:val="24"/>
          <w:lang w:val="en-US"/>
        </w:rPr>
        <w:instrText>ADDIN CSL_CITATION { "citationItems" : [ { "id" : "ITEM-1", "itemData" : { "DOI" : "10.1111/j.1365-2885.2010.01194.x", "ISSN" : "01407783", "PMID" : "21219345", "abstract" : "Yohimbine is an alpha 2 adrenergic receptor antagonist used most commonly in veterinary medicine to reverse the effects of the alpha 2 receptor agonists, xylazine and detomidine. Most notably, yohimbine has been shown to counteract the CNS depressant effects of alpha 2 receptor agonists in a number of species. The recent identification of a yohimbine positive urine sample collected from a horse racing in California has led to the investigation of the pharmacokinetics of this compound. Eight healthy adult horses received a single intravenous dose of 0.12\u2003mg/kg yohimbine. Blood samples were collected at time 0 (prior to drug administration) and at various times up to 72\u2003h post drug administration. Plasma samples were analyzed using liquid chromatography-mass spectrometry (LC-MS) and data analyzed using both noncompartmental and compartmental analysis. Peak plasma concentration was 114.5\u2003+\u200331.8\u2003ng/mL and occurred at 0.09\u2003+\u20030.03\u2003h. Mean\u2003\u00b1\u2003SD systemic clearance (Cls) and steady-state volume of distribution (Vdss) were 13.5\u2003+\u20032.1\u2003mL/min/kg and 3.3\u2003+\u20031.3\u2003L/kg following noncompartmental analysis. For compartmental analysis, plasma yohimbine vs. time data were best fitted to a two compartment model. Mean\u2003\u00b1\u2003SD Cls and Vdss of yohimbine were 13.6\u2003\u00b1\u20032.0\u2003mL/min/kg and 3.2\u2003\u00b1\u20031.1\u2003L/kg, respectively. Mean\u2003\u00b1\u2003SD terminal elimination half-life was 4.4\u2003\u00b1\u20030.9\u2003h following noncompartmental analysis. Immediately following administration, two horses showed signs of sedation, while the other six appeared behaviorally unaffected. Gastrointestinal sounds were moderately increased compared to baseline while fecal consistency appeared normal.", "author" : [ { "dropping-particle" : "", "family" : "Dimaio Knych", "given" : "H. K.", "non-dropping-particle" : "", "parse-names" : false, "suffix" : "" }, { "dropping-particle" : "", "family" : "Steffey", "given" : "E. P.", "non-dropping-particle" : "", "parse-names" : false, "suffix" : "" }, { "dropping-particle" : "", "family" : "Deuel", "given" : "J. L.", "non-dropping-particle" : "", "parse-names" : false, "suffix" : "" }, { "dropping-particle" : "", "family" : "Shepard", "given" : "R. a.", "non-dropping-particle" : "", "parse-names" : false, "suffix" : "" }, { "dropping-particle" : "", "family" : "Stanley", "given" : "S. D.", "non-dropping-particle" : "", "parse-names" : false, "suffix" : "" } ], "container-title" : "Journal of Veterinary Pharmacology and Therapeutics", "id" : "ITEM-1", "issue" : "1", "issued" : { "date-parts" : [ [ "2011" ] ] }, "page" : "58-63", "title" : "Pharmacokinetics of yohimbine following intravenous administration to horses", "type" : "article-journal", "volume" : "34" }, "uris" : [ "http://www.mendeley.com/documents/?uuid=70cf13dc-bfaa-4fb4-a3a1-bfb670f17d8a" ] }, { "id" : "ITEM-2", "itemData" : { "DOI" : "10.1111/j.1365-2885.2010.01234.x", "ISSN" : "01407783", "PMID" : "20950351", "abstract" : "Yohimbine is an alpha 2 adrenergic receptor antagonist, which has been shown to counteract the CNS depressant effects of alpha 2 receptor agonists in a number of species. Recently, our laboratory identified yohimbine in the absence of detectable concentrations of an alpha 2 agonist in a regulatory sample collected from a horse racing in California. This coupled with anecdotal reports of CNS stimulation and documented reports of cardiovascular changes when administered in conjunction with an agonist led us to investigate the pharmacokinetics and pharmacodynamics of yohimbine when administered alone. Nine healthy adult horses received a single intravenous dose of 0.1, 0.2, and 0.4 mg/kg yohimbine. Blood samples were collected at time 0 (prior to drug administration) and at various times up to 24 h postdrug administration. Plasma samples were analyzed using liquid chromatography-mass spectrometry (LC-MS), and resulting data analyzed using both noncompartmental and compartmental analysis. Peak plasma concentrations were 106.0 \u00b1 28.9, 156.7 \u00b1 34.3, and 223.0 \u00b1 44.5 ng/mL for doses of 0.1, 0.2, and 0.4 mg/kg, respectively. Immediately following administration, two horses showed signs of sedation, one horse appeared excited, while the other six appeared behaviorally unaffected. Episodes of tachycardia were noted within minutes of administration for all horses at all doses; however, there was no correlation between behavioral responses and episodes of increased heart rate. Sixty-three percent of the horses (8, 6, and 4 of the 9 horses in the 0.1, 0.2, and 0.4 mg/kg dose groups, respectively) exhibited second-degree atrial-ventricular conduction blocks and bradycardia prior to drug administration that transiently improved or disappeared upon administration of yohimbine. Gastrointestinal sounds were transiently increased following all doses.", "author" : [ { "dropping-particle" : "", "family" : "Dimaio Knych", "given" : "H. K.", "non-dropping-particle" : "", "parse-names" : false, "suffix" : "" }, { "dropping-particle" : "", "family" : "Steffey", "given" : "E. P.", "non-dropping-particle" : "", "parse-names" : false, "suffix" : "" }, { "dropping-particle" : "", "family" : "Stanley", "given" : "S. D.", "non-dropping-particle" : "", "parse-names" : false, "suffix" : "" } ], "container-title" : "Journal of Veterinary Pharmacology and Therapeutics", "id" : "ITEM-2", "issue" : "4", "issued" : { "date-parts" : [ [ "2011" ] ] }, "page" : "359-366", "title" : "Pharmacokinetics and pharmacodynamics of three intravenous doses of yohimbine in the horse", "type" : "article-journal", "volume" : "34" }, "uris" : [ "http://www.mendeley.com/documents/?uuid=dde61d5f-908a-49f1-a98a-81342021b804" ] } ], "mendeley" : { "formattedCitation" : "(H. K. Dimaio Knych et al. 2011; H. K. Dimaio Knych, Steffey, and Stanley 2011)", "plainTextFormattedCitation" : "(H. K. Dimaio Knych et al. 2011; H. K. Dimaio Knych, Steffey, and Stanley 2011)", "previouslyFormattedCitation" : "(H. K. Dimaio Knych et al. 2011; H. K. Dimaio Knych, Steffey, and Stanley 2011)" }, "properties" : { "noteIndex" : 0 }, "schema" : "https://github.com/citation-style-language/schema/raw/master/csl-citation.json" }</w:instrText>
      </w:r>
      <w:r w:rsidR="00A2062B" w:rsidRPr="00A518CC">
        <w:rPr>
          <w:rFonts w:ascii="Times New Roman" w:hAnsi="Times New Roman"/>
          <w:sz w:val="24"/>
          <w:szCs w:val="24"/>
          <w:lang w:val="en-US"/>
        </w:rPr>
        <w:fldChar w:fldCharType="separate"/>
      </w:r>
      <w:r w:rsidRPr="00A518CC">
        <w:rPr>
          <w:rFonts w:ascii="Times New Roman" w:hAnsi="Times New Roman"/>
          <w:noProof/>
          <w:sz w:val="24"/>
          <w:szCs w:val="24"/>
          <w:lang w:val="en-US"/>
        </w:rPr>
        <w:t xml:space="preserve">(Dimaio Knych </w:t>
      </w:r>
      <w:r w:rsidRPr="00A518CC">
        <w:rPr>
          <w:rFonts w:ascii="Times New Roman" w:hAnsi="Times New Roman"/>
          <w:i/>
          <w:noProof/>
          <w:sz w:val="24"/>
          <w:szCs w:val="24"/>
          <w:lang w:val="en-US"/>
        </w:rPr>
        <w:t>et al</w:t>
      </w:r>
      <w:r w:rsidRPr="00A518CC">
        <w:rPr>
          <w:rFonts w:ascii="Times New Roman" w:hAnsi="Times New Roman"/>
          <w:noProof/>
          <w:sz w:val="24"/>
          <w:szCs w:val="24"/>
          <w:lang w:val="en-US"/>
        </w:rPr>
        <w:t>., 2011; Dimaio Knych and Stanley, 2011)</w:t>
      </w:r>
      <w:r w:rsidR="00A2062B" w:rsidRPr="00A518CC">
        <w:rPr>
          <w:rFonts w:ascii="Times New Roman" w:hAnsi="Times New Roman"/>
          <w:sz w:val="24"/>
          <w:szCs w:val="24"/>
          <w:lang w:val="en-US"/>
        </w:rPr>
        <w:fldChar w:fldCharType="end"/>
      </w:r>
      <w:r w:rsidRPr="00A518CC">
        <w:rPr>
          <w:rFonts w:ascii="Times New Roman" w:hAnsi="Times New Roman"/>
          <w:sz w:val="24"/>
          <w:szCs w:val="24"/>
          <w:lang w:val="en-US"/>
        </w:rPr>
        <w:t xml:space="preserve">. YOH enhances sympathetic outflow via the neurotransmitter, norepinephrine. It is a potent antagonist of centrally and peripherally located alpha-2 receptors in humans and many animal species (Kollias-Baker </w:t>
      </w:r>
      <w:r w:rsidRPr="00A518CC">
        <w:rPr>
          <w:rFonts w:ascii="Times New Roman" w:hAnsi="Times New Roman"/>
          <w:i/>
          <w:sz w:val="24"/>
          <w:szCs w:val="24"/>
          <w:lang w:val="en-US"/>
        </w:rPr>
        <w:t>et al</w:t>
      </w:r>
      <w:r w:rsidRPr="00A518CC">
        <w:rPr>
          <w:rFonts w:ascii="Times New Roman" w:hAnsi="Times New Roman"/>
          <w:sz w:val="24"/>
          <w:szCs w:val="24"/>
          <w:lang w:val="en-US"/>
        </w:rPr>
        <w:t xml:space="preserve">., 1993; Ramseyer </w:t>
      </w:r>
      <w:r w:rsidRPr="00A518CC">
        <w:rPr>
          <w:rFonts w:ascii="Times New Roman" w:hAnsi="Times New Roman"/>
          <w:i/>
          <w:sz w:val="24"/>
          <w:szCs w:val="24"/>
          <w:lang w:val="en-US"/>
        </w:rPr>
        <w:t>et al</w:t>
      </w:r>
      <w:r w:rsidRPr="00A518CC">
        <w:rPr>
          <w:rFonts w:ascii="Times New Roman" w:hAnsi="Times New Roman"/>
          <w:sz w:val="24"/>
          <w:szCs w:val="24"/>
          <w:lang w:val="en-US"/>
        </w:rPr>
        <w:t xml:space="preserve">., 1998; Hubell &amp; Muir 2006). In veterinary medicine YOH is almost exclusively used to reverse the sedative or cardiovascular effects of the alpha-2 receptor agonists, especially DET </w:t>
      </w:r>
      <w:r w:rsidR="00A2062B" w:rsidRPr="00A518CC">
        <w:rPr>
          <w:rFonts w:ascii="Times New Roman" w:hAnsi="Times New Roman"/>
          <w:sz w:val="24"/>
          <w:szCs w:val="24"/>
          <w:lang w:val="en-US"/>
        </w:rPr>
        <w:fldChar w:fldCharType="begin" w:fldLock="1"/>
      </w:r>
      <w:r w:rsidRPr="00A518CC">
        <w:rPr>
          <w:rFonts w:ascii="Times New Roman" w:hAnsi="Times New Roman"/>
          <w:sz w:val="24"/>
          <w:szCs w:val="24"/>
          <w:lang w:val="en-US"/>
        </w:rPr>
        <w:instrText>ADDIN CSL_CITATION { "citationItems" : [ { "id" : "ITEM-1", "itemData" : { "DOI" : "10.1111/j.1365-2885.2010.01194.x", "ISSN" : "01407783", "PMID" : "21219345", "abstract" : "Yohimbine is an alpha 2 adrenergic receptor antagonist used most commonly in veterinary medicine to reverse the effects of the alpha 2 receptor agonists, xylazine and detomidine. Most notably, yohimbine has been shown to counteract the CNS depressant effects of alpha 2 receptor agonists in a number of species. The recent identification of a yohimbine positive urine sample collected from a horse racing in California has led to the investigation of the pharmacokinetics of this compound. Eight healthy adult horses received a single intravenous dose of 0.12\u2003mg/kg yohimbine. Blood samples were collected at time 0 (prior to drug administration) and at various times up to 72\u2003h post drug administration. Plasma samples were analyzed using liquid chromatography-mass spectrometry (LC-MS) and data analyzed using both noncompartmental and compartmental analysis. Peak plasma concentration was 114.5\u2003+\u200331.8\u2003ng/mL and occurred at 0.09\u2003+\u20030.03\u2003h. Mean\u2003\u00b1\u2003SD systemic clearance (Cls) and steady-state volume of distribution (Vdss) were 13.5\u2003+\u20032.1\u2003mL/min/kg and 3.3\u2003+\u20031.3\u2003L/kg following noncompartmental analysis. For compartmental analysis, plasma yohimbine vs. time data were best fitted to a two compartment model. Mean\u2003\u00b1\u2003SD Cls and Vdss of yohimbine were 13.6\u2003\u00b1\u20032.0\u2003mL/min/kg and 3.2\u2003\u00b1\u20031.1\u2003L/kg, respectively. Mean\u2003\u00b1\u2003SD terminal elimination half-life was 4.4\u2003\u00b1\u20030.9\u2003h following noncompartmental analysis. Immediately following administration, two horses showed signs of sedation, while the other six appeared behaviorally unaffected. Gastrointestinal sounds were moderately increased compared to baseline while fecal consistency appeared normal.", "author" : [ { "dropping-particle" : "", "family" : "Dimaio Knych", "given" : "H. K.", "non-dropping-particle" : "", "parse-names" : false, "suffix" : "" }, { "dropping-particle" : "", "family" : "Steffey", "given" : "E. P.", "non-dropping-particle" : "", "parse-names" : false, "suffix" : "" }, { "dropping-particle" : "", "family" : "Deuel", "given" : "J. L.", "non-dropping-particle" : "", "parse-names" : false, "suffix" : "" }, { "dropping-particle" : "", "family" : "Shepard", "given" : "R. a.", "non-dropping-particle" : "", "parse-names" : false, "suffix" : "" }, { "dropping-particle" : "", "family" : "Stanley", "given" : "S. D.", "non-dropping-particle" : "", "parse-names" : false, "suffix" : "" } ], "container-title" : "Journal of Veterinary Pharmacology and Therapeutics", "id" : "ITEM-1", "issue" : "1", "issued" : { "date-parts" : [ [ "2011" ] ] }, "page" : "58-63", "title" : "Pharmacokinetics of yohimbine following intravenous administration to horses", "type" : "article-journal", "volume" : "34" }, "uris" : [ "http://www.mendeley.com/documents/?uuid=70cf13dc-bfaa-4fb4-a3a1-bfb670f17d8a" ] } ], "mendeley" : { "formattedCitation" : "(H. K. Dimaio Knych et al. 2011)", "plainTextFormattedCitation" : "(H. K. Dimaio Knych et al. 2011)", "previouslyFormattedCitation" : "(H. K. Dimaio Knych et al. 2011)" }, "properties" : { "noteIndex" : 0 }, "schema" : "https://github.com/citation-style-language/schema/raw/master/csl-citation.json" }</w:instrText>
      </w:r>
      <w:r w:rsidR="00A2062B" w:rsidRPr="00A518CC">
        <w:rPr>
          <w:rFonts w:ascii="Times New Roman" w:hAnsi="Times New Roman"/>
          <w:sz w:val="24"/>
          <w:szCs w:val="24"/>
          <w:lang w:val="en-US"/>
        </w:rPr>
        <w:fldChar w:fldCharType="separate"/>
      </w:r>
      <w:r w:rsidRPr="00A518CC">
        <w:rPr>
          <w:rFonts w:ascii="Times New Roman" w:hAnsi="Times New Roman"/>
          <w:noProof/>
          <w:sz w:val="24"/>
          <w:szCs w:val="24"/>
          <w:lang w:val="en-US"/>
        </w:rPr>
        <w:t xml:space="preserve">(Dimaio Knych </w:t>
      </w:r>
      <w:r w:rsidRPr="00A518CC">
        <w:rPr>
          <w:rFonts w:ascii="Times New Roman" w:hAnsi="Times New Roman"/>
          <w:i/>
          <w:noProof/>
          <w:sz w:val="24"/>
          <w:szCs w:val="24"/>
          <w:lang w:val="en-US"/>
        </w:rPr>
        <w:t>et al</w:t>
      </w:r>
      <w:r w:rsidRPr="00A518CC">
        <w:rPr>
          <w:rFonts w:ascii="Times New Roman" w:hAnsi="Times New Roman"/>
          <w:noProof/>
          <w:sz w:val="24"/>
          <w:szCs w:val="24"/>
          <w:lang w:val="en-US"/>
        </w:rPr>
        <w:t>., 2011)</w:t>
      </w:r>
      <w:r w:rsidR="00A2062B" w:rsidRPr="00A518CC">
        <w:rPr>
          <w:rFonts w:ascii="Times New Roman" w:hAnsi="Times New Roman"/>
          <w:sz w:val="24"/>
          <w:szCs w:val="24"/>
          <w:lang w:val="en-US"/>
        </w:rPr>
        <w:fldChar w:fldCharType="end"/>
      </w:r>
      <w:r w:rsidRPr="00A518CC">
        <w:rPr>
          <w:rFonts w:ascii="Times New Roman" w:hAnsi="Times New Roman"/>
          <w:sz w:val="24"/>
          <w:szCs w:val="24"/>
          <w:lang w:val="en-US"/>
        </w:rPr>
        <w:t>. In horses, YOH has been shown to antagonize the ventricular bradycardia and atrio-ventricular (AV)</w:t>
      </w:r>
      <w:r w:rsidRPr="00A518CC">
        <w:rPr>
          <w:rStyle w:val="Refdenotaalpie"/>
          <w:rFonts w:ascii="Times New Roman" w:hAnsi="Times New Roman"/>
          <w:sz w:val="24"/>
          <w:szCs w:val="24"/>
          <w:lang w:val="en-US"/>
        </w:rPr>
        <w:footnoteReference w:id="8"/>
      </w:r>
      <w:r w:rsidRPr="00A518CC">
        <w:rPr>
          <w:rFonts w:ascii="Times New Roman" w:hAnsi="Times New Roman"/>
          <w:sz w:val="24"/>
          <w:szCs w:val="24"/>
          <w:lang w:val="en-US"/>
        </w:rPr>
        <w:t xml:space="preserve"> conduction disturbances observed following administration of DET (Knych </w:t>
      </w:r>
      <w:r w:rsidRPr="00A518CC">
        <w:rPr>
          <w:rFonts w:ascii="Times New Roman" w:hAnsi="Times New Roman"/>
          <w:i/>
          <w:sz w:val="24"/>
          <w:szCs w:val="24"/>
          <w:lang w:val="en-US"/>
        </w:rPr>
        <w:t>et al.,</w:t>
      </w:r>
      <w:r w:rsidRPr="00A518CC">
        <w:rPr>
          <w:rFonts w:ascii="Times New Roman" w:hAnsi="Times New Roman"/>
          <w:sz w:val="24"/>
          <w:szCs w:val="24"/>
          <w:lang w:val="en-US"/>
        </w:rPr>
        <w:t xml:space="preserve"> 2012). YOH appears to be widely distributed as evidenced by a large volume of distribution and rapidly cleared following IV administration to the horse (DiMaio Knych </w:t>
      </w:r>
      <w:r w:rsidRPr="00A518CC">
        <w:rPr>
          <w:rFonts w:ascii="Times New Roman" w:hAnsi="Times New Roman"/>
          <w:i/>
          <w:sz w:val="24"/>
          <w:szCs w:val="24"/>
          <w:lang w:val="en-US"/>
        </w:rPr>
        <w:t>et al.,</w:t>
      </w:r>
      <w:r w:rsidRPr="00A518CC">
        <w:rPr>
          <w:rFonts w:ascii="Times New Roman" w:hAnsi="Times New Roman"/>
          <w:sz w:val="24"/>
          <w:szCs w:val="24"/>
          <w:lang w:val="en-US"/>
        </w:rPr>
        <w:t xml:space="preserve"> 2011). In the human YOH, is rapidly metabolized by the cytochrome P450 enzymes to two hydroxyl-yohimbine metabolites (LeCorre</w:t>
      </w:r>
      <w:r w:rsidRPr="00A518CC">
        <w:rPr>
          <w:rFonts w:ascii="Times New Roman" w:hAnsi="Times New Roman"/>
          <w:i/>
          <w:sz w:val="24"/>
          <w:szCs w:val="24"/>
          <w:lang w:val="en-US"/>
        </w:rPr>
        <w:t xml:space="preserve"> et al., </w:t>
      </w:r>
      <w:r w:rsidRPr="00A518CC">
        <w:rPr>
          <w:rFonts w:ascii="Times New Roman" w:hAnsi="Times New Roman"/>
          <w:sz w:val="24"/>
          <w:szCs w:val="24"/>
          <w:lang w:val="en-US"/>
        </w:rPr>
        <w:t xml:space="preserve">1999). To our knowledge there are no reports in the literature regarding YOH metabolites in the horse (Dimaio Knych </w:t>
      </w:r>
      <w:r w:rsidRPr="00A518CC">
        <w:rPr>
          <w:rFonts w:ascii="Times New Roman" w:hAnsi="Times New Roman"/>
          <w:i/>
          <w:sz w:val="24"/>
          <w:szCs w:val="24"/>
          <w:lang w:val="en-US"/>
        </w:rPr>
        <w:t>et al</w:t>
      </w:r>
      <w:r w:rsidRPr="00A518CC">
        <w:rPr>
          <w:rFonts w:ascii="Times New Roman" w:hAnsi="Times New Roman"/>
          <w:sz w:val="24"/>
          <w:szCs w:val="24"/>
          <w:lang w:val="en-US"/>
        </w:rPr>
        <w:t xml:space="preserve">., 2011). Hydroxylation is the major pathway for elimination of YOH in the horse. However, while hydroxylation of YOH in humans has been attributed to CYP450 enzymes, namely CYP3A4 and CYP2D6, the identity of the enzymes responsible for metabolism of YOH in the horse have yet to be elucidated (Knych </w:t>
      </w:r>
      <w:r w:rsidRPr="00A518CC">
        <w:rPr>
          <w:rFonts w:ascii="Times New Roman" w:hAnsi="Times New Roman"/>
          <w:i/>
          <w:sz w:val="24"/>
          <w:szCs w:val="24"/>
          <w:lang w:val="en-US"/>
        </w:rPr>
        <w:t>et al.</w:t>
      </w:r>
      <w:r w:rsidRPr="00A518CC">
        <w:rPr>
          <w:rFonts w:ascii="Times New Roman" w:hAnsi="Times New Roman"/>
          <w:sz w:val="24"/>
          <w:szCs w:val="24"/>
          <w:lang w:val="en-US"/>
        </w:rPr>
        <w:t xml:space="preserve">, 2012). Based on the evidence of experimental studies on its efficacy, the aim of this study was to systematically review the safety of the drug in horses, the YOH effect over pharmacokinetic, pharmacodynamic and behavioral parameters in horses sedated with DET. </w:t>
      </w:r>
    </w:p>
    <w:p w:rsidR="00B41C1C" w:rsidRPr="00A518CC" w:rsidRDefault="00B41C1C" w:rsidP="00B41C1C">
      <w:pPr>
        <w:autoSpaceDE w:val="0"/>
        <w:autoSpaceDN w:val="0"/>
        <w:adjustRightInd w:val="0"/>
        <w:spacing w:line="360" w:lineRule="auto"/>
        <w:rPr>
          <w:rFonts w:ascii="Times New Roman" w:hAnsi="Times New Roman"/>
          <w:sz w:val="24"/>
          <w:szCs w:val="24"/>
          <w:lang w:val="en-US"/>
        </w:rPr>
      </w:pPr>
    </w:p>
    <w:p w:rsidR="00B41C1C" w:rsidRPr="00A518CC" w:rsidRDefault="00B41C1C" w:rsidP="00B41C1C">
      <w:pPr>
        <w:autoSpaceDE w:val="0"/>
        <w:autoSpaceDN w:val="0"/>
        <w:adjustRightInd w:val="0"/>
        <w:spacing w:line="360" w:lineRule="auto"/>
        <w:outlineLvl w:val="0"/>
        <w:rPr>
          <w:rFonts w:ascii="Times New Roman" w:hAnsi="Times New Roman"/>
          <w:b/>
          <w:sz w:val="24"/>
          <w:szCs w:val="24"/>
          <w:lang w:val="en-US"/>
        </w:rPr>
      </w:pPr>
      <w:r w:rsidRPr="00A518CC">
        <w:rPr>
          <w:rFonts w:ascii="Times New Roman" w:hAnsi="Times New Roman"/>
          <w:b/>
          <w:sz w:val="24"/>
          <w:szCs w:val="24"/>
          <w:lang w:val="en-US"/>
        </w:rPr>
        <w:t>Method</w:t>
      </w:r>
    </w:p>
    <w:p w:rsidR="00B41C1C" w:rsidRPr="00A518CC" w:rsidRDefault="00B41C1C" w:rsidP="00B41C1C">
      <w:pPr>
        <w:autoSpaceDE w:val="0"/>
        <w:autoSpaceDN w:val="0"/>
        <w:adjustRightInd w:val="0"/>
        <w:spacing w:line="360" w:lineRule="auto"/>
        <w:rPr>
          <w:rFonts w:ascii="Times New Roman" w:hAnsi="Times New Roman"/>
          <w:sz w:val="24"/>
          <w:szCs w:val="24"/>
          <w:lang w:val="en-US"/>
        </w:rPr>
      </w:pPr>
      <w:r w:rsidRPr="00A518CC">
        <w:rPr>
          <w:rFonts w:ascii="Times New Roman" w:hAnsi="Times New Roman"/>
          <w:sz w:val="24"/>
          <w:szCs w:val="24"/>
          <w:lang w:val="en-US"/>
        </w:rPr>
        <w:t xml:space="preserve">A search was made on Pubmed (National Center for Biotechnology Information, United States national Library, </w:t>
      </w:r>
      <w:proofErr w:type="gramStart"/>
      <w:r w:rsidRPr="00A518CC">
        <w:rPr>
          <w:rFonts w:ascii="Times New Roman" w:hAnsi="Times New Roman"/>
          <w:sz w:val="24"/>
          <w:szCs w:val="24"/>
          <w:lang w:val="en-US"/>
        </w:rPr>
        <w:t>Bethesda</w:t>
      </w:r>
      <w:proofErr w:type="gramEnd"/>
      <w:r w:rsidRPr="00A518CC">
        <w:rPr>
          <w:rFonts w:ascii="Times New Roman" w:hAnsi="Times New Roman"/>
          <w:sz w:val="24"/>
          <w:szCs w:val="24"/>
          <w:lang w:val="en-US"/>
        </w:rPr>
        <w:t xml:space="preserve">, MD) and SCOPUS (Elsevier Research Intelligence) from </w:t>
      </w:r>
      <w:r w:rsidRPr="00A518CC">
        <w:rPr>
          <w:rFonts w:ascii="Times New Roman" w:hAnsi="Times New Roman"/>
          <w:sz w:val="24"/>
          <w:szCs w:val="24"/>
          <w:lang w:val="en-US"/>
        </w:rPr>
        <w:lastRenderedPageBreak/>
        <w:t>its inception on 26 May, 2015. In the review we include experimental studies who involving the evaluation of the effects DET administered enterally or parenterally in horses on clinics pharmacodynamics and pharmacokinetics parameters. Experimental studies that determined the pharmacokinetics or pharmacodynamics profile of intravenously administered YOH in horses were also included. Finally experimental studies with the effect of YOH on the pharmacokinetics, pharmacodynamics and behavioral parameters in horse sedated with DET were included. A review of titles and, if available, abstracts was performed by 2 of investigators who eliminated duplicated manuscripts and studies evaluating the effects of other alpha-2 adrenergic antagonists on horse. Some 5 manuscripts were retrieved for further revision. Disagreements between the investigators were resolved by consensus.</w:t>
      </w:r>
    </w:p>
    <w:p w:rsidR="00B41C1C" w:rsidRPr="00A518CC" w:rsidRDefault="00B41C1C" w:rsidP="00B41C1C">
      <w:pPr>
        <w:autoSpaceDE w:val="0"/>
        <w:autoSpaceDN w:val="0"/>
        <w:adjustRightInd w:val="0"/>
        <w:spacing w:line="360" w:lineRule="auto"/>
        <w:rPr>
          <w:rFonts w:ascii="Times New Roman" w:hAnsi="Times New Roman"/>
          <w:sz w:val="24"/>
          <w:szCs w:val="24"/>
          <w:lang w:val="en-US"/>
        </w:rPr>
      </w:pPr>
      <w:r w:rsidRPr="00A518CC">
        <w:rPr>
          <w:rFonts w:ascii="Times New Roman" w:hAnsi="Times New Roman"/>
          <w:sz w:val="24"/>
          <w:szCs w:val="24"/>
          <w:lang w:val="en-US"/>
        </w:rPr>
        <w:t xml:space="preserve">Data abstraction was performed by 3 other investigators. From the experimental studies performed in horses, the following variables were obtained: animal specie, sex, age, dosage, administration route, clinics effects, changes in behavior, cardiac and blood parameters, pharmacokinetics and pharmacodynamics effects. Of the 26 retrieved studies, the information was obtained from 14 selected reports </w:t>
      </w:r>
      <w:r w:rsidR="00A2062B" w:rsidRPr="00A518CC">
        <w:rPr>
          <w:rFonts w:ascii="Times New Roman" w:hAnsi="Times New Roman"/>
          <w:sz w:val="24"/>
          <w:szCs w:val="24"/>
          <w:lang w:val="en-US"/>
        </w:rPr>
        <w:fldChar w:fldCharType="begin" w:fldLock="1"/>
      </w:r>
      <w:r w:rsidRPr="00A518CC">
        <w:rPr>
          <w:rFonts w:ascii="Times New Roman" w:hAnsi="Times New Roman"/>
          <w:sz w:val="24"/>
          <w:szCs w:val="24"/>
          <w:lang w:val="en-US"/>
        </w:rPr>
        <w:instrText>ADDIN CSL_CITATION { "citationItems" : [ { "id" : "ITEM-1", "itemData" : { "DOI" : "10.1111/j.1365-2885.2010.01234.x", "ISSN" : "01407783", "PMID" : "20950351", "abstract" : "Yohimbine is an alpha 2 adrenergic receptor antagonist, which has been shown to counteract the CNS depressant effects of alpha 2 receptor agonists in a number of species. Recently, our laboratory identified yohimbine in the absence of detectable concentrations of an alpha 2 agonist in a regulatory sample collected from a horse racing in California. This coupled with anecdotal reports of CNS stimulation and documented reports of cardiovascular changes when administered in conjunction with an agonist led us to investigate the pharmacokinetics and pharmacodynamics of yohimbine when administered alone. Nine healthy adult horses received a single intravenous dose of 0.1, 0.2, and 0.4 mg/kg yohimbine. Blood samples were collected at time 0 (prior to drug administration) and at various times up to 24 h postdrug administration. Plasma samples were analyzed using liquid chromatography-mass spectrometry (LC-MS), and resulting data analyzed using both noncompartmental and compartmental analysis. Peak plasma concentrations were 106.0 \u00b1 28.9, 156.7 \u00b1 34.3, and 223.0 \u00b1 44.5 ng/mL for doses of 0.1, 0.2, and 0.4 mg/kg, respectively. Immediately following administration, two horses showed signs of sedation, one horse appeared excited, while the other six appeared behaviorally unaffected. Episodes of tachycardia were noted within minutes of administration for all horses at all doses; however, there was no correlation between behavioral responses and episodes of increased heart rate. Sixty-three percent of the horses (8, 6, and 4 of the 9 horses in the 0.1, 0.2, and 0.4 mg/kg dose groups, respectively) exhibited second-degree atrial-ventricular conduction blocks and bradycardia prior to drug administration that transiently improved or disappeared upon administration of yohimbine. Gastrointestinal sounds were transiently increased following all doses.", "author" : [ { "dropping-particle" : "", "family" : "Dimaio Knych", "given" : "H. K.", "non-dropping-particle" : "", "parse-names" : false, "suffix" : "" }, { "dropping-particle" : "", "family" : "Steffey", "given" : "E. P.", "non-dropping-particle" : "", "parse-names" : false, "suffix" : "" }, { "dropping-particle" : "", "family" : "Stanley", "given" : "S. D.", "non-dropping-particle" : "", "parse-names" : false, "suffix" : "" } ], "container-title" : "Journal of Veterinary Pharmacology and Therapeutics", "id" : "ITEM-1", "issue" : "4", "issued" : { "date-parts" : [ [ "2011" ] ] }, "page" : "359-366", "title" : "Pharmacokinetics and pharmacodynamics of three intravenous doses of yohimbine in the horse", "type" : "article-journal", "volume" : "34" }, "uris" : [ "http://www.mendeley.com/documents/?uuid=d645ee91-9693-41fb-832b-d1731ea5f76f" ] }, { "id" : "ITEM-2", "itemData" : { "DOI" : "10.1111/j.1365-2885.2010.01193.x", "ISSN" : "01407783", "PMID" : "21219348", "abstract" : "The objective of the study was to determine the absorption, bioavailability and sedative effect of detomidine administered to horses as an oromucosal gel compared to intravenous and intramuscular administration of detomidine injectable solution. The study was open and randomized, with three sequences crossover design. Nine healthy horses were given 40\u2003\u03bcg/kg detomidine intravenously, intramuscularly or administered under the tongue with a 7-day wash-out period between treatments. Blood samples were collected before and after drug administration for the measurement of detomidine concentrations in serum. The effects of the route of administration on heart rate and rhythm were evaluated and the depth of sedation assessed. Mean (\u00b1SD) bioavailability of detomidine was 22% (\u00b15.3%) after sublingual administration and 38.2% (\u00b17.9%) after intramuscular administration. The sedative effects correlated with detomidine concentrations regardless of the route of administration. We conclude that less detomidine is absorbed when given sublingually than when given intramuscularly, because part of it does not reach the circulation. Sublingual administration of detomidine oromucosal gel at 40\u2003\u03bcg/kg produces safe sedation in horses. Slow absorption leads to fewer and less pronounced adverse effects than the more rapid absorption after intramuscular injection.", "author" : [ { "dropping-particle" : "", "family" : "Kaukinen", "given" : "H.", "non-dropping-particle" : "", "parse-names" : false, "suffix" : "" }, { "dropping-particle" : "", "family" : "Aspegr\u00e9n", "given" : "J.", "non-dropping-particle" : "", "parse-names" : false, "suffix" : "" }, { "dropping-particle" : "", "family" : "Hyypp\u00e4", "given" : "S.", "non-dropping-particle" : "", "parse-names" : false, "suffix" : "" }, { "dropping-particle" : "", "family" : "Tamm", "given" : "L.", "non-dropping-particle" : "", "parse-names" : false, "suffix" : "" }, { "dropping-particle" : "", "family" : "Salonen", "given" : "J. S.", "non-dropping-particle" : "", "parse-names" : false, "suffix" : "" } ], "container-title" : "Journal of Veterinary Pharmacology and Therapeutics", "id" : "ITEM-2", "issue" : "1", "issued" : { "date-parts" : [ [ "2011" ] ] }, "page" : "76-81", "title" : "Bioavailability of detomidine administered sublingually to horses as an oromucosal gel", "type" : "article-journal", "volume" : "34" }, "uris" : [ "http://www.mendeley.com/documents/?uuid=59a2b87e-6103-4f35-a43d-3052d0e65845" ] }, { "id" : "ITEM-3", "itemData" : { "DOI" : "10.1111/j.1467-2995.2011.00690.x", "ISSN" : "14672987", "PMID" : "22405129", "abstract" : "OBJECTIVE: To describe the pharmacokinetics of detomidine and yohimbine when administered in combination.\\n\\nSTUDY DESIGN: Randomized crossover design.\\n\\nANIMALS: Nine healthy adult horses aged 9 \u00b1 4 years and weighing of 561 \u00b1 56 kg.\\n\\nMETHODS: Three dose regimens were employed in the current study. 1) 0.03 mg kg(-1) detomidine IV (D), 2) 0.2 mg kg(-1) yohimbine IV (Y) and 3) 0.03 mg kg(-1) detomidine IV followed 15 minutes later by 0.2 mg kg(-1) yohimbine IV (DY). Each horse received all three dose regimens with a minimum of 1 week in between subsequent regimens. Blood samples were obtained and plasma analyzed for detomidine and yohimbine concentrations by liquid chromatography-mass spectrometry. Data were analyzed using both non-compartmental and compartmental analysis.\\n\\nRESULTS: The maximum measured detomidine concentrations were 76.0 and 129.9 ng mL(-1) for the D and DY treatments, respectively. Systemic clearance and volume of distribution of detomidine were not significantly different for either treatment. There was a significant increase in the maximum measured yohimbine plasma concentrations from Y (173.9 ng mL(-1)) to DY (289.8 ng mL(-1)). Both the Cl and V(d) for yohimbine were significantly less (6.8 mL minute(-1) kg(-1) (Cl) and 1.7 L kg(-1) (V(d) )) for the DY as compared to the Y treatments (13.9 mL minute(-1) kg(-1) (Cl) and 2.7 L kg(-1) (V(d))). Plasma concentrations were below the limit of quantitation (0.05 and 0.5 ng mL(-1)) by 18 hours for both detomidine and yohimbine.\\n\\nCONCLUSION AND CLINICAL RELEVANCE: The Cl and V(d) of yohimbine were affected by prior administration of detomidine. The elimination half life of yohimbine remained unaffected when administered subsequent to detomidine. However, the increased plasma concentrations in the presence of detomidine has the potential to cause untoward effects and therefore further studies to assess the physiologic effects of this combination of drugs are warranted.", "author" : [ { "dropping-particle" : "", "family" : "Knych", "given" : "Heather K.", "non-dropping-particle" : "", "parse-names" : false, "suffix" : "" }, { "dropping-particle" : "", "family" : "Steffey", "given" : "Eugene P.", "non-dropping-particle" : "", "parse-names" : false, "suffix" : "" }, { "dropping-particle" : "", "family" : "Stanley", "given" : "Scott D.", "non-dropping-particle" : "", "parse-names" : false, "suffix" : "" } ], "container-title" : "Veterinary Anaesthesia and Analgesia", "id" : "ITEM-3", "issue" : "3", "issued" : { "date-parts" : [ [ "2012" ] ] }, "page" : "221-229", "title" : "The effects of yohimbine on the pharmacokinetic parameters of detomidine in the horse", "type" : "article-journal", "volume" : "39" }, "uris" : [ "http://www.mendeley.com/documents/?uuid=0bee472b-93d6-4056-b8e8-6c1df4527d01" ] }, { "id" : "ITEM-4", "itemData" : { "DOI" : "10.1111/vaa.12081", "ISSN" : "14672987", "PMID" : "24134603", "abstract" : "OBJECTIVE: To describe the effects of alpha2 -adrenergic receptor antagonists on the pharmacodynamics of sublingual (SL) detomidine in the horse.\\n\\nSTUDY DESIGN: Randomized crossover design.\\n\\nANIMALS: Nine healthy adult horses with an average age of 7.6\u00a0\u00b1\u00a06.5\u00a0years.\\n\\nMETHODS: Four treatment groups were studied: 1) 0.04\u00a0mg\u00a0kg(-1) detomidine SL; 2) 0.04\u00a0mg\u00a0kg(-1) detomidine SL followed 1\u00a0hour later by 0.075\u00a0mg\u00a0kg(-1) yohimbine intravenously (IV); 3) 0.04\u00a0mg\u00a0kg(-1) detomidine SL followed 1\u00a0hour later by 4\u00a0mg\u00a0kg(-1) tolazoline IV; and 4) 0.04\u00a0mg\u00a0kg(-1) detomidine SL followed 1\u00a0hour later by 0.12\u00a0mg\u00a0kg(-1) atipamezole IV. Each horse received all treatments with a minimum of 1\u00a0week between treatments. Blood samples were obtained and plasma analyzed for yohimbine, atipamezole and tolazoline concentrations by liquid chromatography-mass spectrometry. Behavioral effects, heart rate and rhythm, glucose, packed cell volume (PCV) and plasma proteins were monitored.\\n\\nRESULTS: Chin-to-ground distance increased following administration of the antagonists, however, this effect was transient, with a return to pre-reversal values as early as 1\u00a0hour. Detomidine induced bradycardia and increased incidence of atrioventricular blocks were either transiently or incompletely antagonized by all antagonists. PCV and glucose concentrations increased with tolazoline administration, and atipamezole subjectively increased urination frequency but not volume.\\n\\nCONCLUSIONS AND CLINICAL RELEVANCE: At the doses administered in this study, the alpha2 -adrenergic antagonistic effects of tolazoline, yohimbine and atipamezole on cardiac and behavioral effects elicited by SL administration of detomidine are transient and incomplete.", "author" : [ { "dropping-particle" : "", "family" : "Knych", "given" : "Heather K.", "non-dropping-particle" : "", "parse-names" : false, "suffix" : "" }, { "dropping-particle" : "", "family" : "Stanley", "given" : "Scott D.", "non-dropping-particle" : "", "parse-names" : false, "suffix" : "" } ], "container-title" : "Veterinary Anaesthesia and Analgesia", "id" : "ITEM-4", "issue" : "1", "issued" : { "date-parts" : [ [ "2014" ] ] }, "page" : "36-47", "title" : "Effects of three antagonists on selected pharmacodynamic effects of sublingually administered detomidine in the horse", "type" : "article-journal", "volume" : "41" }, "uris" : [ "http://www.mendeley.com/documents/?uuid=b48e1ff8-e8d2-4ada-aeda-a9bd2c7cad80" ] }, { "id" : "ITEM-5", "itemData" : { "DOI" : "10.1111/vaa.12012", "ISSN" : "14672987", "PMID" : "23368795", "abstract" : "To investigate plasma drug concentrations and the effect of MK-467 (L-659'066) on sedation, heart rate and gut motility in horses sedated with intravenous (IV) detomidine.", "author" : [ { "dropping-particle" : "", "family" : "Vainionp\u00e4\u00e4", "given" : "Mari H.", "non-dropping-particle" : "", "parse-names" : false, "suffix" : "" }, { "dropping-particle" : "", "family" : "Raekallio", "given" : "Marja R.", "non-dropping-particle" : "", "parse-names" : false, "suffix" : "" }, { "dropping-particle" : "", "family" : "Pakkanen", "given" : "Soile Ae", "non-dropping-particle" : "", "parse-names" : false, "suffix" : "" }, { "dropping-particle" : "", "family" : "Ranta-Panula", "given" : "Ville", "non-dropping-particle" : "", "parse-names" : false, "suffix" : "" }, { "dropping-particle" : "", "family" : "Rinne", "given" : "Valtteri M.", "non-dropping-particle" : "", "parse-names" : false, "suffix" : "" }, { "dropping-particle" : "", "family" : "Scheinin", "given" : "Mika", "non-dropping-particle" : "", "parse-names" : false, "suffix" : "" }, { "dropping-particle" : "", "family" : "Vainio", "given" : "Outi M.", "non-dropping-particle" : "", "parse-names" : false, "suffix" : "" } ], "container-title" : "Veterinary Anaesthesia and Analgesia", "id" : "ITEM-5", "issue" : "3", "issued" : { "date-parts" : [ [ "2013" ] ] }, "page" : "257-264", "title" : "Plasma drug concentrations and clinical effects of a peripheral alpha-2-adrenoceptor antagonist, MK-467, in horses sedated with detomidine", "type" : "article-journal", "volume" : "40" }, "uris" : [ "http://www.mendeley.com/documents/?uuid=7690761e-57a4-47b5-b307-a3230e278da9" ] }, { "id" : "ITEM-6", "itemData" : { "DOI" : "10.1111/j.1467-2995.2012.00776.x", "ISSN" : "14672987", "PMID" : "23035904", "abstract" : "OBJECTIVE: To describe selected pharmacodynamic effects of detomidine and yohimbine when administered alone and in sequence.\\n\\nSTUDY DESIGN: Randomized crossover design.\\n\\nANIMALS: Nine healthy adult horses aged 9 \u00b1 4 years and weighing 561 \u00b1 56 kg.\\n\\nMETHODS: Three dose regimens were employed in the current study. 1) 0.03 mg kg(-1) detomidine IV, 2) 0.2 mg kg(-1) yohimbine IV and 3) 0.03 mg kg(-1) detomidine IV followed 15 minutes later by 0.2 mg kg(-1) yohimbine IV. Each horse received all three treatments with a minimum of 1 week between treatments. Blood samples were obtained and plasma analyzed for detomidine and yohimbine concentrations by liquid chromatography-mass spectrometry. Behavioral effects, heart rate and rhythm, glucose, packed cell volume and plasma proteins were monitored.\\n\\nRESULTS: Yohimbine rapidly reversed the sedative effects of detomidine in the horse. Additionally, yohimbine effectively returned heart rate and the percent of atrio-ventricular conduction disturbances to pre-detomidine values when administered 15 minutes post-detomidine administration. Plasma glucose was significantly increased following detomidine administration. The detomidine induced hyperglycemia was effectively reduced by yohimbine administration. Effects on packed cell volume and plasma proteins were variable.\\n\\nCONCLUSIONS AND CLINICAL RELEVANCE: Intravenous administration of yohimbine effectively reversed detomidine induced sedation, bradycardia, atrio-ventricular heart block and hyperglycemia.", "author" : [ { "dropping-particle" : "", "family" : "Dimaio Knych", "given" : "Heather K.", "non-dropping-particle" : "", "parse-names" : false, "suffix" : "" }, { "dropping-particle" : "", "family" : "Covarrubias", "given" : "Vanessa", "non-dropping-particle" : "", "parse-names" : false, "suffix" : "" }, { "dropping-particle" : "", "family" : "Steffey", "given" : "Eugene P.", "non-dropping-particle" : "", "parse-names" : false, "suffix" : "" } ], "container-title" : "Veterinary Anaesthesia and Analgesia", "id" : "ITEM-6", "issue" : "6", "issued" : { "date-parts" : [ [ "2012" ] ] }, "page" : "574-583", "title" : "Effect of yohimbine on detomidine induced changes in behavior, cardiac and blood parameters in the horse", "type" : "article-journal", "volume" : "39" }, "uris" : [ "http://www.mendeley.com/documents/?uuid=22ec7d39-3121-498d-b24c-8a19caec533c" ] } ], "mendeley" : { "formattedCitation" : "(H. K. Dimaio Knych, Steffey, and Stanley 2011; Kaukinen et al. 2011; Knych, Steffey, and Stanley 2012; Knych and Stanley 2014; Vainionp\u00e4\u00e4 et al. 2013; Heather K. Dimaio Knych, Covarrubias, and Steffey 2012)", "plainTextFormattedCitation" : "(H. K. Dimaio Knych, Steffey, and Stanley 2011; Kaukinen et al. 2011; Knych, Steffey, and Stanley 2012; Knych and Stanley 2014; Vainionp\u00e4\u00e4 et al. 2013; Heather K. Dimaio Knych, Covarrubias, and Steffey 2012)", "previouslyFormattedCitation" : "(H. K. Dimaio Knych, Steffey, and Stanley 2011; Kaukinen et al. 2011; Knych, Steffey, and Stanley 2012; Knych and Stanley 2014; Vainionp\u00e4\u00e4 et al. 2013; Heather K. Dimaio Knych, Covarrubias, and Steffey 2012)" }, "properties" : { "noteIndex" : 0 }, "schema" : "https://github.com/citation-style-language/schema/raw/master/csl-citation.json" }</w:instrText>
      </w:r>
      <w:r w:rsidR="00A2062B" w:rsidRPr="00A518CC">
        <w:rPr>
          <w:rFonts w:ascii="Times New Roman" w:hAnsi="Times New Roman"/>
          <w:sz w:val="24"/>
          <w:szCs w:val="24"/>
          <w:lang w:val="en-US"/>
        </w:rPr>
        <w:fldChar w:fldCharType="separate"/>
      </w:r>
      <w:r w:rsidRPr="00A518CC">
        <w:rPr>
          <w:rFonts w:ascii="Times New Roman" w:hAnsi="Times New Roman"/>
          <w:noProof/>
          <w:sz w:val="24"/>
          <w:szCs w:val="24"/>
          <w:lang w:val="en-US"/>
        </w:rPr>
        <w:t xml:space="preserve">(Dimaio Knych </w:t>
      </w:r>
      <w:r w:rsidRPr="00A518CC">
        <w:rPr>
          <w:rFonts w:ascii="Times New Roman" w:hAnsi="Times New Roman"/>
          <w:i/>
          <w:noProof/>
          <w:sz w:val="24"/>
          <w:szCs w:val="24"/>
          <w:lang w:val="en-US"/>
        </w:rPr>
        <w:t xml:space="preserve">et al., </w:t>
      </w:r>
      <w:r w:rsidRPr="00A518CC">
        <w:rPr>
          <w:rFonts w:ascii="Times New Roman" w:hAnsi="Times New Roman"/>
          <w:noProof/>
          <w:sz w:val="24"/>
          <w:szCs w:val="24"/>
          <w:lang w:val="en-US"/>
        </w:rPr>
        <w:t xml:space="preserve">2011; Dimaio Knych </w:t>
      </w:r>
      <w:r w:rsidRPr="00A518CC">
        <w:rPr>
          <w:rFonts w:ascii="Times New Roman" w:hAnsi="Times New Roman"/>
          <w:i/>
          <w:noProof/>
          <w:sz w:val="24"/>
          <w:szCs w:val="24"/>
          <w:lang w:val="en-US"/>
        </w:rPr>
        <w:t>et al</w:t>
      </w:r>
      <w:r w:rsidRPr="00A518CC">
        <w:rPr>
          <w:rFonts w:ascii="Times New Roman" w:hAnsi="Times New Roman"/>
          <w:noProof/>
          <w:sz w:val="24"/>
          <w:szCs w:val="24"/>
          <w:lang w:val="en-US"/>
        </w:rPr>
        <w:t xml:space="preserve">., 2012; Di Maio Knych &amp; Stanley 2011; Di Maio Knych </w:t>
      </w:r>
      <w:r w:rsidRPr="00A518CC">
        <w:rPr>
          <w:rFonts w:ascii="Times New Roman" w:hAnsi="Times New Roman"/>
          <w:i/>
          <w:noProof/>
          <w:sz w:val="24"/>
          <w:szCs w:val="24"/>
          <w:lang w:val="en-US"/>
        </w:rPr>
        <w:t>et al</w:t>
      </w:r>
      <w:r w:rsidRPr="00A518CC">
        <w:rPr>
          <w:rFonts w:ascii="Times New Roman" w:hAnsi="Times New Roman"/>
          <w:noProof/>
          <w:sz w:val="24"/>
          <w:szCs w:val="24"/>
          <w:lang w:val="en-US"/>
        </w:rPr>
        <w:t xml:space="preserve">., 2011; Jernigan </w:t>
      </w:r>
      <w:r w:rsidRPr="00A518CC">
        <w:rPr>
          <w:rFonts w:ascii="Times New Roman" w:hAnsi="Times New Roman"/>
          <w:i/>
          <w:noProof/>
          <w:sz w:val="24"/>
          <w:szCs w:val="24"/>
          <w:lang w:val="en-US"/>
        </w:rPr>
        <w:t>et al</w:t>
      </w:r>
      <w:r w:rsidRPr="00A518CC">
        <w:rPr>
          <w:rFonts w:ascii="Times New Roman" w:hAnsi="Times New Roman"/>
          <w:noProof/>
          <w:sz w:val="24"/>
          <w:szCs w:val="24"/>
          <w:lang w:val="en-US"/>
        </w:rPr>
        <w:t xml:space="preserve">., 1988; Kaukinen </w:t>
      </w:r>
      <w:r w:rsidRPr="00A518CC">
        <w:rPr>
          <w:rFonts w:ascii="Times New Roman" w:hAnsi="Times New Roman"/>
          <w:i/>
          <w:noProof/>
          <w:sz w:val="24"/>
          <w:szCs w:val="24"/>
          <w:lang w:val="en-US"/>
        </w:rPr>
        <w:t>et al</w:t>
      </w:r>
      <w:r w:rsidRPr="00A518CC">
        <w:rPr>
          <w:rFonts w:ascii="Times New Roman" w:hAnsi="Times New Roman"/>
          <w:noProof/>
          <w:sz w:val="24"/>
          <w:szCs w:val="24"/>
          <w:lang w:val="en-US"/>
        </w:rPr>
        <w:t xml:space="preserve">., 2010; Kaukinen </w:t>
      </w:r>
      <w:r w:rsidRPr="00A518CC">
        <w:rPr>
          <w:rFonts w:ascii="Times New Roman" w:hAnsi="Times New Roman"/>
          <w:i/>
          <w:noProof/>
          <w:sz w:val="24"/>
          <w:szCs w:val="24"/>
          <w:lang w:val="en-US"/>
        </w:rPr>
        <w:t>et al</w:t>
      </w:r>
      <w:r w:rsidRPr="00A518CC">
        <w:rPr>
          <w:rFonts w:ascii="Times New Roman" w:hAnsi="Times New Roman"/>
          <w:noProof/>
          <w:sz w:val="24"/>
          <w:szCs w:val="24"/>
          <w:lang w:val="en-US"/>
        </w:rPr>
        <w:t xml:space="preserve">., 2011; </w:t>
      </w:r>
      <w:r w:rsidRPr="00A518CC">
        <w:rPr>
          <w:rFonts w:ascii="Times New Roman" w:hAnsi="Times New Roman"/>
          <w:sz w:val="24"/>
          <w:szCs w:val="24"/>
          <w:lang w:val="en-US"/>
        </w:rPr>
        <w:t xml:space="preserve">Knych </w:t>
      </w:r>
      <w:r w:rsidRPr="00A518CC">
        <w:rPr>
          <w:rFonts w:ascii="Times New Roman" w:hAnsi="Times New Roman"/>
          <w:i/>
          <w:sz w:val="24"/>
          <w:szCs w:val="24"/>
          <w:lang w:val="en-US"/>
        </w:rPr>
        <w:t>et al.</w:t>
      </w:r>
      <w:r w:rsidRPr="00A518CC">
        <w:rPr>
          <w:rFonts w:ascii="Times New Roman" w:hAnsi="Times New Roman"/>
          <w:sz w:val="24"/>
          <w:szCs w:val="24"/>
          <w:lang w:val="en-US"/>
        </w:rPr>
        <w:t>, 2012</w:t>
      </w:r>
      <w:r w:rsidRPr="00A518CC">
        <w:rPr>
          <w:rFonts w:ascii="Times New Roman" w:hAnsi="Times New Roman"/>
          <w:noProof/>
          <w:sz w:val="24"/>
          <w:szCs w:val="24"/>
          <w:lang w:val="en-US"/>
        </w:rPr>
        <w:t xml:space="preserve">; Knych &amp; Stanley 2014; Mama </w:t>
      </w:r>
      <w:r w:rsidRPr="00A518CC">
        <w:rPr>
          <w:rFonts w:ascii="Times New Roman" w:hAnsi="Times New Roman"/>
          <w:i/>
          <w:noProof/>
          <w:sz w:val="24"/>
          <w:szCs w:val="24"/>
          <w:lang w:val="en-US"/>
        </w:rPr>
        <w:t>et al</w:t>
      </w:r>
      <w:r w:rsidRPr="00A518CC">
        <w:rPr>
          <w:rFonts w:ascii="Times New Roman" w:hAnsi="Times New Roman"/>
          <w:noProof/>
          <w:sz w:val="24"/>
          <w:szCs w:val="24"/>
          <w:lang w:val="en-US"/>
        </w:rPr>
        <w:t xml:space="preserve">., 2009; Vainionpää </w:t>
      </w:r>
      <w:r w:rsidRPr="00A518CC">
        <w:rPr>
          <w:rFonts w:ascii="Times New Roman" w:hAnsi="Times New Roman"/>
          <w:i/>
          <w:noProof/>
          <w:sz w:val="24"/>
          <w:szCs w:val="24"/>
          <w:lang w:val="en-US"/>
        </w:rPr>
        <w:t>et al.,</w:t>
      </w:r>
      <w:r w:rsidRPr="00A518CC">
        <w:rPr>
          <w:rFonts w:ascii="Times New Roman" w:hAnsi="Times New Roman"/>
          <w:noProof/>
          <w:sz w:val="24"/>
          <w:szCs w:val="24"/>
          <w:lang w:val="en-US"/>
        </w:rPr>
        <w:t xml:space="preserve"> 2013; Salonene </w:t>
      </w:r>
      <w:r w:rsidRPr="00A518CC">
        <w:rPr>
          <w:rFonts w:ascii="Times New Roman" w:hAnsi="Times New Roman"/>
          <w:i/>
          <w:noProof/>
          <w:sz w:val="24"/>
          <w:szCs w:val="24"/>
          <w:lang w:val="en-US"/>
        </w:rPr>
        <w:t>et al</w:t>
      </w:r>
      <w:r w:rsidRPr="00A518CC">
        <w:rPr>
          <w:rFonts w:ascii="Times New Roman" w:hAnsi="Times New Roman"/>
          <w:noProof/>
          <w:sz w:val="24"/>
          <w:szCs w:val="24"/>
          <w:lang w:val="en-US"/>
        </w:rPr>
        <w:t xml:space="preserve">., 1989; Jochle &amp; Hamm, 1986; Hubbel </w:t>
      </w:r>
      <w:r w:rsidRPr="00A518CC">
        <w:rPr>
          <w:rFonts w:ascii="Times New Roman" w:hAnsi="Times New Roman"/>
          <w:i/>
          <w:noProof/>
          <w:sz w:val="24"/>
          <w:szCs w:val="24"/>
          <w:lang w:val="en-US"/>
        </w:rPr>
        <w:t>et al</w:t>
      </w:r>
      <w:r w:rsidRPr="00A518CC">
        <w:rPr>
          <w:rFonts w:ascii="Times New Roman" w:hAnsi="Times New Roman"/>
          <w:noProof/>
          <w:sz w:val="24"/>
          <w:szCs w:val="24"/>
          <w:lang w:val="en-US"/>
        </w:rPr>
        <w:t>., 2009)</w:t>
      </w:r>
      <w:r w:rsidR="00A2062B" w:rsidRPr="00A518CC">
        <w:rPr>
          <w:rFonts w:ascii="Times New Roman" w:hAnsi="Times New Roman"/>
          <w:sz w:val="24"/>
          <w:szCs w:val="24"/>
          <w:lang w:val="en-US"/>
        </w:rPr>
        <w:fldChar w:fldCharType="end"/>
      </w:r>
      <w:r w:rsidRPr="00A518CC">
        <w:rPr>
          <w:rFonts w:ascii="Times New Roman" w:hAnsi="Times New Roman"/>
          <w:sz w:val="24"/>
          <w:szCs w:val="24"/>
          <w:lang w:val="en-US"/>
        </w:rPr>
        <w:t xml:space="preserve"> .</w:t>
      </w:r>
    </w:p>
    <w:p w:rsidR="00B41C1C" w:rsidRPr="00A518CC" w:rsidRDefault="00B41C1C" w:rsidP="00B41C1C">
      <w:pPr>
        <w:autoSpaceDE w:val="0"/>
        <w:autoSpaceDN w:val="0"/>
        <w:adjustRightInd w:val="0"/>
        <w:spacing w:line="360" w:lineRule="auto"/>
        <w:rPr>
          <w:rFonts w:ascii="Times New Roman" w:hAnsi="Times New Roman"/>
          <w:sz w:val="24"/>
          <w:szCs w:val="24"/>
          <w:lang w:val="en-US"/>
        </w:rPr>
      </w:pPr>
    </w:p>
    <w:p w:rsidR="00B41C1C" w:rsidRPr="00A518CC" w:rsidRDefault="00B41C1C" w:rsidP="00B41C1C">
      <w:pPr>
        <w:autoSpaceDE w:val="0"/>
        <w:autoSpaceDN w:val="0"/>
        <w:adjustRightInd w:val="0"/>
        <w:spacing w:line="360" w:lineRule="auto"/>
        <w:outlineLvl w:val="0"/>
        <w:rPr>
          <w:rFonts w:ascii="Times New Roman" w:hAnsi="Times New Roman"/>
          <w:b/>
          <w:sz w:val="24"/>
          <w:szCs w:val="24"/>
          <w:lang w:val="en-US"/>
        </w:rPr>
      </w:pPr>
      <w:r w:rsidRPr="00A518CC">
        <w:rPr>
          <w:rFonts w:ascii="Times New Roman" w:hAnsi="Times New Roman"/>
          <w:b/>
          <w:sz w:val="24"/>
          <w:szCs w:val="24"/>
          <w:lang w:val="en-US"/>
        </w:rPr>
        <w:t xml:space="preserve">Results </w:t>
      </w:r>
    </w:p>
    <w:p w:rsidR="00B41C1C" w:rsidRPr="00A518CC" w:rsidRDefault="00B41C1C" w:rsidP="00B41C1C">
      <w:pPr>
        <w:spacing w:line="360" w:lineRule="auto"/>
        <w:rPr>
          <w:rFonts w:ascii="Times New Roman" w:hAnsi="Times New Roman"/>
          <w:sz w:val="24"/>
          <w:szCs w:val="24"/>
          <w:lang w:val="en-US"/>
        </w:rPr>
      </w:pPr>
      <w:r w:rsidRPr="00A518CC">
        <w:rPr>
          <w:rFonts w:ascii="Times New Roman" w:hAnsi="Times New Roman"/>
          <w:sz w:val="24"/>
          <w:szCs w:val="24"/>
          <w:lang w:val="en-US"/>
        </w:rPr>
        <w:t xml:space="preserve">A distinct advantage of alpha2-adrenergic agonists, such as DET, is the availability of antagonists that can revert the pharmacologic effects of alpha-2 agonists, whose antagonists are beneficial in cases of overdoses of alpha2-adrenergic agonists </w:t>
      </w:r>
      <w:r w:rsidR="00A2062B" w:rsidRPr="00A518CC">
        <w:rPr>
          <w:rFonts w:ascii="Times New Roman" w:hAnsi="Times New Roman"/>
          <w:sz w:val="24"/>
          <w:szCs w:val="24"/>
          <w:lang w:val="en-US"/>
        </w:rPr>
        <w:fldChar w:fldCharType="begin" w:fldLock="1"/>
      </w:r>
      <w:r w:rsidRPr="00A518CC">
        <w:rPr>
          <w:rFonts w:ascii="Times New Roman" w:hAnsi="Times New Roman"/>
          <w:sz w:val="24"/>
          <w:szCs w:val="24"/>
          <w:lang w:val="en-US"/>
        </w:rPr>
        <w:instrText>ADDIN CSL_CITATION { "citationItems" : [ { "id" : "ITEM-1", "itemData" : { "DOI" : "10.1111/vaa.12081", "ISSN" : "14672987", "PMID" : "24134603", "abstract" : "OBJECTIVE: To describe the effects of alpha2 -adrenergic receptor antagonists on the pharmacodynamics of sublingual (SL) detomidine in the horse.\\n\\nSTUDY DESIGN: Randomized crossover design.\\n\\nANIMALS: Nine healthy adult horses with an average age of 7.6\u00a0\u00b1\u00a06.5\u00a0years.\\n\\nMETHODS: Four treatment groups were studied: 1) 0.04\u00a0mg\u00a0kg(-1) detomidine SL; 2) 0.04\u00a0mg\u00a0kg(-1) detomidine SL followed 1\u00a0hour later by 0.075\u00a0mg\u00a0kg(-1) yohimbine intravenously (IV); 3) 0.04\u00a0mg\u00a0kg(-1) detomidine SL followed 1\u00a0hour later by 4\u00a0mg\u00a0kg(-1) tolazoline IV; and 4) 0.04\u00a0mg\u00a0kg(-1) detomidine SL followed 1\u00a0hour later by 0.12\u00a0mg\u00a0kg(-1) atipamezole IV. Each horse received all treatments with a minimum of 1\u00a0week between treatments. Blood samples were obtained and plasma analyzed for yohimbine, atipamezole and tolazoline concentrations by liquid chromatography-mass spectrometry. Behavioral effects, heart rate and rhythm, glucose, packed cell volume (PCV) and plasma proteins were monitored.\\n\\nRESULTS: Chin-to-ground distance increased following administration of the antagonists, however, this effect was transient, with a return to pre-reversal values as early as 1\u00a0hour. Detomidine induced bradycardia and increased incidence of atrioventricular blocks were either transiently or incompletely antagonized by all antagonists. PCV and glucose concentrations increased with tolazoline administration, and atipamezole subjectively increased urination frequency but not volume.\\n\\nCONCLUSIONS AND CLINICAL RELEVANCE: At the doses administered in this study, the alpha2 -adrenergic antagonistic effects of tolazoline, yohimbine and atipamezole on cardiac and behavioral effects elicited by SL administration of detomidine are transient and incomplete.", "author" : [ { "dropping-particle" : "", "family" : "Knych", "given" : "Heather K.", "non-dropping-particle" : "", "parse-names" : false, "suffix" : "" }, { "dropping-particle" : "", "family" : "Stanley", "given" : "Scott D.", "non-dropping-particle" : "", "parse-names" : false, "suffix" : "" } ], "container-title" : "Veterinary Anaesthesia and Analgesia", "id" : "ITEM-1", "issue" : "1", "issued" : { "date-parts" : [ [ "2014" ] ] }, "page" : "36-47", "title" : "Effects of three antagonists on selected pharmacodynamic effects of sublingually administered detomidine in the horse", "type" : "article-journal", "volume" : "41" }, "uris" : [ "http://www.mendeley.com/documents/?uuid=b48e1ff8-e8d2-4ada-aeda-a9bd2c7cad80" ] } ], "mendeley" : { "formattedCitation" : "(Knych and Stanley 2014)", "plainTextFormattedCitation" : "(Knych and Stanley 2014)", "previouslyFormattedCitation" : "(Knych and Stanley 2014)" }, "properties" : { "noteIndex" : 0 }, "schema" : "https://github.com/citation-style-language/schema/raw/master/csl-citation.json" }</w:instrText>
      </w:r>
      <w:r w:rsidR="00A2062B" w:rsidRPr="00A518CC">
        <w:rPr>
          <w:rFonts w:ascii="Times New Roman" w:hAnsi="Times New Roman"/>
          <w:sz w:val="24"/>
          <w:szCs w:val="24"/>
          <w:lang w:val="en-US"/>
        </w:rPr>
        <w:fldChar w:fldCharType="separate"/>
      </w:r>
      <w:r w:rsidRPr="00A518CC">
        <w:rPr>
          <w:rFonts w:ascii="Times New Roman" w:hAnsi="Times New Roman"/>
          <w:noProof/>
          <w:sz w:val="24"/>
          <w:szCs w:val="24"/>
          <w:lang w:val="en-US"/>
        </w:rPr>
        <w:t>(Knych &amp; Stanley, 2014)</w:t>
      </w:r>
      <w:r w:rsidR="00A2062B" w:rsidRPr="00A518CC">
        <w:rPr>
          <w:rFonts w:ascii="Times New Roman" w:hAnsi="Times New Roman"/>
          <w:sz w:val="24"/>
          <w:szCs w:val="24"/>
          <w:lang w:val="en-US"/>
        </w:rPr>
        <w:fldChar w:fldCharType="end"/>
      </w:r>
      <w:r w:rsidRPr="00A518CC">
        <w:rPr>
          <w:rFonts w:ascii="Times New Roman" w:hAnsi="Times New Roman"/>
          <w:sz w:val="24"/>
          <w:szCs w:val="24"/>
          <w:lang w:val="en-US"/>
        </w:rPr>
        <w:t xml:space="preserve">. Several studies have previously reported the pharmacokinetics of DET, YOH and DET-YOH </w:t>
      </w:r>
      <w:r w:rsidR="00A2062B" w:rsidRPr="00A518CC">
        <w:rPr>
          <w:rFonts w:ascii="Times New Roman" w:hAnsi="Times New Roman"/>
          <w:sz w:val="24"/>
          <w:szCs w:val="24"/>
          <w:lang w:val="en-US"/>
        </w:rPr>
        <w:fldChar w:fldCharType="begin" w:fldLock="1"/>
      </w:r>
      <w:r w:rsidRPr="00A518CC">
        <w:rPr>
          <w:rFonts w:ascii="Times New Roman" w:hAnsi="Times New Roman"/>
          <w:sz w:val="24"/>
          <w:szCs w:val="24"/>
          <w:lang w:val="en-US"/>
        </w:rPr>
        <w:instrText>ADDIN CSL_CITATION { "citationItems" : [ { "id" : "ITEM-1", "itemData" : { "DOI" : "10.1111/j.1467-2995.2011.00690.x", "ISSN" : "14672987", "PMID" : "22405129", "abstract" : "OBJECTIVE: To describe the pharmacokinetics of detomidine and yohimbine when administered in combination.\\n\\nSTUDY DESIGN: Randomized crossover design.\\n\\nANIMALS: Nine healthy adult horses aged 9 \u00b1 4 years and weighing of 561 \u00b1 56 kg.\\n\\nMETHODS: Three dose regimens were employed in the current study. 1) 0.03 mg kg(-1) detomidine IV (D), 2) 0.2 mg kg(-1) yohimbine IV (Y) and 3) 0.03 mg kg(-1) detomidine IV followed 15 minutes later by 0.2 mg kg(-1) yohimbine IV (DY). Each horse received all three dose regimens with a minimum of 1 week in between subsequent regimens. Blood samples were obtained and plasma analyzed for detomidine and yohimbine concentrations by liquid chromatography-mass spectrometry. Data were analyzed using both non-compartmental and compartmental analysis.\\n\\nRESULTS: The maximum measured detomidine concentrations were 76.0 and 129.9 ng mL(-1) for the D and DY treatments, respectively. Systemic clearance and volume of distribution of detomidine were not significantly different for either treatment. There was a significant increase in the maximum measured yohimbine plasma concentrations from Y (173.9 ng mL(-1)) to DY (289.8 ng mL(-1)). Both the Cl and V(d) for yohimbine were significantly less (6.8 mL minute(-1) kg(-1) (Cl) and 1.7 L kg(-1) (V(d) )) for the DY as compared to the Y treatments (13.9 mL minute(-1) kg(-1) (Cl) and 2.7 L kg(-1) (V(d))). Plasma concentrations were below the limit of quantitation (0.05 and 0.5 ng mL(-1)) by 18 hours for both detomidine and yohimbine.\\n\\nCONCLUSION AND CLINICAL RELEVANCE: The Cl and V(d) of yohimbine were affected by prior administration of detomidine. The elimination half life of yohimbine remained unaffected when administered subsequent to detomidine. However, the increased plasma concentrations in the presence of detomidine has the potential to cause untoward effects and therefore further studies to assess the physiologic effects of this combination of drugs are warranted.", "author" : [ { "dropping-particle" : "", "family" : "Knych", "given" : "Heather K.", "non-dropping-particle" : "", "parse-names" : false, "suffix" : "" }, { "dropping-particle" : "", "family" : "Steffey", "given" : "Eugene P.", "non-dropping-particle" : "", "parse-names" : false, "suffix" : "" }, { "dropping-particle" : "", "family" : "Stanley", "given" : "Scott D.", "non-dropping-particle" : "", "parse-names" : false, "suffix" : "" } ], "container-title" : "Veterinary Anaesthesia and Analgesia", "id" : "ITEM-1", "issue" : "3", "issued" : { "date-parts" : [ [ "2012" ] ] }, "page" : "221-229", "title" : "The effects of yohimbine on the pharmacokinetic parameters of detomidine in the horse", "type" : "article-journal", "volume" : "39" }, "uris" : [ "http://www.mendeley.com/documents/?uuid=0bee472b-93d6-4056-b8e8-6c1df4527d01" ] } ], "mendeley" : { "formattedCitation" : "(Knych, Steffey, and Stanley 2012)", "plainTextFormattedCitation" : "(Knych, Steffey, and Stanley 2012)", "previouslyFormattedCitation" : "(Knych, Steffey, and Stanley 2012)" }, "properties" : { "noteIndex" : 0 }, "schema" : "https://github.com/citation-style-language/schema/raw/master/csl-citation.json" }</w:instrText>
      </w:r>
      <w:r w:rsidR="00A2062B" w:rsidRPr="00A518CC">
        <w:rPr>
          <w:rFonts w:ascii="Times New Roman" w:hAnsi="Times New Roman"/>
          <w:sz w:val="24"/>
          <w:szCs w:val="24"/>
          <w:lang w:val="en-US"/>
        </w:rPr>
        <w:fldChar w:fldCharType="separate"/>
      </w:r>
      <w:r w:rsidRPr="00A518CC">
        <w:rPr>
          <w:rFonts w:ascii="Times New Roman" w:hAnsi="Times New Roman"/>
          <w:noProof/>
          <w:sz w:val="24"/>
          <w:szCs w:val="24"/>
          <w:lang w:val="en-US"/>
        </w:rPr>
        <w:t xml:space="preserve">(Knych </w:t>
      </w:r>
      <w:r w:rsidRPr="00A518CC">
        <w:rPr>
          <w:rFonts w:ascii="Times New Roman" w:hAnsi="Times New Roman"/>
          <w:i/>
          <w:noProof/>
          <w:sz w:val="24"/>
          <w:szCs w:val="24"/>
          <w:lang w:val="en-US"/>
        </w:rPr>
        <w:t>et al</w:t>
      </w:r>
      <w:r w:rsidRPr="00A518CC">
        <w:rPr>
          <w:rFonts w:ascii="Times New Roman" w:hAnsi="Times New Roman"/>
          <w:noProof/>
          <w:sz w:val="24"/>
          <w:szCs w:val="24"/>
          <w:lang w:val="en-US"/>
        </w:rPr>
        <w:t>., 2012)</w:t>
      </w:r>
      <w:r w:rsidR="00A2062B" w:rsidRPr="00A518CC">
        <w:rPr>
          <w:rFonts w:ascii="Times New Roman" w:hAnsi="Times New Roman"/>
          <w:sz w:val="24"/>
          <w:szCs w:val="24"/>
          <w:lang w:val="en-US"/>
        </w:rPr>
        <w:fldChar w:fldCharType="end"/>
      </w:r>
      <w:r w:rsidRPr="00A518CC">
        <w:rPr>
          <w:rFonts w:ascii="Times New Roman" w:hAnsi="Times New Roman"/>
          <w:sz w:val="24"/>
          <w:szCs w:val="24"/>
          <w:lang w:val="en-US"/>
        </w:rPr>
        <w:t xml:space="preserve"> other studies have described some pharmacodynamics effects of DET followed by administration of YOH </w:t>
      </w:r>
      <w:r w:rsidR="00A2062B" w:rsidRPr="00A518CC">
        <w:rPr>
          <w:rFonts w:ascii="Times New Roman" w:hAnsi="Times New Roman"/>
          <w:sz w:val="24"/>
          <w:szCs w:val="24"/>
          <w:lang w:val="en-US"/>
        </w:rPr>
        <w:fldChar w:fldCharType="begin" w:fldLock="1"/>
      </w:r>
      <w:r w:rsidRPr="00A518CC">
        <w:rPr>
          <w:rFonts w:ascii="Times New Roman" w:hAnsi="Times New Roman"/>
          <w:sz w:val="24"/>
          <w:szCs w:val="24"/>
          <w:lang w:val="en-US"/>
        </w:rPr>
        <w:instrText>ADDIN CSL_CITATION { "citationItems" : [ { "id" : "ITEM-1", "itemData" : { "DOI" : "10.1111/j.1467-2995.2012.00776.x", "ISSN" : "14672987", "PMID" : "23035904", "abstract" : "OBJECTIVE: To describe selected pharmacodynamic effects of detomidine and yohimbine when administered alone and in sequence.\\n\\nSTUDY DESIGN: Randomized crossover design.\\n\\nANIMALS: Nine healthy adult horses aged 9 \u00b1 4 years and weighing 561 \u00b1 56 kg.\\n\\nMETHODS: Three dose regimens were employed in the current study. 1) 0.03 mg kg(-1) detomidine IV, 2) 0.2 mg kg(-1) yohimbine IV and 3) 0.03 mg kg(-1) detomidine IV followed 15 minutes later by 0.2 mg kg(-1) yohimbine IV. Each horse received all three treatments with a minimum of 1 week between treatments. Blood samples were obtained and plasma analyzed for detomidine and yohimbine concentrations by liquid chromatography-mass spectrometry. Behavioral effects, heart rate and rhythm, glucose, packed cell volume and plasma proteins were monitored.\\n\\nRESULTS: Yohimbine rapidly reversed the sedative effects of detomidine in the horse. Additionally, yohimbine effectively returned heart rate and the percent of atrio-ventricular conduction disturbances to pre-detomidine values when administered 15 minutes post-detomidine administration. Plasma glucose was significantly increased following detomidine administration. The detomidine induced hyperglycemia was effectively reduced by yohimbine administration. Effects on packed cell volume and plasma proteins were variable.\\n\\nCONCLUSIONS AND CLINICAL RELEVANCE: Intravenous administration of yohimbine effectively reversed detomidine induced sedation, bradycardia, atrio-ventricular heart block and hyperglycemia.", "author" : [ { "dropping-particle" : "", "family" : "Dimaio Knych", "given" : "Heather K.", "non-dropping-particle" : "", "parse-names" : false, "suffix" : "" }, { "dropping-particle" : "", "family" : "Covarrubias", "given" : "Vanessa", "non-dropping-particle" : "", "parse-names" : false, "suffix" : "" }, { "dropping-particle" : "", "family" : "Steffey", "given" : "Eugene P.", "non-dropping-particle" : "", "parse-names" : false, "suffix" : "" } ], "container-title" : "Veterinary Anaesthesia and Analgesia", "id" : "ITEM-1", "issue" : "6", "issued" : { "date-parts" : [ [ "2012" ] ] }, "page" : "574-583", "title" : "Effect of yohimbine on detomidine induced changes in behavior, cardiac and blood parameters in the horse", "type" : "article-journal", "volume" : "39" }, "uris" : [ "http://www.mendeley.com/documents/?uuid=22ec7d39-3121-498d-b24c-8a19caec533c" ] } ], "mendeley" : { "formattedCitation" : "(Heather K. Dimaio Knych, Covarrubias, and Steffey 2012)", "plainTextFormattedCitation" : "(Heather K. Dimaio Knych, Covarrubias, and Steffey 2012)", "previouslyFormattedCitation" : "(Heather K. Dimaio Knych, Covarrubias, and Steffey 2012)" }, "properties" : { "noteIndex" : 0 }, "schema" : "https://github.com/citation-style-language/schema/raw/master/csl-citation.json" }</w:instrText>
      </w:r>
      <w:r w:rsidR="00A2062B" w:rsidRPr="00A518CC">
        <w:rPr>
          <w:rFonts w:ascii="Times New Roman" w:hAnsi="Times New Roman"/>
          <w:sz w:val="24"/>
          <w:szCs w:val="24"/>
          <w:lang w:val="en-US"/>
        </w:rPr>
        <w:fldChar w:fldCharType="separate"/>
      </w:r>
      <w:r w:rsidRPr="00A518CC">
        <w:rPr>
          <w:rFonts w:ascii="Times New Roman" w:hAnsi="Times New Roman"/>
          <w:noProof/>
          <w:sz w:val="24"/>
          <w:szCs w:val="24"/>
          <w:lang w:val="en-US"/>
        </w:rPr>
        <w:t>(Heather K. Dimaio Knych, Covarrubias, and Steffey 2012)</w:t>
      </w:r>
      <w:r w:rsidR="00A2062B" w:rsidRPr="00A518CC">
        <w:rPr>
          <w:rFonts w:ascii="Times New Roman" w:hAnsi="Times New Roman"/>
          <w:sz w:val="24"/>
          <w:szCs w:val="24"/>
          <w:lang w:val="en-US"/>
        </w:rPr>
        <w:fldChar w:fldCharType="end"/>
      </w:r>
      <w:r w:rsidRPr="00A518CC">
        <w:rPr>
          <w:rFonts w:ascii="Times New Roman" w:hAnsi="Times New Roman"/>
          <w:sz w:val="24"/>
          <w:szCs w:val="24"/>
          <w:lang w:val="en-US"/>
        </w:rPr>
        <w:t xml:space="preserve"> or have characterized behavioral parameters in horses sedated with these drug combinations.</w:t>
      </w:r>
    </w:p>
    <w:p w:rsidR="00B41C1C" w:rsidRPr="00A518CC" w:rsidRDefault="00B41C1C" w:rsidP="00B41C1C">
      <w:pPr>
        <w:spacing w:line="360" w:lineRule="auto"/>
        <w:rPr>
          <w:rFonts w:ascii="Times New Roman" w:hAnsi="Times New Roman"/>
          <w:sz w:val="24"/>
          <w:szCs w:val="24"/>
          <w:lang w:val="en-US"/>
        </w:rPr>
      </w:pPr>
      <w:r w:rsidRPr="00A518CC">
        <w:rPr>
          <w:rFonts w:ascii="Times New Roman" w:hAnsi="Times New Roman"/>
          <w:sz w:val="24"/>
          <w:szCs w:val="24"/>
          <w:lang w:val="en-US"/>
        </w:rPr>
        <w:lastRenderedPageBreak/>
        <w:t xml:space="preserve">We identified the following studies reporting treatments in horses were employed DET or YOH when administered alone as well as when administered in combination. Three experimental studies </w:t>
      </w:r>
      <w:r w:rsidRPr="00A518CC">
        <w:rPr>
          <w:rFonts w:ascii="Times New Roman" w:hAnsi="Times New Roman"/>
          <w:i/>
          <w:sz w:val="24"/>
          <w:szCs w:val="24"/>
          <w:lang w:val="en-US"/>
        </w:rPr>
        <w:t>in vivo</w:t>
      </w:r>
      <w:r w:rsidRPr="00A518CC">
        <w:rPr>
          <w:rFonts w:ascii="Times New Roman" w:hAnsi="Times New Roman"/>
          <w:sz w:val="24"/>
          <w:szCs w:val="24"/>
          <w:lang w:val="en-US"/>
        </w:rPr>
        <w:t xml:space="preserve"> with horses characterize pharmacokinetics, pharmacodynamics, sedative and clinical effects of DET. The DET was administered at different doses enterally or parenterally. DET doses of 0.03 mg kg</w:t>
      </w:r>
      <w:r w:rsidRPr="00A518CC">
        <w:rPr>
          <w:rFonts w:ascii="Times New Roman" w:hAnsi="Times New Roman"/>
          <w:sz w:val="24"/>
          <w:szCs w:val="24"/>
          <w:vertAlign w:val="superscript"/>
          <w:lang w:val="en-US"/>
        </w:rPr>
        <w:t>-1</w:t>
      </w:r>
      <w:r w:rsidRPr="00A518CC">
        <w:rPr>
          <w:rFonts w:ascii="Times New Roman" w:hAnsi="Times New Roman"/>
          <w:sz w:val="24"/>
          <w:szCs w:val="24"/>
          <w:lang w:val="en-US"/>
        </w:rPr>
        <w:t xml:space="preserve"> most frequently chosen for two reasons, it is the dose commonly used for sedation in horses and this dose has demonstrated effects on the minimum alveolar concentration of isoflurane in horses </w:t>
      </w:r>
      <w:r w:rsidR="00A2062B" w:rsidRPr="00A518CC">
        <w:rPr>
          <w:rFonts w:ascii="Times New Roman" w:hAnsi="Times New Roman"/>
          <w:sz w:val="24"/>
          <w:szCs w:val="24"/>
          <w:lang w:val="en-US"/>
        </w:rPr>
        <w:fldChar w:fldCharType="begin" w:fldLock="1"/>
      </w:r>
      <w:r w:rsidRPr="00A518CC">
        <w:rPr>
          <w:rFonts w:ascii="Times New Roman" w:hAnsi="Times New Roman"/>
          <w:sz w:val="24"/>
          <w:szCs w:val="24"/>
          <w:lang w:val="en-US"/>
        </w:rPr>
        <w:instrText>ADDIN CSL_CITATION { "citationItems" : [ { "id" : "ITEM-1", "itemData" : { "DOI" : "10.1111/j.1467-2995.2012.00776.x", "ISSN" : "14672987", "PMID" : "23035904", "abstract" : "OBJECTIVE: To describe selected pharmacodynamic effects of detomidine and yohimbine when administered alone and in sequence.\\n\\nSTUDY DESIGN: Randomized crossover design.\\n\\nANIMALS: Nine healthy adult horses aged 9 \u00b1 4 years and weighing 561 \u00b1 56 kg.\\n\\nMETHODS: Three dose regimens were employed in the current study. 1) 0.03 mg kg(-1) detomidine IV, 2) 0.2 mg kg(-1) yohimbine IV and 3) 0.03 mg kg(-1) detomidine IV followed 15 minutes later by 0.2 mg kg(-1) yohimbine IV. Each horse received all three treatments with a minimum of 1 week between treatments. Blood samples were obtained and plasma analyzed for detomidine and yohimbine concentrations by liquid chromatography-mass spectrometry. Behavioral effects, heart rate and rhythm, glucose, packed cell volume and plasma proteins were monitored.\\n\\nRESULTS: Yohimbine rapidly reversed the sedative effects of detomidine in the horse. Additionally, yohimbine effectively returned heart rate and the percent of atrio-ventricular conduction disturbances to pre-detomidine values when administered 15 minutes post-detomidine administration. Plasma glucose was significantly increased following detomidine administration. The detomidine induced hyperglycemia was effectively reduced by yohimbine administration. Effects on packed cell volume and plasma proteins were variable.\\n\\nCONCLUSIONS AND CLINICAL RELEVANCE: Intravenous administration of yohimbine effectively reversed detomidine induced sedation, bradycardia, atrio-ventricular heart block and hyperglycemia.", "author" : [ { "dropping-particle" : "", "family" : "Dimaio Knych", "given" : "Heather K.", "non-dropping-particle" : "", "parse-names" : false, "suffix" : "" }, { "dropping-particle" : "", "family" : "Covarrubias", "given" : "Vanessa", "non-dropping-particle" : "", "parse-names" : false, "suffix" : "" }, { "dropping-particle" : "", "family" : "Steffey", "given" : "Eugene P.", "non-dropping-particle" : "", "parse-names" : false, "suffix" : "" } ], "container-title" : "Veterinary Anaesthesia and Analgesia", "id" : "ITEM-1", "issue" : "6", "issued" : { "date-parts" : [ [ "2012" ] ] }, "page" : "574-583", "title" : "Effect of yohimbine on detomidine induced changes in behavior, cardiac and blood parameters in the horse", "type" : "article-journal", "volume" : "39" }, "uris" : [ "http://www.mendeley.com/documents/?uuid=22ec7d39-3121-498d-b24c-8a19caec533c" ] } ], "mendeley" : { "formattedCitation" : "(Heather K. Dimaio Knych, Covarrubias, and Steffey 2012)", "plainTextFormattedCitation" : "(Heather K. Dimaio Knych, Covarrubias, and Steffey 2012)", "previouslyFormattedCitation" : "(Heather K. Dimaio Knych, Covarrubias, and Steffey 2012)" }, "properties" : { "noteIndex" : 0 }, "schema" : "https://github.com/citation-style-language/schema/raw/master/csl-citation.json" }</w:instrText>
      </w:r>
      <w:r w:rsidR="00A2062B" w:rsidRPr="00A518CC">
        <w:rPr>
          <w:rFonts w:ascii="Times New Roman" w:hAnsi="Times New Roman"/>
          <w:sz w:val="24"/>
          <w:szCs w:val="24"/>
          <w:lang w:val="en-US"/>
        </w:rPr>
        <w:fldChar w:fldCharType="separate"/>
      </w:r>
      <w:r w:rsidRPr="00A518CC">
        <w:rPr>
          <w:rFonts w:ascii="Times New Roman" w:hAnsi="Times New Roman"/>
          <w:noProof/>
          <w:sz w:val="24"/>
          <w:szCs w:val="24"/>
          <w:lang w:val="en-US"/>
        </w:rPr>
        <w:t xml:space="preserve">(Dimaio Knych </w:t>
      </w:r>
      <w:r w:rsidRPr="00A518CC">
        <w:rPr>
          <w:rFonts w:ascii="Times New Roman" w:hAnsi="Times New Roman"/>
          <w:i/>
          <w:noProof/>
          <w:sz w:val="24"/>
          <w:szCs w:val="24"/>
          <w:lang w:val="en-US"/>
        </w:rPr>
        <w:t>et al</w:t>
      </w:r>
      <w:r w:rsidRPr="00A518CC">
        <w:rPr>
          <w:rFonts w:ascii="Times New Roman" w:hAnsi="Times New Roman"/>
          <w:noProof/>
          <w:sz w:val="24"/>
          <w:szCs w:val="24"/>
          <w:lang w:val="en-US"/>
        </w:rPr>
        <w:t>., 2012)</w:t>
      </w:r>
      <w:r w:rsidR="00A2062B" w:rsidRPr="00A518CC">
        <w:rPr>
          <w:rFonts w:ascii="Times New Roman" w:hAnsi="Times New Roman"/>
          <w:sz w:val="24"/>
          <w:szCs w:val="24"/>
          <w:lang w:val="en-US"/>
        </w:rPr>
        <w:fldChar w:fldCharType="end"/>
      </w:r>
      <w:r w:rsidRPr="00A518CC">
        <w:rPr>
          <w:rFonts w:ascii="Times New Roman" w:hAnsi="Times New Roman"/>
          <w:sz w:val="24"/>
          <w:szCs w:val="24"/>
          <w:lang w:val="en-US"/>
        </w:rPr>
        <w:t>. However studies with this drug do not use this suggested dose. The first study characterized the pharmacokinetics of a novel DET gel product after sublingual (SL)</w:t>
      </w:r>
      <w:r w:rsidRPr="00A518CC">
        <w:rPr>
          <w:rStyle w:val="Refdenotaalpie"/>
          <w:rFonts w:ascii="Times New Roman" w:hAnsi="Times New Roman"/>
          <w:sz w:val="24"/>
          <w:szCs w:val="24"/>
          <w:lang w:val="en-US"/>
        </w:rPr>
        <w:footnoteReference w:id="9"/>
      </w:r>
      <w:r w:rsidRPr="00A518CC">
        <w:rPr>
          <w:rFonts w:ascii="Times New Roman" w:hAnsi="Times New Roman"/>
          <w:sz w:val="24"/>
          <w:szCs w:val="24"/>
          <w:lang w:val="en-US"/>
        </w:rPr>
        <w:t xml:space="preserve"> administration indicated slight differences in absorption and plasma DET concentrations. Carboxydetomidine and hydroxydetomidine were detected in urine samples. The elimination of DET is differing between sedentary and fit horses. For the second experiment, AUC</w:t>
      </w:r>
      <w:r w:rsidRPr="00A518CC">
        <w:rPr>
          <w:rStyle w:val="Refdenotaalpie"/>
          <w:rFonts w:ascii="Times New Roman" w:hAnsi="Times New Roman"/>
          <w:sz w:val="24"/>
          <w:szCs w:val="24"/>
          <w:lang w:val="en-US"/>
        </w:rPr>
        <w:footnoteReference w:id="10"/>
      </w:r>
      <w:r w:rsidRPr="00A518CC">
        <w:rPr>
          <w:rFonts w:ascii="Times New Roman" w:hAnsi="Times New Roman"/>
          <w:sz w:val="24"/>
          <w:szCs w:val="24"/>
          <w:lang w:val="en-US"/>
        </w:rPr>
        <w:t xml:space="preserve"> and Cmax</w:t>
      </w:r>
      <w:r w:rsidRPr="00A518CC">
        <w:rPr>
          <w:rStyle w:val="Refdenotaalpie"/>
          <w:rFonts w:ascii="Times New Roman" w:hAnsi="Times New Roman"/>
          <w:sz w:val="24"/>
          <w:szCs w:val="24"/>
          <w:lang w:val="en-US"/>
        </w:rPr>
        <w:footnoteReference w:id="11"/>
      </w:r>
      <w:r w:rsidRPr="00A518CC">
        <w:rPr>
          <w:rFonts w:ascii="Times New Roman" w:hAnsi="Times New Roman"/>
          <w:sz w:val="24"/>
          <w:szCs w:val="24"/>
          <w:lang w:val="en-US"/>
        </w:rPr>
        <w:t xml:space="preserve"> show that IM and SL routes of administration were not bioequivalent. The onset of sedation was very fast IV administration, the time to the onset of sedation was very longer after SL and IM administration. Part of the gel is likely to be swallowed and, due to extensive first-pass metabolism, does not reach the systemic circulation. In two experiments no adverse effects were observed in horses that were treated via SL. Other study showed the parameters pharmacokinetics of DET where the clearance was considerably faster and the volume of distribution markedly higher respected to previous reports in the some specie (Table 1).</w:t>
      </w:r>
    </w:p>
    <w:p w:rsidR="00B41C1C" w:rsidRPr="00A518CC" w:rsidRDefault="00B41C1C" w:rsidP="00B41C1C">
      <w:pPr>
        <w:spacing w:line="360" w:lineRule="auto"/>
        <w:rPr>
          <w:rFonts w:ascii="Times New Roman" w:hAnsi="Times New Roman"/>
          <w:b/>
          <w:sz w:val="24"/>
          <w:szCs w:val="24"/>
          <w:lang w:val="en-US"/>
        </w:rPr>
      </w:pPr>
    </w:p>
    <w:p w:rsidR="00B41C1C" w:rsidRPr="00A518CC" w:rsidRDefault="00B41C1C" w:rsidP="00B41C1C">
      <w:pPr>
        <w:spacing w:line="360" w:lineRule="auto"/>
        <w:rPr>
          <w:rFonts w:ascii="Times New Roman" w:hAnsi="Times New Roman"/>
          <w:sz w:val="24"/>
          <w:szCs w:val="24"/>
          <w:lang w:val="en-US"/>
        </w:rPr>
      </w:pPr>
      <w:proofErr w:type="gramStart"/>
      <w:r w:rsidRPr="00A518CC">
        <w:rPr>
          <w:rFonts w:ascii="Times New Roman" w:hAnsi="Times New Roman"/>
          <w:b/>
          <w:sz w:val="24"/>
          <w:szCs w:val="24"/>
          <w:lang w:val="en-US"/>
        </w:rPr>
        <w:t>Table 1.</w:t>
      </w:r>
      <w:proofErr w:type="gramEnd"/>
      <w:r w:rsidRPr="00A518CC">
        <w:rPr>
          <w:rFonts w:ascii="Times New Roman" w:hAnsi="Times New Roman"/>
          <w:sz w:val="24"/>
          <w:szCs w:val="24"/>
          <w:lang w:val="en-US"/>
        </w:rPr>
        <w:t xml:space="preserve"> </w:t>
      </w:r>
      <w:proofErr w:type="gramStart"/>
      <w:r w:rsidRPr="00A518CC">
        <w:rPr>
          <w:rFonts w:ascii="Times New Roman" w:hAnsi="Times New Roman"/>
          <w:sz w:val="24"/>
          <w:szCs w:val="24"/>
          <w:lang w:val="en-US"/>
        </w:rPr>
        <w:t>Effects of detomidine in horses on clinics, pharmacodynamics or pharmacokinetics parameters.</w:t>
      </w:r>
      <w:proofErr w:type="gramEnd"/>
    </w:p>
    <w:p w:rsidR="00B41C1C" w:rsidRPr="00A518CC" w:rsidRDefault="00B41C1C" w:rsidP="00B41C1C">
      <w:pPr>
        <w:spacing w:line="360" w:lineRule="auto"/>
        <w:rPr>
          <w:rFonts w:ascii="Times New Roman" w:hAnsi="Times New Roman"/>
          <w:sz w:val="24"/>
          <w:szCs w:val="24"/>
          <w:lang w:val="en-US"/>
        </w:rPr>
      </w:pPr>
      <w:r w:rsidRPr="00A518CC">
        <w:rPr>
          <w:rFonts w:ascii="Times New Roman" w:hAnsi="Times New Roman"/>
          <w:sz w:val="24"/>
          <w:szCs w:val="24"/>
          <w:lang w:val="en-US"/>
        </w:rPr>
        <w:t xml:space="preserve">Three experimental studies characterized the pharmacokinetics or pharmacodynamics profile and determine the half-life of YOH when administered to horses. The studies were conducted in a randomized fashion at different doses intravenously where in each horse received 0.075, 0.1, 0.12, 0.15, 0.2 or 0.4 mg/Kg of YOH. Mean plasma YOH concentration in first 15 minutes following IV administration of 0.4 mg/Kg YOH to horses </w:t>
      </w:r>
      <w:r w:rsidRPr="00A518CC">
        <w:rPr>
          <w:rFonts w:ascii="Times New Roman" w:hAnsi="Times New Roman"/>
          <w:sz w:val="24"/>
          <w:szCs w:val="24"/>
          <w:lang w:val="en-US"/>
        </w:rPr>
        <w:lastRenderedPageBreak/>
        <w:t xml:space="preserve">corresponds to 105 or </w:t>
      </w:r>
      <w:proofErr w:type="gramStart"/>
      <w:r w:rsidRPr="00A518CC">
        <w:rPr>
          <w:rFonts w:ascii="Times New Roman" w:hAnsi="Times New Roman"/>
          <w:sz w:val="24"/>
          <w:szCs w:val="24"/>
          <w:lang w:val="en-US"/>
        </w:rPr>
        <w:t>220 ng/mL (Table 2)</w:t>
      </w:r>
      <w:proofErr w:type="gramEnd"/>
      <w:r w:rsidRPr="00A518CC">
        <w:rPr>
          <w:rFonts w:ascii="Times New Roman" w:hAnsi="Times New Roman"/>
          <w:sz w:val="24"/>
          <w:szCs w:val="24"/>
          <w:lang w:val="en-US"/>
        </w:rPr>
        <w:t>. Immediately following administration, some horses showed signs of sedation persisted for approximately 1 h, as indicated by a slight drop in head height (chin to ground distance). Gastro intestinal (GI) sounds increased in most horses at all doses studied, nevertheless a dose dependent response was evident with GI sounds.</w:t>
      </w:r>
    </w:p>
    <w:p w:rsidR="00B41C1C" w:rsidRPr="00A518CC" w:rsidRDefault="00B41C1C" w:rsidP="00B41C1C">
      <w:pPr>
        <w:spacing w:line="360" w:lineRule="auto"/>
        <w:rPr>
          <w:rFonts w:ascii="Times New Roman" w:hAnsi="Times New Roman"/>
          <w:sz w:val="24"/>
          <w:szCs w:val="24"/>
          <w:lang w:val="en-US"/>
        </w:rPr>
      </w:pPr>
    </w:p>
    <w:p w:rsidR="00B41C1C" w:rsidRPr="00A518CC" w:rsidRDefault="00B41C1C" w:rsidP="00B41C1C">
      <w:pPr>
        <w:spacing w:line="360" w:lineRule="auto"/>
        <w:rPr>
          <w:rFonts w:ascii="Times New Roman" w:hAnsi="Times New Roman"/>
          <w:sz w:val="24"/>
          <w:szCs w:val="24"/>
          <w:lang w:val="en-US"/>
        </w:rPr>
      </w:pPr>
      <w:proofErr w:type="gramStart"/>
      <w:r w:rsidRPr="00A518CC">
        <w:rPr>
          <w:rFonts w:ascii="Times New Roman" w:hAnsi="Times New Roman"/>
          <w:b/>
          <w:sz w:val="24"/>
          <w:szCs w:val="24"/>
          <w:lang w:val="en-US"/>
        </w:rPr>
        <w:t>Table 2.</w:t>
      </w:r>
      <w:proofErr w:type="gramEnd"/>
      <w:r w:rsidRPr="00A518CC">
        <w:rPr>
          <w:rFonts w:ascii="Times New Roman" w:hAnsi="Times New Roman"/>
          <w:sz w:val="24"/>
          <w:szCs w:val="24"/>
          <w:lang w:val="en-US"/>
        </w:rPr>
        <w:t xml:space="preserve"> </w:t>
      </w:r>
      <w:proofErr w:type="gramStart"/>
      <w:r w:rsidRPr="00A518CC">
        <w:rPr>
          <w:rFonts w:ascii="Times New Roman" w:hAnsi="Times New Roman"/>
          <w:sz w:val="24"/>
          <w:szCs w:val="24"/>
          <w:lang w:val="en-US"/>
        </w:rPr>
        <w:t>Effects of yohimbine in horses on clinics, pharmacodynamics or pharmacokinetics parameters.</w:t>
      </w:r>
      <w:proofErr w:type="gramEnd"/>
    </w:p>
    <w:p w:rsidR="00B41C1C" w:rsidRPr="00A518CC" w:rsidRDefault="00B41C1C" w:rsidP="00B41C1C">
      <w:pPr>
        <w:spacing w:line="360" w:lineRule="auto"/>
        <w:rPr>
          <w:rFonts w:ascii="Times New Roman" w:hAnsi="Times New Roman"/>
          <w:sz w:val="24"/>
          <w:szCs w:val="24"/>
          <w:lang w:val="en-US"/>
        </w:rPr>
      </w:pPr>
      <w:r w:rsidRPr="00A518CC">
        <w:rPr>
          <w:rFonts w:ascii="Times New Roman" w:hAnsi="Times New Roman"/>
          <w:sz w:val="24"/>
          <w:szCs w:val="24"/>
          <w:lang w:val="en-US"/>
        </w:rPr>
        <w:t>Another three investigations described on the pharmacokinetics or physiologic effects of the YOH when administered subsequent to DET to reverse the behavioural and physiologic effects of DET. The experimental studies with DET in horse showed that DET has been absorbed when administered route SL, but are less absorbed than when given IM. In those studies, they noted important implications, both from therapeutics and regulatory prospective. They demonstrated intravenously administered DET is effective in sedation, but with effects negatives cardiovascular (Table 3).</w:t>
      </w:r>
    </w:p>
    <w:p w:rsidR="00B41C1C" w:rsidRPr="00A518CC" w:rsidRDefault="00B41C1C" w:rsidP="00B41C1C">
      <w:pPr>
        <w:spacing w:line="360" w:lineRule="auto"/>
        <w:rPr>
          <w:rFonts w:ascii="Times New Roman" w:hAnsi="Times New Roman"/>
          <w:sz w:val="24"/>
          <w:szCs w:val="24"/>
          <w:lang w:val="en-US"/>
        </w:rPr>
      </w:pPr>
    </w:p>
    <w:p w:rsidR="00B41C1C" w:rsidRPr="00A518CC" w:rsidRDefault="00B41C1C" w:rsidP="00B41C1C">
      <w:pPr>
        <w:spacing w:line="360" w:lineRule="auto"/>
        <w:rPr>
          <w:rFonts w:ascii="Times New Roman" w:hAnsi="Times New Roman"/>
          <w:sz w:val="24"/>
          <w:szCs w:val="24"/>
          <w:lang w:val="en-US"/>
        </w:rPr>
      </w:pPr>
      <w:proofErr w:type="gramStart"/>
      <w:r w:rsidRPr="00A518CC">
        <w:rPr>
          <w:rFonts w:ascii="Times New Roman" w:hAnsi="Times New Roman"/>
          <w:b/>
          <w:sz w:val="24"/>
          <w:szCs w:val="24"/>
          <w:lang w:val="en-US"/>
        </w:rPr>
        <w:t>Table 3.</w:t>
      </w:r>
      <w:proofErr w:type="gramEnd"/>
      <w:r w:rsidRPr="00A518CC">
        <w:rPr>
          <w:rFonts w:ascii="Times New Roman" w:hAnsi="Times New Roman"/>
          <w:sz w:val="24"/>
          <w:szCs w:val="24"/>
          <w:lang w:val="en-US"/>
        </w:rPr>
        <w:t xml:space="preserve"> </w:t>
      </w:r>
      <w:proofErr w:type="gramStart"/>
      <w:r w:rsidRPr="00A518CC">
        <w:rPr>
          <w:rFonts w:ascii="Times New Roman" w:hAnsi="Times New Roman"/>
          <w:sz w:val="24"/>
          <w:szCs w:val="24"/>
          <w:lang w:val="en-US"/>
        </w:rPr>
        <w:t>Effects of yohimbine on changes in behavior, pharmacodynamics or pharmacokinetics parameters of detomidine in the horse.</w:t>
      </w:r>
      <w:proofErr w:type="gramEnd"/>
    </w:p>
    <w:p w:rsidR="00B41C1C" w:rsidRPr="00A518CC" w:rsidRDefault="00B41C1C" w:rsidP="00B41C1C">
      <w:pPr>
        <w:spacing w:line="360" w:lineRule="auto"/>
        <w:rPr>
          <w:rFonts w:ascii="Times New Roman" w:hAnsi="Times New Roman"/>
          <w:sz w:val="24"/>
          <w:szCs w:val="24"/>
          <w:lang w:val="en-US"/>
        </w:rPr>
      </w:pPr>
    </w:p>
    <w:p w:rsidR="00B41C1C" w:rsidRPr="00A518CC" w:rsidRDefault="00B41C1C" w:rsidP="00B41C1C">
      <w:pPr>
        <w:spacing w:line="360" w:lineRule="auto"/>
        <w:rPr>
          <w:rFonts w:ascii="Times New Roman" w:hAnsi="Times New Roman"/>
          <w:sz w:val="24"/>
          <w:szCs w:val="24"/>
          <w:lang w:val="en-US"/>
        </w:rPr>
      </w:pPr>
      <w:r w:rsidRPr="00A518CC">
        <w:rPr>
          <w:rFonts w:ascii="Times New Roman" w:hAnsi="Times New Roman"/>
          <w:sz w:val="24"/>
          <w:szCs w:val="24"/>
          <w:lang w:val="en-US"/>
        </w:rPr>
        <w:t>The behavioral effects of the alpha-2 receptor antagonist, YOH appears to be highly variable between horses. Regardless of the variability in response when administered alone, YOH was effective in resolving naturally occurring as well as DET induced AV conduction disturbances.</w:t>
      </w:r>
    </w:p>
    <w:p w:rsidR="00B41C1C" w:rsidRPr="00A518CC" w:rsidRDefault="00B41C1C" w:rsidP="00B41C1C">
      <w:pPr>
        <w:spacing w:line="360" w:lineRule="auto"/>
        <w:rPr>
          <w:rFonts w:ascii="Times New Roman" w:hAnsi="Times New Roman"/>
          <w:sz w:val="24"/>
          <w:szCs w:val="24"/>
          <w:lang w:val="en-GB"/>
        </w:rPr>
      </w:pPr>
    </w:p>
    <w:p w:rsidR="00B41C1C" w:rsidRPr="00A518CC" w:rsidRDefault="00B41C1C" w:rsidP="00B41C1C">
      <w:pPr>
        <w:spacing w:line="360" w:lineRule="auto"/>
        <w:outlineLvl w:val="0"/>
        <w:rPr>
          <w:rFonts w:ascii="Times New Roman" w:hAnsi="Times New Roman"/>
          <w:b/>
          <w:sz w:val="24"/>
          <w:szCs w:val="24"/>
          <w:lang w:val="en-GB"/>
        </w:rPr>
      </w:pPr>
      <w:r w:rsidRPr="00A518CC">
        <w:rPr>
          <w:rFonts w:ascii="Times New Roman" w:hAnsi="Times New Roman"/>
          <w:b/>
          <w:sz w:val="24"/>
          <w:szCs w:val="24"/>
          <w:lang w:val="en-GB"/>
        </w:rPr>
        <w:t xml:space="preserve">Discussion </w:t>
      </w:r>
    </w:p>
    <w:p w:rsidR="00B41C1C" w:rsidRPr="00A518CC" w:rsidRDefault="00B41C1C" w:rsidP="00B41C1C">
      <w:pPr>
        <w:spacing w:line="360" w:lineRule="auto"/>
        <w:rPr>
          <w:rFonts w:ascii="Times New Roman" w:hAnsi="Times New Roman"/>
          <w:sz w:val="24"/>
          <w:szCs w:val="24"/>
          <w:lang w:val="en-US"/>
        </w:rPr>
      </w:pPr>
      <w:r w:rsidRPr="00A518CC">
        <w:rPr>
          <w:rFonts w:ascii="Times New Roman" w:hAnsi="Times New Roman"/>
          <w:sz w:val="24"/>
          <w:szCs w:val="24"/>
          <w:lang w:val="en-US"/>
        </w:rPr>
        <w:t xml:space="preserve">In relation to administration of DET in horses, it has been shown individual variability in pharmacokinetics parameters, can be attributed to factors such as dose, loss of drug, dose lost via expulsion from the mouth or swallowing, or DET metabolism by enzymes in the GI tract wall or first-pass effects </w:t>
      </w:r>
      <w:r w:rsidR="00A2062B" w:rsidRPr="00A518CC">
        <w:rPr>
          <w:rFonts w:ascii="Times New Roman" w:hAnsi="Times New Roman"/>
          <w:sz w:val="24"/>
          <w:szCs w:val="24"/>
          <w:lang w:val="en-US"/>
        </w:rPr>
        <w:fldChar w:fldCharType="begin" w:fldLock="1"/>
      </w:r>
      <w:r w:rsidRPr="00A518CC">
        <w:rPr>
          <w:rFonts w:ascii="Times New Roman" w:hAnsi="Times New Roman"/>
          <w:sz w:val="24"/>
          <w:szCs w:val="24"/>
          <w:lang w:val="en-US"/>
        </w:rPr>
        <w:instrText>ADDIN CSL_CITATION { "citationItems" : [ { "id" : "ITEM-1", "itemData" : { "DOI" : "10.2460/ajvr.72.10.1378", "ISSN" : "00029645", "PMID" : "21962281", "abstract" : "OBJECTIVE: To characterize pharmacokinetics and pharmacodynamics of detomidine gel administered sublingually in accordance with label instructions to establish appropriate withdrawal guidelines for horses before competition. ANIMALS: 12 adult racehorses. PROCEDURES: Horses received a single sublingual administration of 0.04 mg of detomidine/kg. Blood samples were collected before and up to 72 hours after drug administration. Urine samples were collected for 5 days after detomidine administration. Plasma and urine samples were analyzed via liquid chromatography-mass spectrometry, and resulting data were analyzed by use of noncompartmental analysis. Chin-to-ground distance, heart rate and rhythm, glucose concentration, PCV, and plasma protein concentration were also assessed following detomidine administration. RESULTS: Mean \u00b1 SD terminal elimination half-life of detomidine was 1.5 \u00b1 1 hours. Metabolite concentrations were below the limit of detection (0.02, 0.1, and 0.5 ng/mL for detomidine, carboxydetomidine, and hydroxydetomidine, respectively) in plasma by 24 hours. Concentrations of detomidine and its metabolites were below the limit of detection (0.05 ng/mL for detomidine and 0.10 ng/mL for carboxydetomidine and hydroxydetomidine) in urine by 3 days. All horses had various degrees of sedation after detomidine administration. Time of onset was \u2264 40 minutes, and duration of sedation was approximately 2 hours. Significant decreases, relative to values at time 0, were detected for chin-to-ground distance and heart rate. There was an increased incidence and exacerbation of preexisting atrioventricular blocks after detomidine administration. CONCLUSIONS AND CLINICAL RELEVANCE: A 48-hour and 3-day withdrawal period for detection in plasma and urine samples, respectively, should be adopted for sublingual administration of detomidine gel.", "author" : [ { "dropping-particle" : "", "family" : "Maio Knych", "given" : "Heather K.", "non-dropping-particle" : "di", "parse-names" : false, "suffix" : "" }, { "dropping-particle" : "", "family" : "Stanley", "given" : "Scott D.", "non-dropping-particle" : "", "parse-names" : false, "suffix" : "" } ], "container-title" : "American Journal of Veterinary Research", "id" : "ITEM-1", "issue" : "10", "issued" : { "date-parts" : [ [ "2011" ] ] }, "page" : "1378-1385", "title" : "Pharmacokinetics and pharmacodynamics of detomidine following sublingual administration to horses", "type" : "article-journal", "volume" : "72" }, "uris" : [ "http://www.mendeley.com/documents/?uuid=e5f10679-ce62-4a44-a1cc-fd136dd0b220" ] } ], "mendeley" : { "formattedCitation" : "(di Maio Knych and Stanley 2011)", "plainTextFormattedCitation" : "(di Maio Knych and Stanley 2011)", "previouslyFormattedCitation" : "(di Maio Knych and Stanley 2011)" }, "properties" : { "noteIndex" : 0 }, "schema" : "https://github.com/citation-style-language/schema/raw/master/csl-citation.json" }</w:instrText>
      </w:r>
      <w:r w:rsidR="00A2062B" w:rsidRPr="00A518CC">
        <w:rPr>
          <w:rFonts w:ascii="Times New Roman" w:hAnsi="Times New Roman"/>
          <w:sz w:val="24"/>
          <w:szCs w:val="24"/>
          <w:lang w:val="en-US"/>
        </w:rPr>
        <w:fldChar w:fldCharType="separate"/>
      </w:r>
      <w:r w:rsidRPr="00A518CC">
        <w:rPr>
          <w:rFonts w:ascii="Times New Roman" w:hAnsi="Times New Roman"/>
          <w:noProof/>
          <w:sz w:val="24"/>
          <w:szCs w:val="24"/>
          <w:lang w:val="en-US"/>
        </w:rPr>
        <w:t>(di Maio Knych &amp; Stanley, 2011)</w:t>
      </w:r>
      <w:r w:rsidR="00A2062B" w:rsidRPr="00A518CC">
        <w:rPr>
          <w:rFonts w:ascii="Times New Roman" w:hAnsi="Times New Roman"/>
          <w:sz w:val="24"/>
          <w:szCs w:val="24"/>
          <w:lang w:val="en-US"/>
        </w:rPr>
        <w:fldChar w:fldCharType="end"/>
      </w:r>
      <w:r w:rsidRPr="00A518CC">
        <w:rPr>
          <w:rFonts w:ascii="Times New Roman" w:hAnsi="Times New Roman"/>
          <w:sz w:val="24"/>
          <w:szCs w:val="24"/>
          <w:lang w:val="en-US"/>
        </w:rPr>
        <w:t xml:space="preserve">. </w:t>
      </w:r>
      <w:r w:rsidRPr="00A518CC">
        <w:rPr>
          <w:rFonts w:ascii="Times New Roman" w:hAnsi="Times New Roman"/>
          <w:sz w:val="24"/>
          <w:szCs w:val="24"/>
          <w:lang w:val="en-GB"/>
        </w:rPr>
        <w:t xml:space="preserve">DET is a lipophilic weak base with an acid dissociation constant (Pka) of 7.2, thus absorption is favoured in an alkaline environment mouth and small intestine included. Although pH of the oral cavity in </w:t>
      </w:r>
      <w:r w:rsidRPr="00A518CC">
        <w:rPr>
          <w:rFonts w:ascii="Times New Roman" w:hAnsi="Times New Roman"/>
          <w:sz w:val="24"/>
          <w:szCs w:val="24"/>
          <w:lang w:val="en-GB"/>
        </w:rPr>
        <w:lastRenderedPageBreak/>
        <w:t xml:space="preserve">horses tends to be alkaline, </w:t>
      </w:r>
      <w:proofErr w:type="gramStart"/>
      <w:r w:rsidRPr="00A518CC">
        <w:rPr>
          <w:rFonts w:ascii="Times New Roman" w:hAnsi="Times New Roman"/>
          <w:sz w:val="24"/>
          <w:szCs w:val="24"/>
          <w:lang w:val="en-GB"/>
        </w:rPr>
        <w:t>which makes it possible that slight differences.</w:t>
      </w:r>
      <w:proofErr w:type="gramEnd"/>
      <w:r w:rsidRPr="00A518CC">
        <w:rPr>
          <w:rFonts w:ascii="Times New Roman" w:hAnsi="Times New Roman"/>
          <w:sz w:val="24"/>
          <w:szCs w:val="24"/>
          <w:lang w:val="en-GB"/>
        </w:rPr>
        <w:t xml:space="preserve"> </w:t>
      </w:r>
      <w:r w:rsidRPr="00A518CC">
        <w:rPr>
          <w:rFonts w:ascii="Times New Roman" w:hAnsi="Times New Roman"/>
          <w:sz w:val="24"/>
          <w:szCs w:val="24"/>
          <w:lang w:val="en-US"/>
        </w:rPr>
        <w:t xml:space="preserve">SL administration of DET gel was well tolerated by horses, barley perceptible diffuse erythema of oral mucous membranes was reported in horses 4 to 6 h after treatment </w:t>
      </w:r>
      <w:r w:rsidR="00A2062B" w:rsidRPr="00A518CC">
        <w:rPr>
          <w:rFonts w:ascii="Times New Roman" w:hAnsi="Times New Roman"/>
          <w:sz w:val="24"/>
          <w:szCs w:val="24"/>
          <w:lang w:val="en-US"/>
        </w:rPr>
        <w:fldChar w:fldCharType="begin" w:fldLock="1"/>
      </w:r>
      <w:r w:rsidRPr="00A518CC">
        <w:rPr>
          <w:rFonts w:ascii="Times New Roman" w:hAnsi="Times New Roman"/>
          <w:sz w:val="24"/>
          <w:szCs w:val="24"/>
          <w:lang w:val="en-US"/>
        </w:rPr>
        <w:instrText>ADDIN CSL_CITATION { "citationItems" : [ { "id" : "ITEM-1", "itemData" : { "DOI" : "10.1111/j.1365-2885.2010.01193.x", "ISSN" : "01407783", "PMID" : "21219348", "abstract" : "The objective of the study was to determine the absorption, bioavailability and sedative effect of detomidine administered to horses as an oromucosal gel compared to intravenous and intramuscular administration of detomidine injectable solution. The study was open and randomized, with three sequences crossover design. Nine healthy horses were given 40\u2003\u03bcg/kg detomidine intravenously, intramuscularly or administered under the tongue with a 7-day wash-out period between treatments. Blood samples were collected before and after drug administration for the measurement of detomidine concentrations in serum. The effects of the route of administration on heart rate and rhythm were evaluated and the depth of sedation assessed. Mean (\u00b1SD) bioavailability of detomidine was 22% (\u00b15.3%) after sublingual administration and 38.2% (\u00b17.9%) after intramuscular administration. The sedative effects correlated with detomidine concentrations regardless of the route of administration. We conclude that less detomidine is absorbed when given sublingually than when given intramuscularly, because part of it does not reach the circulation. Sublingual administration of detomidine oromucosal gel at 40\u2003\u03bcg/kg produces safe sedation in horses. Slow absorption leads to fewer and less pronounced adverse effects than the more rapid absorption after intramuscular injection.", "author" : [ { "dropping-particle" : "", "family" : "Kaukinen", "given" : "H.", "non-dropping-particle" : "", "parse-names" : false, "suffix" : "" }, { "dropping-particle" : "", "family" : "Aspegr\u00e9n", "given" : "J.", "non-dropping-particle" : "", "parse-names" : false, "suffix" : "" }, { "dropping-particle" : "", "family" : "Hyypp\u00e4", "given" : "S.", "non-dropping-particle" : "", "parse-names" : false, "suffix" : "" }, { "dropping-particle" : "", "family" : "Tamm", "given" : "L.", "non-dropping-particle" : "", "parse-names" : false, "suffix" : "" }, { "dropping-particle" : "", "family" : "Salonen", "given" : "J. S.", "non-dropping-particle" : "", "parse-names" : false, "suffix" : "" } ], "container-title" : "Journal of Veterinary Pharmacology and Therapeutics", "id" : "ITEM-1", "issue" : "1", "issued" : { "date-parts" : [ [ "2011" ] ] }, "page" : "76-81", "title" : "Bioavailability of detomidine administered sublingually to horses as an oromucosal gel", "type" : "article-journal", "volume" : "34" }, "uris" : [ "http://www.mendeley.com/documents/?uuid=59a2b87e-6103-4f35-a43d-3052d0e65845" ] } ], "mendeley" : { "formattedCitation" : "(Kaukinen et al. 2011)", "plainTextFormattedCitation" : "(Kaukinen et al. 2011)", "previouslyFormattedCitation" : "(Kaukinen et al. 2011)" }, "properties" : { "noteIndex" : 0 }, "schema" : "https://github.com/citation-style-language/schema/raw/master/csl-citation.json" }</w:instrText>
      </w:r>
      <w:r w:rsidR="00A2062B" w:rsidRPr="00A518CC">
        <w:rPr>
          <w:rFonts w:ascii="Times New Roman" w:hAnsi="Times New Roman"/>
          <w:sz w:val="24"/>
          <w:szCs w:val="24"/>
          <w:lang w:val="en-US"/>
        </w:rPr>
        <w:fldChar w:fldCharType="separate"/>
      </w:r>
      <w:r w:rsidRPr="00A518CC">
        <w:rPr>
          <w:rFonts w:ascii="Times New Roman" w:hAnsi="Times New Roman"/>
          <w:noProof/>
          <w:sz w:val="24"/>
          <w:szCs w:val="24"/>
          <w:lang w:val="en-US"/>
        </w:rPr>
        <w:t xml:space="preserve">(Kaukinen </w:t>
      </w:r>
      <w:r w:rsidRPr="00A518CC">
        <w:rPr>
          <w:rFonts w:ascii="Times New Roman" w:hAnsi="Times New Roman"/>
          <w:i/>
          <w:noProof/>
          <w:sz w:val="24"/>
          <w:szCs w:val="24"/>
          <w:lang w:val="en-US"/>
        </w:rPr>
        <w:t>et al.,</w:t>
      </w:r>
      <w:r w:rsidRPr="00A518CC">
        <w:rPr>
          <w:rFonts w:ascii="Times New Roman" w:hAnsi="Times New Roman"/>
          <w:noProof/>
          <w:sz w:val="24"/>
          <w:szCs w:val="24"/>
          <w:lang w:val="en-US"/>
        </w:rPr>
        <w:t xml:space="preserve"> 2011)</w:t>
      </w:r>
      <w:r w:rsidR="00A2062B" w:rsidRPr="00A518CC">
        <w:rPr>
          <w:rFonts w:ascii="Times New Roman" w:hAnsi="Times New Roman"/>
          <w:sz w:val="24"/>
          <w:szCs w:val="24"/>
          <w:lang w:val="en-US"/>
        </w:rPr>
        <w:fldChar w:fldCharType="end"/>
      </w:r>
      <w:r w:rsidRPr="00A518CC">
        <w:rPr>
          <w:rFonts w:ascii="Times New Roman" w:hAnsi="Times New Roman"/>
          <w:sz w:val="24"/>
          <w:szCs w:val="24"/>
          <w:lang w:val="en-US"/>
        </w:rPr>
        <w:t xml:space="preserve">, this reaction may be a consequence of head drooping during sedation. </w:t>
      </w:r>
      <w:r w:rsidRPr="00A518CC">
        <w:rPr>
          <w:rFonts w:ascii="Times New Roman" w:hAnsi="Times New Roman"/>
          <w:sz w:val="24"/>
          <w:szCs w:val="24"/>
          <w:lang w:val="en-GB"/>
        </w:rPr>
        <w:t xml:space="preserve">The researchers reported that the bioavailability of DET administered as the oromucosal gel was about 22% vs. 38% of the IM formulation. Salonen </w:t>
      </w:r>
      <w:r w:rsidRPr="00A518CC">
        <w:rPr>
          <w:rFonts w:ascii="Times New Roman" w:hAnsi="Times New Roman"/>
          <w:i/>
          <w:sz w:val="24"/>
          <w:szCs w:val="24"/>
          <w:lang w:val="en-GB"/>
        </w:rPr>
        <w:t>et al</w:t>
      </w:r>
      <w:r w:rsidRPr="00A518CC">
        <w:rPr>
          <w:rFonts w:ascii="Times New Roman" w:hAnsi="Times New Roman"/>
          <w:sz w:val="24"/>
          <w:szCs w:val="24"/>
          <w:lang w:val="en-GB"/>
        </w:rPr>
        <w:t xml:space="preserve">. (1989) indicated who due to extensive first-pass metabolism, does not reach the systemic circulation. SL administration of DET is apt to reach the heart prior distribution to the brain because the mucosal capillaries drain directly into the jugular veins, which run directly to the heart. However, blood must travel throughout the body before reaching the brain </w:t>
      </w:r>
      <w:r w:rsidR="00A2062B" w:rsidRPr="00A518CC">
        <w:rPr>
          <w:rFonts w:ascii="Times New Roman" w:hAnsi="Times New Roman"/>
          <w:sz w:val="24"/>
          <w:szCs w:val="24"/>
          <w:lang w:val="en-GB"/>
        </w:rPr>
        <w:fldChar w:fldCharType="begin" w:fldLock="1"/>
      </w:r>
      <w:r w:rsidRPr="00A518CC">
        <w:rPr>
          <w:rFonts w:ascii="Times New Roman" w:hAnsi="Times New Roman"/>
          <w:sz w:val="24"/>
          <w:szCs w:val="24"/>
          <w:lang w:val="en-GB"/>
        </w:rPr>
        <w:instrText>ADDIN CSL_CITATION { "citationItems" : [ { "id" : "ITEM-1", "itemData" : { "DOI" : "10.2460/ajvr.72.10.1378", "ISSN" : "00029645", "PMID" : "21962281", "abstract" : "OBJECTIVE: To characterize pharmacokinetics and pharmacodynamics of detomidine gel administered sublingually in accordance with label instructions to establish appropriate withdrawal guidelines for horses before competition. ANIMALS: 12 adult racehorses. PROCEDURES: Horses received a single sublingual administration of 0.04 mg of detomidine/kg. Blood samples were collected before and up to 72 hours after drug administration. Urine samples were collected for 5 days after detomidine administration. Plasma and urine samples were analyzed via liquid chromatography-mass spectrometry, and resulting data were analyzed by use of noncompartmental analysis. Chin-to-ground distance, heart rate and rhythm, glucose concentration, PCV, and plasma protein concentration were also assessed following detomidine administration. RESULTS: Mean \u00b1 SD terminal elimination half-life of detomidine was 1.5 \u00b1 1 hours. Metabolite concentrations were below the limit of detection (0.02, 0.1, and 0.5 ng/mL for detomidine, carboxydetomidine, and hydroxydetomidine, respectively) in plasma by 24 hours. Concentrations of detomidine and its metabolites were below the limit of detection (0.05 ng/mL for detomidine and 0.10 ng/mL for carboxydetomidine and hydroxydetomidine) in urine by 3 days. All horses had various degrees of sedation after detomidine administration. Time of onset was \u2264 40 minutes, and duration of sedation was approximately 2 hours. Significant decreases, relative to values at time 0, were detected for chin-to-ground distance and heart rate. There was an increased incidence and exacerbation of preexisting atrioventricular blocks after detomidine administration. CONCLUSIONS AND CLINICAL RELEVANCE: A 48-hour and 3-day withdrawal period for detection in plasma and urine samples, respectively, should be adopted for sublingual administration of detomidine gel.", "author" : [ { "dropping-particle" : "", "family" : "Maio Knych", "given" : "Heather K.", "non-dropping-particle" : "di", "parse-names" : false, "suffix" : "" }, { "dropping-particle" : "", "family" : "Stanley", "given" : "Scott D.", "non-dropping-particle" : "", "parse-names" : false, "suffix" : "" } ], "container-title" : "American Journal of Veterinary Research", "id" : "ITEM-1", "issue" : "10", "issued" : { "date-parts" : [ [ "2011" ] ] }, "page" : "1378-1385", "title" : "Pharmacokinetics and pharmacodynamics of detomidine following sublingual administration to horses", "type" : "article-journal", "volume" : "72" }, "uris" : [ "http://www.mendeley.com/documents/?uuid=e5f10679-ce62-4a44-a1cc-fd136dd0b220" ] } ], "mendeley" : { "formattedCitation" : "(di Maio Knych and Stanley 2011)", "plainTextFormattedCitation" : "(di Maio Knych and Stanley 2011)", "previouslyFormattedCitation" : "(di Maio Knych and Stanley 2011)" }, "properties" : { "noteIndex" : 0 }, "schema" : "https://github.com/citation-style-language/schema/raw/master/csl-citation.json" }</w:instrText>
      </w:r>
      <w:r w:rsidR="00A2062B" w:rsidRPr="00A518CC">
        <w:rPr>
          <w:rFonts w:ascii="Times New Roman" w:hAnsi="Times New Roman"/>
          <w:sz w:val="24"/>
          <w:szCs w:val="24"/>
          <w:lang w:val="en-GB"/>
        </w:rPr>
        <w:fldChar w:fldCharType="separate"/>
      </w:r>
      <w:r w:rsidRPr="00A518CC">
        <w:rPr>
          <w:rFonts w:ascii="Times New Roman" w:hAnsi="Times New Roman"/>
          <w:noProof/>
          <w:sz w:val="24"/>
          <w:szCs w:val="24"/>
          <w:lang w:val="en-GB"/>
        </w:rPr>
        <w:t>(di Maio Knych &amp; Stanley, 2011)</w:t>
      </w:r>
      <w:r w:rsidR="00A2062B" w:rsidRPr="00A518CC">
        <w:rPr>
          <w:rFonts w:ascii="Times New Roman" w:hAnsi="Times New Roman"/>
          <w:sz w:val="24"/>
          <w:szCs w:val="24"/>
          <w:lang w:val="en-GB"/>
        </w:rPr>
        <w:fldChar w:fldCharType="end"/>
      </w:r>
      <w:r w:rsidRPr="00A518CC">
        <w:rPr>
          <w:rFonts w:ascii="Times New Roman" w:hAnsi="Times New Roman"/>
          <w:sz w:val="24"/>
          <w:szCs w:val="24"/>
          <w:lang w:val="en-GB"/>
        </w:rPr>
        <w:t>.</w:t>
      </w:r>
    </w:p>
    <w:p w:rsidR="00B41C1C" w:rsidRPr="00A518CC" w:rsidRDefault="00B41C1C" w:rsidP="00B41C1C">
      <w:pPr>
        <w:widowControl w:val="0"/>
        <w:autoSpaceDE w:val="0"/>
        <w:autoSpaceDN w:val="0"/>
        <w:adjustRightInd w:val="0"/>
        <w:spacing w:line="360" w:lineRule="auto"/>
        <w:rPr>
          <w:rFonts w:ascii="Times New Roman" w:hAnsi="Times New Roman"/>
          <w:sz w:val="24"/>
          <w:szCs w:val="24"/>
          <w:lang w:val="en-GB"/>
        </w:rPr>
      </w:pPr>
      <w:r w:rsidRPr="00A518CC">
        <w:rPr>
          <w:rFonts w:ascii="Times New Roman" w:hAnsi="Times New Roman"/>
          <w:sz w:val="24"/>
          <w:szCs w:val="24"/>
          <w:lang w:val="en-GB"/>
        </w:rPr>
        <w:t>The highest plasma DET concentration was 168±83.7 ng/mL, which indicated that the drug was absorbed well from the SL mucosa into the systemic circulation. In SL administration that drainage from the submucosal region is via the jugular vein. In this respect it is important to know whether if collection of samples is via a jugular vein immediately following absorption. Although DET appeared to be absorbed well following SL administration, there was a great degree of variability in C</w:t>
      </w:r>
      <w:r w:rsidRPr="00A518CC">
        <w:rPr>
          <w:rFonts w:ascii="Times New Roman" w:hAnsi="Times New Roman"/>
          <w:sz w:val="24"/>
          <w:szCs w:val="24"/>
          <w:vertAlign w:val="subscript"/>
          <w:lang w:val="en-GB"/>
        </w:rPr>
        <w:t>max</w:t>
      </w:r>
      <w:r w:rsidRPr="00A518CC">
        <w:rPr>
          <w:rFonts w:ascii="Times New Roman" w:hAnsi="Times New Roman"/>
          <w:sz w:val="24"/>
          <w:szCs w:val="24"/>
          <w:lang w:val="en-GB"/>
        </w:rPr>
        <w:t xml:space="preserve"> and T</w:t>
      </w:r>
      <w:r w:rsidRPr="00A518CC">
        <w:rPr>
          <w:rFonts w:ascii="Times New Roman" w:hAnsi="Times New Roman"/>
          <w:sz w:val="24"/>
          <w:szCs w:val="24"/>
          <w:vertAlign w:val="subscript"/>
          <w:lang w:val="en-GB"/>
        </w:rPr>
        <w:t>max</w:t>
      </w:r>
      <w:r w:rsidRPr="00A518CC">
        <w:rPr>
          <w:rFonts w:ascii="Times New Roman" w:hAnsi="Times New Roman"/>
          <w:sz w:val="24"/>
          <w:szCs w:val="24"/>
          <w:lang w:val="en-GB"/>
        </w:rPr>
        <w:t xml:space="preserve"> among horses. The C</w:t>
      </w:r>
      <w:r w:rsidRPr="00A518CC">
        <w:rPr>
          <w:rFonts w:ascii="Times New Roman" w:hAnsi="Times New Roman"/>
          <w:sz w:val="24"/>
          <w:szCs w:val="24"/>
          <w:vertAlign w:val="subscript"/>
          <w:lang w:val="en-GB"/>
        </w:rPr>
        <w:t>max</w:t>
      </w:r>
      <w:r w:rsidRPr="00A518CC">
        <w:rPr>
          <w:rFonts w:ascii="Times New Roman" w:hAnsi="Times New Roman"/>
          <w:sz w:val="24"/>
          <w:szCs w:val="24"/>
          <w:lang w:val="en-GB"/>
        </w:rPr>
        <w:t xml:space="preserve"> can differ substantially who result of the site used for collection of samples and the time after drug administration </w:t>
      </w:r>
      <w:r w:rsidR="00A2062B" w:rsidRPr="00A518CC">
        <w:rPr>
          <w:rFonts w:ascii="Times New Roman" w:hAnsi="Times New Roman"/>
          <w:sz w:val="24"/>
          <w:szCs w:val="24"/>
          <w:lang w:val="en-GB"/>
        </w:rPr>
        <w:fldChar w:fldCharType="begin" w:fldLock="1"/>
      </w:r>
      <w:r w:rsidRPr="00A518CC">
        <w:rPr>
          <w:rFonts w:ascii="Times New Roman" w:hAnsi="Times New Roman"/>
          <w:sz w:val="24"/>
          <w:szCs w:val="24"/>
          <w:lang w:val="en-GB"/>
        </w:rPr>
        <w:instrText>ADDIN CSL_CITATION { "citationItems" : [ { "id" : "ITEM-1", "itemData" : { "DOI" : "10.2460/ajvr.72.10.1378", "ISSN" : "00029645", "PMID" : "21962281", "abstract" : "OBJECTIVE: To characterize pharmacokinetics and pharmacodynamics of detomidine gel administered sublingually in accordance with label instructions to establish appropriate withdrawal guidelines for horses before competition. ANIMALS: 12 adult racehorses. PROCEDURES: Horses received a single sublingual administration of 0.04 mg of detomidine/kg. Blood samples were collected before and up to 72 hours after drug administration. Urine samples were collected for 5 days after detomidine administration. Plasma and urine samples were analyzed via liquid chromatography-mass spectrometry, and resulting data were analyzed by use of noncompartmental analysis. Chin-to-ground distance, heart rate and rhythm, glucose concentration, PCV, and plasma protein concentration were also assessed following detomidine administration. RESULTS: Mean \u00b1 SD terminal elimination half-life of detomidine was 1.5 \u00b1 1 hours. Metabolite concentrations were below the limit of detection (0.02, 0.1, and 0.5 ng/mL for detomidine, carboxydetomidine, and hydroxydetomidine, respectively) in plasma by 24 hours. Concentrations of detomidine and its metabolites were below the limit of detection (0.05 ng/mL for detomidine and 0.10 ng/mL for carboxydetomidine and hydroxydetomidine) in urine by 3 days. All horses had various degrees of sedation after detomidine administration. Time of onset was \u2264 40 minutes, and duration of sedation was approximately 2 hours. Significant decreases, relative to values at time 0, were detected for chin-to-ground distance and heart rate. There was an increased incidence and exacerbation of preexisting atrioventricular blocks after detomidine administration. CONCLUSIONS AND CLINICAL RELEVANCE: A 48-hour and 3-day withdrawal period for detection in plasma and urine samples, respectively, should be adopted for sublingual administration of detomidine gel.", "author" : [ { "dropping-particle" : "", "family" : "Maio Knych", "given" : "Heather K.", "non-dropping-particle" : "di", "parse-names" : false, "suffix" : "" }, { "dropping-particle" : "", "family" : "Stanley", "given" : "Scott D.", "non-dropping-particle" : "", "parse-names" : false, "suffix" : "" } ], "container-title" : "American Journal of Veterinary Research", "id" : "ITEM-1", "issue" : "10", "issued" : { "date-parts" : [ [ "2011" ] ] }, "page" : "1378-1385", "title" : "Pharmacokinetics and pharmacodynamics of detomidine following sublingual administration to horses", "type" : "article-journal", "volume" : "72" }, "uris" : [ "http://www.mendeley.com/documents/?uuid=e5f10679-ce62-4a44-a1cc-fd136dd0b220" ] } ], "mendeley" : { "formattedCitation" : "(di Maio Knych and Stanley 2011)", "plainTextFormattedCitation" : "(di Maio Knych and Stanley 2011)", "previouslyFormattedCitation" : "(di Maio Knych and Stanley 2011)" }, "properties" : { "noteIndex" : 0 }, "schema" : "https://github.com/citation-style-language/schema/raw/master/csl-citation.json" }</w:instrText>
      </w:r>
      <w:r w:rsidR="00A2062B" w:rsidRPr="00A518CC">
        <w:rPr>
          <w:rFonts w:ascii="Times New Roman" w:hAnsi="Times New Roman"/>
          <w:sz w:val="24"/>
          <w:szCs w:val="24"/>
          <w:lang w:val="en-GB"/>
        </w:rPr>
        <w:fldChar w:fldCharType="separate"/>
      </w:r>
      <w:r w:rsidRPr="00A518CC">
        <w:rPr>
          <w:rFonts w:ascii="Times New Roman" w:hAnsi="Times New Roman"/>
          <w:noProof/>
          <w:sz w:val="24"/>
          <w:szCs w:val="24"/>
          <w:lang w:val="en-GB"/>
        </w:rPr>
        <w:t>(di Maio Knych &amp; Stanley, 2011)</w:t>
      </w:r>
      <w:r w:rsidR="00A2062B" w:rsidRPr="00A518CC">
        <w:rPr>
          <w:rFonts w:ascii="Times New Roman" w:hAnsi="Times New Roman"/>
          <w:sz w:val="24"/>
          <w:szCs w:val="24"/>
          <w:lang w:val="en-GB"/>
        </w:rPr>
        <w:fldChar w:fldCharType="end"/>
      </w:r>
      <w:r w:rsidRPr="00A518CC">
        <w:rPr>
          <w:rFonts w:ascii="Times New Roman" w:hAnsi="Times New Roman"/>
          <w:sz w:val="24"/>
          <w:szCs w:val="24"/>
          <w:lang w:val="en-GB"/>
        </w:rPr>
        <w:t>.</w:t>
      </w:r>
    </w:p>
    <w:p w:rsidR="00B41C1C" w:rsidRPr="00A518CC" w:rsidRDefault="00B41C1C" w:rsidP="00B41C1C">
      <w:pPr>
        <w:widowControl w:val="0"/>
        <w:autoSpaceDE w:val="0"/>
        <w:autoSpaceDN w:val="0"/>
        <w:adjustRightInd w:val="0"/>
        <w:spacing w:line="360" w:lineRule="auto"/>
        <w:rPr>
          <w:rFonts w:ascii="Times New Roman" w:hAnsi="Times New Roman"/>
          <w:sz w:val="24"/>
          <w:szCs w:val="24"/>
          <w:lang w:val="en-GB"/>
        </w:rPr>
      </w:pPr>
      <w:r w:rsidRPr="00A518CC">
        <w:rPr>
          <w:rFonts w:ascii="Times New Roman" w:hAnsi="Times New Roman"/>
          <w:sz w:val="24"/>
          <w:szCs w:val="24"/>
          <w:lang w:val="en-GB"/>
        </w:rPr>
        <w:t>The elimination of drugs has been reported to differ between</w:t>
      </w:r>
      <w:r w:rsidRPr="00A518CC">
        <w:rPr>
          <w:rFonts w:ascii="Times New Roman" w:hAnsi="Times New Roman"/>
          <w:sz w:val="24"/>
          <w:szCs w:val="24"/>
          <w:lang w:val="en-US"/>
        </w:rPr>
        <w:t xml:space="preserve"> sedentary and fit horses </w:t>
      </w:r>
      <w:r w:rsidR="00A2062B" w:rsidRPr="00A518CC">
        <w:rPr>
          <w:rFonts w:ascii="Times New Roman" w:hAnsi="Times New Roman"/>
          <w:sz w:val="24"/>
          <w:szCs w:val="24"/>
        </w:rPr>
        <w:fldChar w:fldCharType="begin" w:fldLock="1"/>
      </w:r>
      <w:r w:rsidRPr="00A518CC">
        <w:rPr>
          <w:rFonts w:ascii="Times New Roman" w:hAnsi="Times New Roman"/>
          <w:sz w:val="24"/>
          <w:szCs w:val="24"/>
          <w:lang w:val="en-US"/>
        </w:rPr>
        <w:instrText>ADDIN CSL_CITATION { "citationItems" : [ { "id" : "ITEM-1", "itemData" : { "DOI" : "10.2460/ajvr.72.10.1378", "ISSN" : "00029645", "PMID" : "21962281", "abstract" : "OBJECTIVE: To characterize pharmacokinetics and pharmacodynamics of detomidine gel administered sublingually in accordance with label instructions to establish appropriate withdrawal guidelines for horses before competition. ANIMALS: 12 adult racehorses. PROCEDURES: Horses received a single sublingual administration of 0.04 mg of detomidine/kg. Blood samples were collected before and up to 72 hours after drug administration. Urine samples were collected for 5 days after detomidine administration. Plasma and urine samples were analyzed via liquid chromatography-mass spectrometry, and resulting data were analyzed by use of noncompartmental analysis. Chin-to-ground distance, heart rate and rhythm, glucose concentration, PCV, and plasma protein concentration were also assessed following detomidine administration. RESULTS: Mean \u00b1 SD terminal elimination half-life of detomidine was 1.5 \u00b1 1 hours. Metabolite concentrations were below the limit of detection (0.02, 0.1, and 0.5 ng/mL for detomidine, carboxydetomidine, and hydroxydetomidine, respectively) in plasma by 24 hours. Concentrations of detomidine and its metabolites were below the limit of detection (0.05 ng/mL for detomidine and 0.10 ng/mL for carboxydetomidine and hydroxydetomidine) in urine by 3 days. All horses had various degrees of sedation after detomidine administration. Time of onset was \u2264 40 minutes, and duration of sedation was approximately 2 hours. Significant decreases, relative to values at time 0, were detected for chin-to-ground distance and heart rate. There was an increased incidence and exacerbation of preexisting atrioventricular blocks after detomidine administration. CONCLUSIONS AND CLINICAL RELEVANCE: A 48-hour and 3-day withdrawal period for detection in plasma and urine samples, respectively, should be adopted for sublingual administration of detomidine gel.", "author" : [ { "dropping-particle" : "", "family" : "Maio Knych", "given" : "Heather K.", "non-dropping-particle" : "di", "parse-names" : false, "suffix" : "" }, { "dropping-particle" : "", "family" : "Stanley", "given" : "Scott D.", "non-dropping-particle" : "", "parse-names" : false, "suffix" : "" } ], "container-title" : "American Journal of Veterinary Research", "id" : "ITEM-1", "issue" : "10", "issued" : { "date-parts" : [ [ "2011" ] ] }, "page" : "1378-1385", "title" : "Pharmacokinetics and pharmacodynamics of detomidine following sublingual administration to horses", "type" : "article-journal", "volume" : "72" }, "uris" : [ "http://www.mendeley.com/documents/?uuid=e5f10679-ce62-4a44-a1cc-fd136dd0b220" ] } ], "mendeley" : { "formattedCitation" : "(di Maio Knych and Stanley 2011)", "plainTextFormattedCitation" : "(di Maio Knych and Stanley 2011)", "previouslyFormattedCitation" : "(di Maio Knych and Stanley 2011)" }, "properties" : { "noteIndex" : 0 }, "schema" : "https://github.com/citation-style-language/schema/raw/master/csl-citation.json" }</w:instrText>
      </w:r>
      <w:r w:rsidR="00A2062B" w:rsidRPr="00A518CC">
        <w:rPr>
          <w:rFonts w:ascii="Times New Roman" w:hAnsi="Times New Roman"/>
          <w:sz w:val="24"/>
          <w:szCs w:val="24"/>
        </w:rPr>
        <w:fldChar w:fldCharType="separate"/>
      </w:r>
      <w:r w:rsidRPr="00A518CC">
        <w:rPr>
          <w:rFonts w:ascii="Times New Roman" w:hAnsi="Times New Roman"/>
          <w:noProof/>
          <w:sz w:val="24"/>
          <w:szCs w:val="24"/>
          <w:lang w:val="en-US"/>
        </w:rPr>
        <w:t>(di Maio Knych &amp; Stanley, 2011)</w:t>
      </w:r>
      <w:r w:rsidR="00A2062B" w:rsidRPr="00A518CC">
        <w:rPr>
          <w:rFonts w:ascii="Times New Roman" w:hAnsi="Times New Roman"/>
          <w:sz w:val="24"/>
          <w:szCs w:val="24"/>
        </w:rPr>
        <w:fldChar w:fldCharType="end"/>
      </w:r>
      <w:r w:rsidRPr="00A518CC">
        <w:rPr>
          <w:rFonts w:ascii="Times New Roman" w:hAnsi="Times New Roman"/>
          <w:sz w:val="24"/>
          <w:szCs w:val="24"/>
          <w:lang w:val="en-GB"/>
        </w:rPr>
        <w:t xml:space="preserve">. Previous studies have reported the elimination half-life of DET to be 26-71 min </w:t>
      </w:r>
      <w:r w:rsidR="00A2062B" w:rsidRPr="00A518CC">
        <w:rPr>
          <w:rFonts w:ascii="Times New Roman" w:hAnsi="Times New Roman"/>
          <w:sz w:val="24"/>
          <w:szCs w:val="24"/>
          <w:lang w:val="en-GB"/>
        </w:rPr>
        <w:fldChar w:fldCharType="begin" w:fldLock="1"/>
      </w:r>
      <w:r w:rsidRPr="00A518CC">
        <w:rPr>
          <w:rFonts w:ascii="Times New Roman" w:hAnsi="Times New Roman"/>
          <w:sz w:val="24"/>
          <w:szCs w:val="24"/>
          <w:lang w:val="en-GB"/>
        </w:rPr>
        <w:instrText>ADDIN CSL_CITATION { "citationItems" : [ { "id" : "ITEM-1", "itemData" : { "DOI" : "10.1111/j.1467-2995.2011.00690.x", "ISSN" : "14672987", "PMID" : "22405129", "abstract" : "OBJECTIVE: To describe the pharmacokinetics of detomidine and yohimbine when administered in combination.\\n\\nSTUDY DESIGN: Randomized crossover design.\\n\\nANIMALS: Nine healthy adult horses aged 9 \u00b1 4 years and weighing of 561 \u00b1 56 kg.\\n\\nMETHODS: Three dose regimens were employed in the current study. 1) 0.03 mg kg(-1) detomidine IV (D), 2) 0.2 mg kg(-1) yohimbine IV (Y) and 3) 0.03 mg kg(-1) detomidine IV followed 15 minutes later by 0.2 mg kg(-1) yohimbine IV (DY). Each horse received all three dose regimens with a minimum of 1 week in between subsequent regimens. Blood samples were obtained and plasma analyzed for detomidine and yohimbine concentrations by liquid chromatography-mass spectrometry. Data were analyzed using both non-compartmental and compartmental analysis.\\n\\nRESULTS: The maximum measured detomidine concentrations were 76.0 and 129.9 ng mL(-1) for the D and DY treatments, respectively. Systemic clearance and volume of distribution of detomidine were not significantly different for either treatment. There was a significant increase in the maximum measured yohimbine plasma concentrations from Y (173.9 ng mL(-1)) to DY (289.8 ng mL(-1)). Both the Cl and V(d) for yohimbine were significantly less (6.8 mL minute(-1) kg(-1) (Cl) and 1.7 L kg(-1) (V(d) )) for the DY as compared to the Y treatments (13.9 mL minute(-1) kg(-1) (Cl) and 2.7 L kg(-1) (V(d))). Plasma concentrations were below the limit of quantitation (0.05 and 0.5 ng mL(-1)) by 18 hours for both detomidine and yohimbine.\\n\\nCONCLUSION AND CLINICAL RELEVANCE: The Cl and V(d) of yohimbine were affected by prior administration of detomidine. The elimination half life of yohimbine remained unaffected when administered subsequent to detomidine. However, the increased plasma concentrations in the presence of detomidine has the potential to cause untoward effects and therefore further studies to assess the physiologic effects of this combination of drugs are warranted.", "author" : [ { "dropping-particle" : "", "family" : "Knych", "given" : "Heather K.", "non-dropping-particle" : "", "parse-names" : false, "suffix" : "" }, { "dropping-particle" : "", "family" : "Steffey", "given" : "Eugene P.", "non-dropping-particle" : "", "parse-names" : false, "suffix" : "" }, { "dropping-particle" : "", "family" : "Stanley", "given" : "Scott D.", "non-dropping-particle" : "", "parse-names" : false, "suffix" : "" } ], "container-title" : "Veterinary Anaesthesia and Analgesia", "id" : "ITEM-1", "issue" : "3", "issued" : { "date-parts" : [ [ "2012" ] ] }, "page" : "221-229", "title" : "The effects of yohimbine on the pharmacokinetic parameters of detomidine in the horse", "type" : "article-journal", "volume" : "39" }, "uris" : [ "http://www.mendeley.com/documents/?uuid=0bee472b-93d6-4056-b8e8-6c1df4527d01" ] } ], "mendeley" : { "formattedCitation" : "(Knych, Steffey, and Stanley 2012)", "plainTextFormattedCitation" : "(Knych, Steffey, and Stanley 2012)", "previouslyFormattedCitation" : "(Knych, Steffey, and Stanley 2012)" }, "properties" : { "noteIndex" : 0 }, "schema" : "https://github.com/citation-style-language/schema/raw/master/csl-citation.json" }</w:instrText>
      </w:r>
      <w:r w:rsidR="00A2062B" w:rsidRPr="00A518CC">
        <w:rPr>
          <w:rFonts w:ascii="Times New Roman" w:hAnsi="Times New Roman"/>
          <w:sz w:val="24"/>
          <w:szCs w:val="24"/>
          <w:lang w:val="en-GB"/>
        </w:rPr>
        <w:fldChar w:fldCharType="separate"/>
      </w:r>
      <w:r w:rsidRPr="00A518CC">
        <w:rPr>
          <w:rFonts w:ascii="Times New Roman" w:hAnsi="Times New Roman"/>
          <w:noProof/>
          <w:sz w:val="24"/>
          <w:szCs w:val="24"/>
          <w:lang w:val="en-GB"/>
        </w:rPr>
        <w:t xml:space="preserve">(Knych </w:t>
      </w:r>
      <w:r w:rsidRPr="00A518CC">
        <w:rPr>
          <w:rFonts w:ascii="Times New Roman" w:hAnsi="Times New Roman"/>
          <w:i/>
          <w:noProof/>
          <w:sz w:val="24"/>
          <w:szCs w:val="24"/>
          <w:lang w:val="en-GB"/>
        </w:rPr>
        <w:t>et al</w:t>
      </w:r>
      <w:r w:rsidRPr="00A518CC">
        <w:rPr>
          <w:rFonts w:ascii="Times New Roman" w:hAnsi="Times New Roman"/>
          <w:noProof/>
          <w:sz w:val="24"/>
          <w:szCs w:val="24"/>
          <w:lang w:val="en-GB"/>
        </w:rPr>
        <w:t>., 2012)</w:t>
      </w:r>
      <w:r w:rsidR="00A2062B" w:rsidRPr="00A518CC">
        <w:rPr>
          <w:rFonts w:ascii="Times New Roman" w:hAnsi="Times New Roman"/>
          <w:sz w:val="24"/>
          <w:szCs w:val="24"/>
          <w:lang w:val="en-GB"/>
        </w:rPr>
        <w:fldChar w:fldCharType="end"/>
      </w:r>
      <w:r w:rsidRPr="00A518CC">
        <w:rPr>
          <w:rFonts w:ascii="Times New Roman" w:hAnsi="Times New Roman"/>
          <w:sz w:val="24"/>
          <w:szCs w:val="24"/>
          <w:lang w:val="en-GB"/>
        </w:rPr>
        <w:t xml:space="preserve">. </w:t>
      </w:r>
      <w:r w:rsidR="00A2062B" w:rsidRPr="00A518CC">
        <w:rPr>
          <w:rFonts w:ascii="Times New Roman" w:hAnsi="Times New Roman"/>
          <w:sz w:val="24"/>
          <w:szCs w:val="24"/>
          <w:lang w:val="en-GB"/>
        </w:rPr>
        <w:fldChar w:fldCharType="begin" w:fldLock="1"/>
      </w:r>
      <w:r w:rsidRPr="00A518CC">
        <w:rPr>
          <w:rFonts w:ascii="Times New Roman" w:hAnsi="Times New Roman"/>
          <w:sz w:val="24"/>
          <w:szCs w:val="24"/>
          <w:lang w:val="en-GB"/>
        </w:rPr>
        <w:instrText>ADDIN CSL_CITATION { "citationItems" : [ { "id" : "ITEM-1", "itemData" : { "DOI" : "10.1111/vaa.12012", "ISSN" : "14672987", "PMID" : "23368795", "abstract" : "To investigate plasma drug concentrations and the effect of MK-467 (L-659'066) on sedation, heart rate and gut motility in horses sedated with intravenous (IV) detomidine.", "author" : [ { "dropping-particle" : "", "family" : "Vainionp\u00e4\u00e4", "given" : "Mari H.", "non-dropping-particle" : "", "parse-names" : false, "suffix" : "" }, { "dropping-particle" : "", "family" : "Raekallio", "given" : "Marja R.", "non-dropping-particle" : "", "parse-names" : false, "suffix" : "" }, { "dropping-particle" : "", "family" : "Pakkanen", "given" : "Soile Ae", "non-dropping-particle" : "", "parse-names" : false, "suffix" : "" }, { "dropping-particle" : "", "family" : "Ranta-Panula", "given" : "Ville", "non-dropping-particle" : "", "parse-names" : false, "suffix" : "" }, { "dropping-particle" : "", "family" : "Rinne", "given" : "Valtteri M.", "non-dropping-particle" : "", "parse-names" : false, "suffix" : "" }, { "dropping-particle" : "", "family" : "Scheinin", "given" : "Mika", "non-dropping-particle" : "", "parse-names" : false, "suffix" : "" }, { "dropping-particle" : "", "family" : "Vainio", "given" : "Outi M.", "non-dropping-particle" : "", "parse-names" : false, "suffix" : "" } ], "container-title" : "Veterinary Anaesthesia and Analgesia", "id" : "ITEM-1", "issue" : "3", "issued" : { "date-parts" : [ [ "2013" ] ] }, "page" : "257-264", "title" : "Plasma drug concentrations and clinical effects of a peripheral alpha-2-adrenoceptor antagonist, MK-467, in horses sedated with detomidine", "type" : "article-journal", "volume" : "40" }, "uris" : [ "http://www.mendeley.com/documents/?uuid=7690761e-57a4-47b5-b307-a3230e278da9" ] } ], "mendeley" : { "formattedCitation" : "(Vainionp\u00e4\u00e4 et al. 2013)", "plainTextFormattedCitation" : "(Vainionp\u00e4\u00e4 et al. 2013)", "previouslyFormattedCitation" : "(Vainionp\u00e4\u00e4 et al. 2013)" }, "properties" : { "noteIndex" : 0 }, "schema" : "https://github.com/citation-style-language/schema/raw/master/csl-citation.json" }</w:instrText>
      </w:r>
      <w:r w:rsidR="00A2062B" w:rsidRPr="00A518CC">
        <w:rPr>
          <w:rFonts w:ascii="Times New Roman" w:hAnsi="Times New Roman"/>
          <w:sz w:val="24"/>
          <w:szCs w:val="24"/>
          <w:lang w:val="en-GB"/>
        </w:rPr>
        <w:fldChar w:fldCharType="separate"/>
      </w:r>
      <w:r w:rsidRPr="00A518CC">
        <w:rPr>
          <w:rFonts w:ascii="Times New Roman" w:hAnsi="Times New Roman"/>
          <w:noProof/>
          <w:sz w:val="24"/>
          <w:szCs w:val="24"/>
          <w:lang w:val="en-GB"/>
        </w:rPr>
        <w:t xml:space="preserve">Vainionpää </w:t>
      </w:r>
      <w:r w:rsidRPr="00A518CC">
        <w:rPr>
          <w:rFonts w:ascii="Times New Roman" w:hAnsi="Times New Roman"/>
          <w:i/>
          <w:noProof/>
          <w:sz w:val="24"/>
          <w:szCs w:val="24"/>
          <w:lang w:val="en-GB"/>
        </w:rPr>
        <w:t>et al</w:t>
      </w:r>
      <w:r w:rsidRPr="00A518CC">
        <w:rPr>
          <w:rFonts w:ascii="Times New Roman" w:hAnsi="Times New Roman"/>
          <w:noProof/>
          <w:sz w:val="24"/>
          <w:szCs w:val="24"/>
          <w:lang w:val="en-GB"/>
        </w:rPr>
        <w:t>. (2013)</w:t>
      </w:r>
      <w:r w:rsidR="00A2062B" w:rsidRPr="00A518CC">
        <w:rPr>
          <w:rFonts w:ascii="Times New Roman" w:hAnsi="Times New Roman"/>
          <w:sz w:val="24"/>
          <w:szCs w:val="24"/>
          <w:lang w:val="en-GB"/>
        </w:rPr>
        <w:fldChar w:fldCharType="end"/>
      </w:r>
      <w:r w:rsidRPr="00A518CC">
        <w:rPr>
          <w:rFonts w:ascii="Times New Roman" w:hAnsi="Times New Roman"/>
          <w:sz w:val="24"/>
          <w:szCs w:val="24"/>
          <w:lang w:val="en-GB"/>
        </w:rPr>
        <w:t xml:space="preserve"> reported 37 min of half-life, resulting in observations analogous with the previously reported findings. The mean half-life of elimination of DET following SL administration reported by </w:t>
      </w:r>
      <w:r w:rsidR="00A2062B" w:rsidRPr="00A518CC">
        <w:rPr>
          <w:rFonts w:ascii="Times New Roman" w:hAnsi="Times New Roman"/>
          <w:sz w:val="24"/>
          <w:szCs w:val="24"/>
          <w:lang w:val="en-GB"/>
        </w:rPr>
        <w:fldChar w:fldCharType="begin" w:fldLock="1"/>
      </w:r>
      <w:r w:rsidRPr="00A518CC">
        <w:rPr>
          <w:rFonts w:ascii="Times New Roman" w:hAnsi="Times New Roman"/>
          <w:sz w:val="24"/>
          <w:szCs w:val="24"/>
          <w:lang w:val="en-GB"/>
        </w:rPr>
        <w:instrText>ADDIN CSL_CITATION { "citationItems" : [ { "id" : "ITEM-1", "itemData" : { "DOI" : "10.2460/ajvr.72.10.1378", "ISSN" : "00029645", "PMID" : "21962281", "abstract" : "OBJECTIVE: To characterize pharmacokinetics and pharmacodynamics of detomidine gel administered sublingually in accordance with label instructions to establish appropriate withdrawal guidelines for horses before competition. ANIMALS: 12 adult racehorses. PROCEDURES: Horses received a single sublingual administration of 0.04 mg of detomidine/kg. Blood samples were collected before and up to 72 hours after drug administration. Urine samples were collected for 5 days after detomidine administration. Plasma and urine samples were analyzed via liquid chromatography-mass spectrometry, and resulting data were analyzed by use of noncompartmental analysis. Chin-to-ground distance, heart rate and rhythm, glucose concentration, PCV, and plasma protein concentration were also assessed following detomidine administration. RESULTS: Mean \u00b1 SD terminal elimination half-life of detomidine was 1.5 \u00b1 1 hours. Metabolite concentrations were below the limit of detection (0.02, 0.1, and 0.5 ng/mL for detomidine, carboxydetomidine, and hydroxydetomidine, respectively) in plasma by 24 hours. Concentrations of detomidine and its metabolites were below the limit of detection (0.05 ng/mL for detomidine and 0.10 ng/mL for carboxydetomidine and hydroxydetomidine) in urine by 3 days. All horses had various degrees of sedation after detomidine administration. Time of onset was \u2264 40 minutes, and duration of sedation was approximately 2 hours. Significant decreases, relative to values at time 0, were detected for chin-to-ground distance and heart rate. There was an increased incidence and exacerbation of preexisting atrioventricular blocks after detomidine administration. CONCLUSIONS AND CLINICAL RELEVANCE: A 48-hour and 3-day withdrawal period for detection in plasma and urine samples, respectively, should be adopted for sublingual administration of detomidine gel.", "author" : [ { "dropping-particle" : "", "family" : "Maio Knych", "given" : "Heather K.", "non-dropping-particle" : "di", "parse-names" : false, "suffix" : "" }, { "dropping-particle" : "", "family" : "Stanley", "given" : "Scott D.", "non-dropping-particle" : "", "parse-names" : false, "suffix" : "" } ], "container-title" : "American Journal of Veterinary Research", "id" : "ITEM-1", "issue" : "10", "issued" : { "date-parts" : [ [ "2011" ] ] }, "page" : "1378-1385", "title" : "Pharmacokinetics and pharmacodynamics of detomidine following sublingual administration to horses", "type" : "article-journal", "volume" : "72" }, "uris" : [ "http://www.mendeley.com/documents/?uuid=e5f10679-ce62-4a44-a1cc-fd136dd0b220" ] } ], "mendeley" : { "formattedCitation" : "(di Maio Knych and Stanley 2011)", "plainTextFormattedCitation" : "(di Maio Knych and Stanley 2011)", "previouslyFormattedCitation" : "(di Maio Knych and Stanley 2011)" }, "properties" : { "noteIndex" : 0 }, "schema" : "https://github.com/citation-style-language/schema/raw/master/csl-citation.json" }</w:instrText>
      </w:r>
      <w:r w:rsidR="00A2062B" w:rsidRPr="00A518CC">
        <w:rPr>
          <w:rFonts w:ascii="Times New Roman" w:hAnsi="Times New Roman"/>
          <w:sz w:val="24"/>
          <w:szCs w:val="24"/>
          <w:lang w:val="en-GB"/>
        </w:rPr>
        <w:fldChar w:fldCharType="separate"/>
      </w:r>
      <w:r w:rsidRPr="00A518CC">
        <w:rPr>
          <w:rFonts w:ascii="Times New Roman" w:hAnsi="Times New Roman"/>
          <w:noProof/>
          <w:sz w:val="24"/>
          <w:szCs w:val="24"/>
          <w:lang w:val="en-GB"/>
        </w:rPr>
        <w:t>(di Maio Knych &amp; Stanley 2011)</w:t>
      </w:r>
      <w:r w:rsidR="00A2062B" w:rsidRPr="00A518CC">
        <w:rPr>
          <w:rFonts w:ascii="Times New Roman" w:hAnsi="Times New Roman"/>
          <w:sz w:val="24"/>
          <w:szCs w:val="24"/>
          <w:lang w:val="en-GB"/>
        </w:rPr>
        <w:fldChar w:fldCharType="end"/>
      </w:r>
      <w:r w:rsidRPr="00A518CC">
        <w:rPr>
          <w:rFonts w:ascii="Times New Roman" w:hAnsi="Times New Roman"/>
          <w:sz w:val="24"/>
          <w:szCs w:val="24"/>
          <w:lang w:val="en-GB"/>
        </w:rPr>
        <w:t xml:space="preserve"> was 1.5±1 h and more longer that after IV 26.4 min. Terminal half-life of DET was longer after SL than after IM administration, but sedation lasted longer after IM administration </w:t>
      </w:r>
      <w:r w:rsidR="00A2062B" w:rsidRPr="00A518CC">
        <w:rPr>
          <w:rFonts w:ascii="Times New Roman" w:hAnsi="Times New Roman"/>
          <w:sz w:val="24"/>
          <w:szCs w:val="24"/>
          <w:lang w:val="en-GB"/>
        </w:rPr>
        <w:fldChar w:fldCharType="begin" w:fldLock="1"/>
      </w:r>
      <w:r w:rsidRPr="00A518CC">
        <w:rPr>
          <w:rFonts w:ascii="Times New Roman" w:hAnsi="Times New Roman"/>
          <w:sz w:val="24"/>
          <w:szCs w:val="24"/>
          <w:lang w:val="en-GB"/>
        </w:rPr>
        <w:instrText>ADDIN CSL_CITATION { "citationItems" : [ { "id" : "ITEM-1", "itemData" : { "DOI" : "10.1111/j.1365-2885.2010.01193.x", "ISSN" : "01407783", "PMID" : "21219348", "abstract" : "The objective of the study was to determine the absorption, bioavailability and sedative effect of detomidine administered to horses as an oromucosal gel compared to intravenous and intramuscular administration of detomidine injectable solution. The study was open and randomized, with three sequences crossover design. Nine healthy horses were given 40\u2003\u03bcg/kg detomidine intravenously, intramuscularly or administered under the tongue with a 7-day wash-out period between treatments. Blood samples were collected before and after drug administration for the measurement of detomidine concentrations in serum. The effects of the route of administration on heart rate and rhythm were evaluated and the depth of sedation assessed. Mean (\u00b1SD) bioavailability of detomidine was 22% (\u00b15.3%) after sublingual administration and 38.2% (\u00b17.9%) after intramuscular administration. The sedative effects correlated with detomidine concentrations regardless of the route of administration. We conclude that less detomidine is absorbed when given sublingually than when given intramuscularly, because part of it does not reach the circulation. Sublingual administration of detomidine oromucosal gel at 40\u2003\u03bcg/kg produces safe sedation in horses. Slow absorption leads to fewer and less pronounced adverse effects than the more rapid absorption after intramuscular injection.", "author" : [ { "dropping-particle" : "", "family" : "Kaukinen", "given" : "H.", "non-dropping-particle" : "", "parse-names" : false, "suffix" : "" }, { "dropping-particle" : "", "family" : "Aspegr\u00e9n", "given" : "J.", "non-dropping-particle" : "", "parse-names" : false, "suffix" : "" }, { "dropping-particle" : "", "family" : "Hyypp\u00e4", "given" : "S.", "non-dropping-particle" : "", "parse-names" : false, "suffix" : "" }, { "dropping-particle" : "", "family" : "Tamm", "given" : "L.", "non-dropping-particle" : "", "parse-names" : false, "suffix" : "" }, { "dropping-particle" : "", "family" : "Salonen", "given" : "J. S.", "non-dropping-particle" : "", "parse-names" : false, "suffix" : "" } ], "container-title" : "Journal of Veterinary Pharmacology and Therapeutics", "id" : "ITEM-1", "issue" : "1", "issued" : { "date-parts" : [ [ "2011" ] ] }, "page" : "76-81", "title" : "Bioavailability of detomidine administered sublingually to horses as an oromucosal gel", "type" : "article-journal", "volume" : "34" }, "uris" : [ "http://www.mendeley.com/documents/?uuid=59a2b87e-6103-4f35-a43d-3052d0e65845" ] } ], "mendeley" : { "formattedCitation" : "(Kaukinen et al. 2011)", "plainTextFormattedCitation" : "(Kaukinen et al. 2011)", "previouslyFormattedCitation" : "(Kaukinen et al. 2011)" }, "properties" : { "noteIndex" : 0 }, "schema" : "https://github.com/citation-style-language/schema/raw/master/csl-citation.json" }</w:instrText>
      </w:r>
      <w:r w:rsidR="00A2062B" w:rsidRPr="00A518CC">
        <w:rPr>
          <w:rFonts w:ascii="Times New Roman" w:hAnsi="Times New Roman"/>
          <w:sz w:val="24"/>
          <w:szCs w:val="24"/>
          <w:lang w:val="en-GB"/>
        </w:rPr>
        <w:fldChar w:fldCharType="separate"/>
      </w:r>
      <w:r w:rsidRPr="00A518CC">
        <w:rPr>
          <w:rFonts w:ascii="Times New Roman" w:hAnsi="Times New Roman"/>
          <w:noProof/>
          <w:sz w:val="24"/>
          <w:szCs w:val="24"/>
          <w:lang w:val="en-GB"/>
        </w:rPr>
        <w:t xml:space="preserve">(Kaukinen </w:t>
      </w:r>
      <w:r w:rsidRPr="00A518CC">
        <w:rPr>
          <w:rFonts w:ascii="Times New Roman" w:hAnsi="Times New Roman"/>
          <w:i/>
          <w:noProof/>
          <w:sz w:val="24"/>
          <w:szCs w:val="24"/>
          <w:lang w:val="en-GB"/>
        </w:rPr>
        <w:t>et al</w:t>
      </w:r>
      <w:r w:rsidRPr="00A518CC">
        <w:rPr>
          <w:rFonts w:ascii="Times New Roman" w:hAnsi="Times New Roman"/>
          <w:noProof/>
          <w:sz w:val="24"/>
          <w:szCs w:val="24"/>
          <w:lang w:val="en-GB"/>
        </w:rPr>
        <w:t>., 2011)</w:t>
      </w:r>
      <w:r w:rsidR="00A2062B" w:rsidRPr="00A518CC">
        <w:rPr>
          <w:rFonts w:ascii="Times New Roman" w:hAnsi="Times New Roman"/>
          <w:sz w:val="24"/>
          <w:szCs w:val="24"/>
          <w:lang w:val="en-GB"/>
        </w:rPr>
        <w:fldChar w:fldCharType="end"/>
      </w:r>
      <w:r w:rsidRPr="00A518CC">
        <w:rPr>
          <w:rFonts w:ascii="Times New Roman" w:hAnsi="Times New Roman"/>
          <w:sz w:val="24"/>
          <w:szCs w:val="24"/>
          <w:lang w:val="en-GB"/>
        </w:rPr>
        <w:t xml:space="preserve">. This can be explained by the lesser bioavailability of DET as the oromucosal gel, compared to the injectable solution, reflecting the dose-dependent duration of DET sedation (Kamerling </w:t>
      </w:r>
      <w:r w:rsidRPr="00A518CC">
        <w:rPr>
          <w:rFonts w:ascii="Times New Roman" w:hAnsi="Times New Roman"/>
          <w:i/>
          <w:sz w:val="24"/>
          <w:szCs w:val="24"/>
          <w:lang w:val="en-GB"/>
        </w:rPr>
        <w:t>et al</w:t>
      </w:r>
      <w:r w:rsidRPr="00A518CC">
        <w:rPr>
          <w:rFonts w:ascii="Times New Roman" w:hAnsi="Times New Roman"/>
          <w:sz w:val="24"/>
          <w:szCs w:val="24"/>
          <w:lang w:val="en-GB"/>
        </w:rPr>
        <w:t xml:space="preserve">. 1988). </w:t>
      </w:r>
    </w:p>
    <w:p w:rsidR="00B41C1C" w:rsidRPr="00A518CC" w:rsidRDefault="00B41C1C" w:rsidP="00B41C1C">
      <w:pPr>
        <w:spacing w:line="360" w:lineRule="auto"/>
        <w:rPr>
          <w:rFonts w:ascii="Times New Roman" w:hAnsi="Times New Roman"/>
          <w:sz w:val="24"/>
          <w:szCs w:val="24"/>
          <w:lang w:val="en-US"/>
        </w:rPr>
      </w:pPr>
      <w:r w:rsidRPr="00A518CC">
        <w:rPr>
          <w:rFonts w:ascii="Times New Roman" w:hAnsi="Times New Roman"/>
          <w:sz w:val="24"/>
          <w:szCs w:val="24"/>
          <w:lang w:val="en-US"/>
        </w:rPr>
        <w:t xml:space="preserve">DET SL and IV administration in horses produced profound sedation in all horses studied as evidenced by an observable decrease in chin-to-ground distance </w:t>
      </w:r>
      <w:r w:rsidR="00A2062B" w:rsidRPr="00A518CC">
        <w:rPr>
          <w:rFonts w:ascii="Times New Roman" w:hAnsi="Times New Roman"/>
          <w:sz w:val="24"/>
          <w:szCs w:val="24"/>
          <w:lang w:val="en-US"/>
        </w:rPr>
        <w:fldChar w:fldCharType="begin" w:fldLock="1"/>
      </w:r>
      <w:r w:rsidRPr="00A518CC">
        <w:rPr>
          <w:rFonts w:ascii="Times New Roman" w:hAnsi="Times New Roman"/>
          <w:sz w:val="24"/>
          <w:szCs w:val="24"/>
          <w:lang w:val="en-US"/>
        </w:rPr>
        <w:instrText>ADDIN CSL_CITATION { "citationItems" : [ { "id" : "ITEM-1", "itemData" : { "DOI" : "10.1111/j.1467-2995.2012.00776.x", "ISSN" : "14672987", "PMID" : "23035904", "abstract" : "OBJECTIVE: To describe selected pharmacodynamic effects of detomidine and yohimbine when administered alone and in sequence.\\n\\nSTUDY DESIGN: Randomized crossover design.\\n\\nANIMALS: Nine healthy adult horses aged 9 \u00b1 4 years and weighing 561 \u00b1 56 kg.\\n\\nMETHODS: Three dose regimens were employed in the current study. 1) 0.03 mg kg(-1) detomidine IV, 2) 0.2 mg kg(-1) yohimbine IV and 3) 0.03 mg kg(-1) detomidine IV followed 15 minutes later by 0.2 mg kg(-1) yohimbine IV. Each horse received all three treatments with a minimum of 1 week between treatments. Blood samples were obtained and plasma analyzed for detomidine and yohimbine concentrations by liquid chromatography-mass spectrometry. Behavioral effects, heart rate and rhythm, glucose, packed cell volume and plasma proteins were monitored.\\n\\nRESULTS: Yohimbine rapidly reversed the sedative effects of detomidine in the horse. Additionally, yohimbine effectively returned heart rate and the percent of atrio-ventricular conduction disturbances to pre-detomidine values when administered 15 minutes post-detomidine administration. Plasma glucose was significantly increased following detomidine administration. The detomidine induced hyperglycemia was effectively reduced by yohimbine administration. Effects on packed cell volume and plasma proteins were variable.\\n\\nCONCLUSIONS AND CLINICAL RELEVANCE: Intravenous administration of yohimbine effectively reversed detomidine induced sedation, bradycardia, atrio-ventricular heart block and hyperglycemia.", "author" : [ { "dropping-particle" : "", "family" : "Dimaio Knych", "given" : "Heather K.", "non-dropping-particle" : "", "parse-names" : false, "suffix" : "" }, { "dropping-particle" : "", "family" : "Covarrubias", "given" : "Vanessa", "non-dropping-particle" : "", "parse-names" : false, "suffix" : "" }, { "dropping-particle" : "", "family" : "Steffey", "given" : "Eugene P.", "non-dropping-particle" : "", "parse-names" : false, "suffix" : "" } ], "container-title" : "Veterinary Anaesthesia and Analgesia", "id" : "ITEM-1", "issue" : "6", "issued" : { "date-parts" : [ [ "2012" ] ] }, "page" : "574-583", "title" : "Effect of yohimbine on detomidine induced changes in behavior, cardiac and blood parameters in the horse", "type" : "article-journal", "volume" : "39" }, "uris" : [ "http://www.mendeley.com/documents/?uuid=22ec7d39-3121-498d-b24c-8a19caec533c" ] } ], "mendeley" : { "formattedCitation" : "(Heather K. Dimaio Knych, Covarrubias, and Steffey 2012)", "plainTextFormattedCitation" : "(Heather K. Dimaio Knych, Covarrubias, and Steffey 2012)", "previouslyFormattedCitation" : "(Heather K. Dimaio Knych, Covarrubias, and Steffey 2012)" }, "properties" : { "noteIndex" : 0 }, "schema" : "https://github.com/citation-style-language/schema/raw/master/csl-citation.json" }</w:instrText>
      </w:r>
      <w:r w:rsidR="00A2062B" w:rsidRPr="00A518CC">
        <w:rPr>
          <w:rFonts w:ascii="Times New Roman" w:hAnsi="Times New Roman"/>
          <w:sz w:val="24"/>
          <w:szCs w:val="24"/>
          <w:lang w:val="en-US"/>
        </w:rPr>
        <w:fldChar w:fldCharType="separate"/>
      </w:r>
      <w:r w:rsidRPr="00A518CC">
        <w:rPr>
          <w:rFonts w:ascii="Times New Roman" w:hAnsi="Times New Roman"/>
          <w:noProof/>
          <w:sz w:val="24"/>
          <w:szCs w:val="24"/>
          <w:lang w:val="en-US"/>
        </w:rPr>
        <w:t xml:space="preserve">(Dimaio Knych </w:t>
      </w:r>
      <w:r w:rsidRPr="00A518CC">
        <w:rPr>
          <w:rFonts w:ascii="Times New Roman" w:hAnsi="Times New Roman"/>
          <w:i/>
          <w:noProof/>
          <w:sz w:val="24"/>
          <w:szCs w:val="24"/>
          <w:lang w:val="en-US"/>
        </w:rPr>
        <w:t>et al</w:t>
      </w:r>
      <w:r w:rsidRPr="00A518CC">
        <w:rPr>
          <w:rFonts w:ascii="Times New Roman" w:hAnsi="Times New Roman"/>
          <w:noProof/>
          <w:sz w:val="24"/>
          <w:szCs w:val="24"/>
          <w:lang w:val="en-US"/>
        </w:rPr>
        <w:t xml:space="preserve">., </w:t>
      </w:r>
      <w:r w:rsidRPr="00A518CC">
        <w:rPr>
          <w:rFonts w:ascii="Times New Roman" w:hAnsi="Times New Roman"/>
          <w:noProof/>
          <w:sz w:val="24"/>
          <w:szCs w:val="24"/>
          <w:lang w:val="en-US"/>
        </w:rPr>
        <w:lastRenderedPageBreak/>
        <w:t xml:space="preserve">2012; </w:t>
      </w:r>
      <w:r w:rsidR="00A2062B" w:rsidRPr="00A518CC">
        <w:rPr>
          <w:rFonts w:ascii="Times New Roman" w:hAnsi="Times New Roman"/>
          <w:sz w:val="24"/>
          <w:szCs w:val="24"/>
          <w:lang w:val="en-US"/>
        </w:rPr>
        <w:fldChar w:fldCharType="begin" w:fldLock="1"/>
      </w:r>
      <w:r w:rsidRPr="00A518CC">
        <w:rPr>
          <w:rFonts w:ascii="Times New Roman" w:hAnsi="Times New Roman"/>
          <w:sz w:val="24"/>
          <w:szCs w:val="24"/>
          <w:lang w:val="en-US"/>
        </w:rPr>
        <w:instrText>ADDIN CSL_CITATION { "citationItems" : [ { "id" : "ITEM-1", "itemData" : { "DOI" : "10.2460/ajvr.72.10.1378", "ISSN" : "00029645", "PMID" : "21962281", "abstract" : "OBJECTIVE: To characterize pharmacokinetics and pharmacodynamics of detomidine gel administered sublingually in accordance with label instructions to establish appropriate withdrawal guidelines for horses before competition. ANIMALS: 12 adult racehorses. PROCEDURES: Horses received a single sublingual administration of 0.04 mg of detomidine/kg. Blood samples were collected before and up to 72 hours after drug administration. Urine samples were collected for 5 days after detomidine administration. Plasma and urine samples were analyzed via liquid chromatography-mass spectrometry, and resulting data were analyzed by use of noncompartmental analysis. Chin-to-ground distance, heart rate and rhythm, glucose concentration, PCV, and plasma protein concentration were also assessed following detomidine administration. RESULTS: Mean \u00b1 SD terminal elimination half-life of detomidine was 1.5 \u00b1 1 hours. Metabolite concentrations were below the limit of detection (0.02, 0.1, and 0.5 ng/mL for detomidine, carboxydetomidine, and hydroxydetomidine, respectively) in plasma by 24 hours. Concentrations of detomidine and its metabolites were below the limit of detection (0.05 ng/mL for detomidine and 0.10 ng/mL for carboxydetomidine and hydroxydetomidine) in urine by 3 days. All horses had various degrees of sedation after detomidine administration. Time of onset was \u2264 40 minutes, and duration of sedation was approximately 2 hours. Significant decreases, relative to values at time 0, were detected for chin-to-ground distance and heart rate. There was an increased incidence and exacerbation of preexisting atrioventricular blocks after detomidine administration. CONCLUSIONS AND CLINICAL RELEVANCE: A 48-hour and 3-day withdrawal period for detection in plasma and urine samples, respectively, should be adopted for sublingual administration of detomidine gel.", "author" : [ { "dropping-particle" : "", "family" : "Maio Knych", "given" : "Heather K.", "non-dropping-particle" : "di", "parse-names" : false, "suffix" : "" }, { "dropping-particle" : "", "family" : "Stanley", "given" : "Scott D.", "non-dropping-particle" : "", "parse-names" : false, "suffix" : "" } ], "container-title" : "American Journal of Veterinary Research", "id" : "ITEM-1", "issue" : "10", "issued" : { "date-parts" : [ [ "2011" ] ] }, "page" : "1378-1385", "title" : "Pharmacokinetics and pharmacodynamics of detomidine following sublingual administration to horses", "type" : "article-journal", "volume" : "72" }, "uris" : [ "http://www.mendeley.com/documents/?uuid=e5f10679-ce62-4a44-a1cc-fd136dd0b220" ] } ], "mendeley" : { "formattedCitation" : "(di Maio Knych and Stanley 2011)", "plainTextFormattedCitation" : "(di Maio Knych and Stanley 2011)", "previouslyFormattedCitation" : "(di Maio Knych and Stanley 2011)" }, "properties" : { "noteIndex" : 0 }, "schema" : "https://github.com/citation-style-language/schema/raw/master/csl-citation.json" }</w:instrText>
      </w:r>
      <w:r w:rsidR="00A2062B" w:rsidRPr="00A518CC">
        <w:rPr>
          <w:rFonts w:ascii="Times New Roman" w:hAnsi="Times New Roman"/>
          <w:sz w:val="24"/>
          <w:szCs w:val="24"/>
          <w:lang w:val="en-US"/>
        </w:rPr>
        <w:fldChar w:fldCharType="separate"/>
      </w:r>
      <w:r w:rsidRPr="00A518CC">
        <w:rPr>
          <w:rFonts w:ascii="Times New Roman" w:hAnsi="Times New Roman"/>
          <w:noProof/>
          <w:sz w:val="24"/>
          <w:szCs w:val="24"/>
          <w:lang w:val="en-US"/>
        </w:rPr>
        <w:t>di Maio Knych &amp; Stanley 2011)</w:t>
      </w:r>
      <w:r w:rsidR="00A2062B" w:rsidRPr="00A518CC">
        <w:rPr>
          <w:rFonts w:ascii="Times New Roman" w:hAnsi="Times New Roman"/>
          <w:sz w:val="24"/>
          <w:szCs w:val="24"/>
          <w:lang w:val="en-US"/>
        </w:rPr>
        <w:fldChar w:fldCharType="end"/>
      </w:r>
      <w:r w:rsidRPr="00A518CC">
        <w:rPr>
          <w:rFonts w:ascii="Times New Roman" w:hAnsi="Times New Roman"/>
          <w:noProof/>
          <w:sz w:val="24"/>
          <w:szCs w:val="24"/>
          <w:lang w:val="en-US"/>
        </w:rPr>
        <w:t>)</w:t>
      </w:r>
      <w:r w:rsidR="00A2062B" w:rsidRPr="00A518CC">
        <w:rPr>
          <w:rFonts w:ascii="Times New Roman" w:hAnsi="Times New Roman"/>
          <w:sz w:val="24"/>
          <w:szCs w:val="24"/>
          <w:lang w:val="en-US"/>
        </w:rPr>
        <w:fldChar w:fldCharType="end"/>
      </w:r>
      <w:r w:rsidRPr="00A518CC">
        <w:rPr>
          <w:rFonts w:ascii="Times New Roman" w:hAnsi="Times New Roman"/>
          <w:sz w:val="24"/>
          <w:szCs w:val="24"/>
          <w:lang w:val="en-US"/>
        </w:rPr>
        <w:t xml:space="preserve">. </w:t>
      </w:r>
      <w:r w:rsidR="00A2062B" w:rsidRPr="00A518CC">
        <w:rPr>
          <w:rFonts w:ascii="Times New Roman" w:hAnsi="Times New Roman"/>
          <w:sz w:val="24"/>
          <w:szCs w:val="24"/>
          <w:lang w:val="en-US"/>
        </w:rPr>
        <w:fldChar w:fldCharType="begin" w:fldLock="1"/>
      </w:r>
      <w:r w:rsidRPr="00A518CC">
        <w:rPr>
          <w:rFonts w:ascii="Times New Roman" w:hAnsi="Times New Roman"/>
          <w:sz w:val="24"/>
          <w:szCs w:val="24"/>
          <w:lang w:val="en-US"/>
        </w:rPr>
        <w:instrText>ADDIN CSL_CITATION { "citationItems" : [ { "id" : "ITEM-1", "itemData" : { "DOI" : "10.1111/j.1365-2885.2010.01193.x", "ISSN" : "01407783", "PMID" : "21219348", "abstract" : "The objective of the study was to determine the absorption, bioavailability and sedative effect of detomidine administered to horses as an oromucosal gel compared to intravenous and intramuscular administration of detomidine injectable solution. The study was open and randomized, with three sequences crossover design. Nine healthy horses were given 40\u2003\u03bcg/kg detomidine intravenously, intramuscularly or administered under the tongue with a 7-day wash-out period between treatments. Blood samples were collected before and after drug administration for the measurement of detomidine concentrations in serum. The effects of the route of administration on heart rate and rhythm were evaluated and the depth of sedation assessed. Mean (\u00b1SD) bioavailability of detomidine was 22% (\u00b15.3%) after sublingual administration and 38.2% (\u00b17.9%) after intramuscular administration. The sedative effects correlated with detomidine concentrations regardless of the route of administration. We conclude that less detomidine is absorbed when given sublingually than when given intramuscularly, because part of it does not reach the circulation. Sublingual administration of detomidine oromucosal gel at 40\u2003\u03bcg/kg produces safe sedation in horses. Slow absorption leads to fewer and less pronounced adverse effects than the more rapid absorption after intramuscular injection.", "author" : [ { "dropping-particle" : "", "family" : "Kaukinen", "given" : "H.", "non-dropping-particle" : "", "parse-names" : false, "suffix" : "" }, { "dropping-particle" : "", "family" : "Aspegr\u00e9n", "given" : "J.", "non-dropping-particle" : "", "parse-names" : false, "suffix" : "" }, { "dropping-particle" : "", "family" : "Hyypp\u00e4", "given" : "S.", "non-dropping-particle" : "", "parse-names" : false, "suffix" : "" }, { "dropping-particle" : "", "family" : "Tamm", "given" : "L.", "non-dropping-particle" : "", "parse-names" : false, "suffix" : "" }, { "dropping-particle" : "", "family" : "Salonen", "given" : "J. S.", "non-dropping-particle" : "", "parse-names" : false, "suffix" : "" } ], "container-title" : "Journal of Veterinary Pharmacology and Therapeutics", "id" : "ITEM-1", "issue" : "1", "issued" : { "date-parts" : [ [ "2011" ] ] }, "page" : "76-81", "title" : "Bioavailability of detomidine administered sublingually to horses as an oromucosal gel", "type" : "article-journal", "volume" : "34" }, "uris" : [ "http://www.mendeley.com/documents/?uuid=59a2b87e-6103-4f35-a43d-3052d0e65845" ] } ], "mendeley" : { "formattedCitation" : "(Kaukinen et al. 2011)", "plainTextFormattedCitation" : "(Kaukinen et al. 2011)", "previouslyFormattedCitation" : "(Kaukinen et al. 2011)" }, "properties" : { "noteIndex" : 0 }, "schema" : "https://github.com/citation-style-language/schema/raw/master/csl-citation.json" }</w:instrText>
      </w:r>
      <w:r w:rsidR="00A2062B" w:rsidRPr="00A518CC">
        <w:rPr>
          <w:rFonts w:ascii="Times New Roman" w:hAnsi="Times New Roman"/>
          <w:sz w:val="24"/>
          <w:szCs w:val="24"/>
          <w:lang w:val="en-US"/>
        </w:rPr>
        <w:fldChar w:fldCharType="separate"/>
      </w:r>
      <w:r w:rsidRPr="00A518CC">
        <w:rPr>
          <w:rFonts w:ascii="Times New Roman" w:hAnsi="Times New Roman"/>
          <w:noProof/>
          <w:sz w:val="24"/>
          <w:szCs w:val="24"/>
          <w:lang w:val="en-US"/>
        </w:rPr>
        <w:t xml:space="preserve">Kaukinen </w:t>
      </w:r>
      <w:r w:rsidRPr="00A518CC">
        <w:rPr>
          <w:rFonts w:ascii="Times New Roman" w:hAnsi="Times New Roman"/>
          <w:i/>
          <w:noProof/>
          <w:sz w:val="24"/>
          <w:szCs w:val="24"/>
          <w:lang w:val="en-US"/>
        </w:rPr>
        <w:t xml:space="preserve">et al. </w:t>
      </w:r>
      <w:r w:rsidRPr="00A518CC">
        <w:rPr>
          <w:rFonts w:ascii="Times New Roman" w:hAnsi="Times New Roman"/>
          <w:noProof/>
          <w:sz w:val="24"/>
          <w:szCs w:val="24"/>
          <w:lang w:val="en-US"/>
        </w:rPr>
        <w:t>(2011)</w:t>
      </w:r>
      <w:r w:rsidR="00A2062B" w:rsidRPr="00A518CC">
        <w:rPr>
          <w:rFonts w:ascii="Times New Roman" w:hAnsi="Times New Roman"/>
          <w:sz w:val="24"/>
          <w:szCs w:val="24"/>
          <w:lang w:val="en-US"/>
        </w:rPr>
        <w:fldChar w:fldCharType="end"/>
      </w:r>
      <w:r w:rsidRPr="00A518CC">
        <w:rPr>
          <w:rFonts w:ascii="Times New Roman" w:hAnsi="Times New Roman"/>
          <w:sz w:val="24"/>
          <w:szCs w:val="24"/>
          <w:lang w:val="en-US"/>
        </w:rPr>
        <w:t xml:space="preserve"> reported sedation started sooner after IM administration than after the administration of the oromucosal gel. This can be explained by the lower mean C</w:t>
      </w:r>
      <w:r w:rsidRPr="00A518CC">
        <w:rPr>
          <w:rFonts w:ascii="Times New Roman" w:hAnsi="Times New Roman"/>
          <w:sz w:val="24"/>
          <w:szCs w:val="24"/>
          <w:vertAlign w:val="subscript"/>
          <w:lang w:val="en-US"/>
        </w:rPr>
        <w:t>max</w:t>
      </w:r>
      <w:r w:rsidRPr="00A518CC">
        <w:rPr>
          <w:rFonts w:ascii="Times New Roman" w:hAnsi="Times New Roman"/>
          <w:sz w:val="24"/>
          <w:szCs w:val="24"/>
          <w:lang w:val="en-US"/>
        </w:rPr>
        <w:t xml:space="preserve"> and the longer mean t</w:t>
      </w:r>
      <w:r w:rsidRPr="00A518CC">
        <w:rPr>
          <w:rFonts w:ascii="Times New Roman" w:hAnsi="Times New Roman"/>
          <w:sz w:val="24"/>
          <w:szCs w:val="24"/>
          <w:vertAlign w:val="subscript"/>
          <w:lang w:val="en-US"/>
        </w:rPr>
        <w:t>max</w:t>
      </w:r>
      <w:r w:rsidRPr="00A518CC">
        <w:rPr>
          <w:rFonts w:ascii="Times New Roman" w:hAnsi="Times New Roman"/>
          <w:sz w:val="24"/>
          <w:szCs w:val="24"/>
          <w:lang w:val="en-US"/>
        </w:rPr>
        <w:t xml:space="preserve"> after SL administration regarding to the IM injection, indicating that DET is absorbed more rapidly when given IM to horse. DET produces cardiovascular side effects and ataxia </w:t>
      </w:r>
      <w:r w:rsidR="00A2062B" w:rsidRPr="00A518CC">
        <w:rPr>
          <w:rFonts w:ascii="Times New Roman" w:hAnsi="Times New Roman"/>
          <w:sz w:val="24"/>
          <w:szCs w:val="24"/>
          <w:lang w:val="en-US"/>
        </w:rPr>
        <w:fldChar w:fldCharType="begin" w:fldLock="1"/>
      </w:r>
      <w:r w:rsidRPr="00A518CC">
        <w:rPr>
          <w:rFonts w:ascii="Times New Roman" w:hAnsi="Times New Roman"/>
          <w:sz w:val="24"/>
          <w:szCs w:val="24"/>
          <w:lang w:val="en-US"/>
        </w:rPr>
        <w:instrText>ADDIN CSL_CITATION { "citationItems" : [ { "id" : "ITEM-1", "itemData" : { "DOI" : "10.1111/j.1467-2995.2012.00776.x", "ISSN" : "14672987", "PMID" : "23035904", "abstract" : "OBJECTIVE: To describe selected pharmacodynamic effects of detomidine and yohimbine when administered alone and in sequence.\\n\\nSTUDY DESIGN: Randomized crossover design.\\n\\nANIMALS: Nine healthy adult horses aged 9 \u00b1 4 years and weighing 561 \u00b1 56 kg.\\n\\nMETHODS: Three dose regimens were employed in the current study. 1) 0.03 mg kg(-1) detomidine IV, 2) 0.2 mg kg(-1) yohimbine IV and 3) 0.03 mg kg(-1) detomidine IV followed 15 minutes later by 0.2 mg kg(-1) yohimbine IV. Each horse received all three treatments with a minimum of 1 week between treatments. Blood samples were obtained and plasma analyzed for detomidine and yohimbine concentrations by liquid chromatography-mass spectrometry. Behavioral effects, heart rate and rhythm, glucose, packed cell volume and plasma proteins were monitored.\\n\\nRESULTS: Yohimbine rapidly reversed the sedative effects of detomidine in the horse. Additionally, yohimbine effectively returned heart rate and the percent of atrio-ventricular conduction disturbances to pre-detomidine values when administered 15 minutes post-detomidine administration. Plasma glucose was significantly increased following detomidine administration. The detomidine induced hyperglycemia was effectively reduced by yohimbine administration. Effects on packed cell volume and plasma proteins were variable.\\n\\nCONCLUSIONS AND CLINICAL RELEVANCE: Intravenous administration of yohimbine effectively reversed detomidine induced sedation, bradycardia, atrio-ventricular heart block and hyperglycemia.", "author" : [ { "dropping-particle" : "", "family" : "Dimaio Knych", "given" : "Heather K.", "non-dropping-particle" : "", "parse-names" : false, "suffix" : "" }, { "dropping-particle" : "", "family" : "Covarrubias", "given" : "Vanessa", "non-dropping-particle" : "", "parse-names" : false, "suffix" : "" }, { "dropping-particle" : "", "family" : "Steffey", "given" : "Eugene P.", "non-dropping-particle" : "", "parse-names" : false, "suffix" : "" } ], "container-title" : "Veterinary Anaesthesia and Analgesia", "id" : "ITEM-1", "issue" : "6", "issued" : { "date-parts" : [ [ "2012" ] ] }, "page" : "574-583", "title" : "Effect of yohimbine on detomidine induced changes in behavior, cardiac and blood parameters in the horse", "type" : "article-journal", "volume" : "39" }, "uris" : [ "http://www.mendeley.com/documents/?uuid=22ec7d39-3121-498d-b24c-8a19caec533c" ] } ], "mendeley" : { "formattedCitation" : "(Heather K. Dimaio Knych, Covarrubias, and Steffey 2012)", "plainTextFormattedCitation" : "(Heather K. Dimaio Knych, Covarrubias, and Steffey 2012)", "previouslyFormattedCitation" : "(Heather K. Dimaio Knych, Covarrubias, and Steffey 2012)" }, "properties" : { "noteIndex" : 0 }, "schema" : "https://github.com/citation-style-language/schema/raw/master/csl-citation.json" }</w:instrText>
      </w:r>
      <w:r w:rsidR="00A2062B" w:rsidRPr="00A518CC">
        <w:rPr>
          <w:rFonts w:ascii="Times New Roman" w:hAnsi="Times New Roman"/>
          <w:sz w:val="24"/>
          <w:szCs w:val="24"/>
          <w:lang w:val="en-US"/>
        </w:rPr>
        <w:fldChar w:fldCharType="separate"/>
      </w:r>
      <w:r w:rsidRPr="00A518CC">
        <w:rPr>
          <w:rFonts w:ascii="Times New Roman" w:hAnsi="Times New Roman"/>
          <w:noProof/>
          <w:sz w:val="24"/>
          <w:szCs w:val="24"/>
          <w:lang w:val="en-US"/>
        </w:rPr>
        <w:t xml:space="preserve">(Dimaio Knych </w:t>
      </w:r>
      <w:r w:rsidRPr="00A518CC">
        <w:rPr>
          <w:rFonts w:ascii="Times New Roman" w:hAnsi="Times New Roman"/>
          <w:i/>
          <w:noProof/>
          <w:sz w:val="24"/>
          <w:szCs w:val="24"/>
          <w:lang w:val="en-US"/>
        </w:rPr>
        <w:t>et al</w:t>
      </w:r>
      <w:r w:rsidRPr="00A518CC">
        <w:rPr>
          <w:rFonts w:ascii="Times New Roman" w:hAnsi="Times New Roman"/>
          <w:noProof/>
          <w:sz w:val="24"/>
          <w:szCs w:val="24"/>
          <w:lang w:val="en-US"/>
        </w:rPr>
        <w:t>., 2012)</w:t>
      </w:r>
      <w:r w:rsidR="00A2062B" w:rsidRPr="00A518CC">
        <w:rPr>
          <w:rFonts w:ascii="Times New Roman" w:hAnsi="Times New Roman"/>
          <w:sz w:val="24"/>
          <w:szCs w:val="24"/>
          <w:lang w:val="en-US"/>
        </w:rPr>
        <w:fldChar w:fldCharType="end"/>
      </w:r>
      <w:r w:rsidRPr="00A518CC">
        <w:rPr>
          <w:rFonts w:ascii="Times New Roman" w:hAnsi="Times New Roman"/>
          <w:sz w:val="24"/>
          <w:szCs w:val="24"/>
          <w:lang w:val="en-US"/>
        </w:rPr>
        <w:t xml:space="preserve">, in the study of </w:t>
      </w:r>
      <w:r w:rsidR="00A2062B" w:rsidRPr="00A518CC">
        <w:rPr>
          <w:rFonts w:ascii="Times New Roman" w:hAnsi="Times New Roman"/>
          <w:sz w:val="24"/>
          <w:szCs w:val="24"/>
          <w:lang w:val="en-US"/>
        </w:rPr>
        <w:fldChar w:fldCharType="begin" w:fldLock="1"/>
      </w:r>
      <w:r w:rsidRPr="00A518CC">
        <w:rPr>
          <w:rFonts w:ascii="Times New Roman" w:hAnsi="Times New Roman"/>
          <w:sz w:val="24"/>
          <w:szCs w:val="24"/>
          <w:lang w:val="en-US"/>
        </w:rPr>
        <w:instrText>ADDIN CSL_CITATION { "citationItems" : [ { "id" : "ITEM-1", "itemData" : { "DOI" : "10.1111/j.1365-2885.2010.01193.x", "ISSN" : "01407783", "PMID" : "21219348", "abstract" : "The objective of the study was to determine the absorption, bioavailability and sedative effect of detomidine administered to horses as an oromucosal gel compared to intravenous and intramuscular administration of detomidine injectable solution. The study was open and randomized, with three sequences crossover design. Nine healthy horses were given 40\u2003\u03bcg/kg detomidine intravenously, intramuscularly or administered under the tongue with a 7-day wash-out period between treatments. Blood samples were collected before and after drug administration for the measurement of detomidine concentrations in serum. The effects of the route of administration on heart rate and rhythm were evaluated and the depth of sedation assessed. Mean (\u00b1SD) bioavailability of detomidine was 22% (\u00b15.3%) after sublingual administration and 38.2% (\u00b17.9%) after intramuscular administration. The sedative effects correlated with detomidine concentrations regardless of the route of administration. We conclude that less detomidine is absorbed when given sublingually than when given intramuscularly, because part of it does not reach the circulation. Sublingual administration of detomidine oromucosal gel at 40\u2003\u03bcg/kg produces safe sedation in horses. Slow absorption leads to fewer and less pronounced adverse effects than the more rapid absorption after intramuscular injection.", "author" : [ { "dropping-particle" : "", "family" : "Kaukinen", "given" : "H.", "non-dropping-particle" : "", "parse-names" : false, "suffix" : "" }, { "dropping-particle" : "", "family" : "Aspegr\u00e9n", "given" : "J.", "non-dropping-particle" : "", "parse-names" : false, "suffix" : "" }, { "dropping-particle" : "", "family" : "Hyypp\u00e4", "given" : "S.", "non-dropping-particle" : "", "parse-names" : false, "suffix" : "" }, { "dropping-particle" : "", "family" : "Tamm", "given" : "L.", "non-dropping-particle" : "", "parse-names" : false, "suffix" : "" }, { "dropping-particle" : "", "family" : "Salonen", "given" : "J. S.", "non-dropping-particle" : "", "parse-names" : false, "suffix" : "" } ], "container-title" : "Journal of Veterinary Pharmacology and Therapeutics", "id" : "ITEM-1", "issue" : "1", "issued" : { "date-parts" : [ [ "2011" ] ] }, "page" : "76-81", "title" : "Bioavailability of detomidine administered sublingually to horses as an oromucosal gel", "type" : "article-journal", "volume" : "34" }, "uris" : [ "http://www.mendeley.com/documents/?uuid=59a2b87e-6103-4f35-a43d-3052d0e65845" ] } ], "mendeley" : { "formattedCitation" : "(Kaukinen et al. 2011)", "plainTextFormattedCitation" : "(Kaukinen et al. 2011)", "previouslyFormattedCitation" : "(Kaukinen et al. 2011)" }, "properties" : { "noteIndex" : 0 }, "schema" : "https://github.com/citation-style-language/schema/raw/master/csl-citation.json" }</w:instrText>
      </w:r>
      <w:r w:rsidR="00A2062B" w:rsidRPr="00A518CC">
        <w:rPr>
          <w:rFonts w:ascii="Times New Roman" w:hAnsi="Times New Roman"/>
          <w:sz w:val="24"/>
          <w:szCs w:val="24"/>
          <w:lang w:val="en-US"/>
        </w:rPr>
        <w:fldChar w:fldCharType="separate"/>
      </w:r>
      <w:r w:rsidRPr="00A518CC">
        <w:rPr>
          <w:rFonts w:ascii="Times New Roman" w:hAnsi="Times New Roman"/>
          <w:noProof/>
          <w:sz w:val="24"/>
          <w:szCs w:val="24"/>
          <w:lang w:val="en-US"/>
        </w:rPr>
        <w:t xml:space="preserve">(Kaukinen </w:t>
      </w:r>
      <w:r w:rsidRPr="00A518CC">
        <w:rPr>
          <w:rFonts w:ascii="Times New Roman" w:hAnsi="Times New Roman"/>
          <w:i/>
          <w:noProof/>
          <w:sz w:val="24"/>
          <w:szCs w:val="24"/>
          <w:lang w:val="en-US"/>
        </w:rPr>
        <w:t>et al</w:t>
      </w:r>
      <w:r w:rsidRPr="00A518CC">
        <w:rPr>
          <w:rFonts w:ascii="Times New Roman" w:hAnsi="Times New Roman"/>
          <w:noProof/>
          <w:sz w:val="24"/>
          <w:szCs w:val="24"/>
          <w:lang w:val="en-US"/>
        </w:rPr>
        <w:t>., 2011)</w:t>
      </w:r>
      <w:r w:rsidR="00A2062B" w:rsidRPr="00A518CC">
        <w:rPr>
          <w:rFonts w:ascii="Times New Roman" w:hAnsi="Times New Roman"/>
          <w:sz w:val="24"/>
          <w:szCs w:val="24"/>
          <w:lang w:val="en-US"/>
        </w:rPr>
        <w:fldChar w:fldCharType="end"/>
      </w:r>
      <w:r w:rsidRPr="00A518CC">
        <w:rPr>
          <w:rFonts w:ascii="Times New Roman" w:hAnsi="Times New Roman"/>
          <w:sz w:val="24"/>
          <w:szCs w:val="24"/>
          <w:lang w:val="en-US"/>
        </w:rPr>
        <w:t xml:space="preserve"> those effects were less pronounces after the SL administration. Whereas in the oromucosal gel group no adverse events were seen, with the exception of only adverse event after IM treatment was mild bradycardia seen in one horse. It has been shown that some horses exhibit signs of ataxia (stable but sawying lightly) between the 40-90 min assessment points after oromucosal gel administration. The bradycardia and conduction disturbances observed following DET administration may be attributable to a centrally mediated decrease in peripheral sympathetic tone, presynaptic inhibition of norepinephrine release from fibers innervating the heart, or enhancement of vagal reflexes </w:t>
      </w:r>
      <w:r w:rsidR="00A2062B" w:rsidRPr="00A518CC">
        <w:rPr>
          <w:rFonts w:ascii="Times New Roman" w:hAnsi="Times New Roman"/>
          <w:sz w:val="24"/>
          <w:szCs w:val="24"/>
          <w:lang w:val="en-US"/>
        </w:rPr>
        <w:fldChar w:fldCharType="begin" w:fldLock="1"/>
      </w:r>
      <w:r w:rsidRPr="00A518CC">
        <w:rPr>
          <w:rFonts w:ascii="Times New Roman" w:hAnsi="Times New Roman"/>
          <w:sz w:val="24"/>
          <w:szCs w:val="24"/>
          <w:lang w:val="en-US"/>
        </w:rPr>
        <w:instrText>ADDIN CSL_CITATION { "citationItems" : [ { "id" : "ITEM-1", "itemData" : { "DOI" : "10.2460/ajvr.72.10.1378", "ISSN" : "00029645", "PMID" : "21962281", "abstract" : "OBJECTIVE: To characterize pharmacokinetics and pharmacodynamics of detomidine gel administered sublingually in accordance with label instructions to establish appropriate withdrawal guidelines for horses before competition. ANIMALS: 12 adult racehorses. PROCEDURES: Horses received a single sublingual administration of 0.04 mg of detomidine/kg. Blood samples were collected before and up to 72 hours after drug administration. Urine samples were collected for 5 days after detomidine administration. Plasma and urine samples were analyzed via liquid chromatography-mass spectrometry, and resulting data were analyzed by use of noncompartmental analysis. Chin-to-ground distance, heart rate and rhythm, glucose concentration, PCV, and plasma protein concentration were also assessed following detomidine administration. RESULTS: Mean \u00b1 SD terminal elimination half-life of detomidine was 1.5 \u00b1 1 hours. Metabolite concentrations were below the limit of detection (0.02, 0.1, and 0.5 ng/mL for detomidine, carboxydetomidine, and hydroxydetomidine, respectively) in plasma by 24 hours. Concentrations of detomidine and its metabolites were below the limit of detection (0.05 ng/mL for detomidine and 0.10 ng/mL for carboxydetomidine and hydroxydetomidine) in urine by 3 days. All horses had various degrees of sedation after detomidine administration. Time of onset was \u2264 40 minutes, and duration of sedation was approximately 2 hours. Significant decreases, relative to values at time 0, were detected for chin-to-ground distance and heart rate. There was an increased incidence and exacerbation of preexisting atrioventricular blocks after detomidine administration. CONCLUSIONS AND CLINICAL RELEVANCE: A 48-hour and 3-day withdrawal period for detection in plasma and urine samples, respectively, should be adopted for sublingual administration of detomidine gel.", "author" : [ { "dropping-particle" : "", "family" : "Maio Knych", "given" : "Heather K.", "non-dropping-particle" : "di", "parse-names" : false, "suffix" : "" }, { "dropping-particle" : "", "family" : "Stanley", "given" : "Scott D.", "non-dropping-particle" : "", "parse-names" : false, "suffix" : "" } ], "container-title" : "American Journal of Veterinary Research", "id" : "ITEM-1", "issue" : "10", "issued" : { "date-parts" : [ [ "2011" ] ] }, "page" : "1378-1385", "title" : "Pharmacokinetics and pharmacodynamics of detomidine following sublingual administration to horses", "type" : "article-journal", "volume" : "72" }, "uris" : [ "http://www.mendeley.com/documents/?uuid=e5f10679-ce62-4a44-a1cc-fd136dd0b220" ] } ], "mendeley" : { "formattedCitation" : "(di Maio Knych and Stanley 2011)", "plainTextFormattedCitation" : "(di Maio Knych and Stanley 2011)", "previouslyFormattedCitation" : "(di Maio Knych and Stanley 2011)" }, "properties" : { "noteIndex" : 0 }, "schema" : "https://github.com/citation-style-language/schema/raw/master/csl-citation.json" }</w:instrText>
      </w:r>
      <w:r w:rsidR="00A2062B" w:rsidRPr="00A518CC">
        <w:rPr>
          <w:rFonts w:ascii="Times New Roman" w:hAnsi="Times New Roman"/>
          <w:sz w:val="24"/>
          <w:szCs w:val="24"/>
          <w:lang w:val="en-US"/>
        </w:rPr>
        <w:fldChar w:fldCharType="separate"/>
      </w:r>
      <w:r w:rsidRPr="00A518CC">
        <w:rPr>
          <w:rFonts w:ascii="Times New Roman" w:hAnsi="Times New Roman"/>
          <w:noProof/>
          <w:sz w:val="24"/>
          <w:szCs w:val="24"/>
          <w:lang w:val="en-US"/>
        </w:rPr>
        <w:t>(di Maio Knych &amp; Stanley 2011)</w:t>
      </w:r>
      <w:r w:rsidR="00A2062B" w:rsidRPr="00A518CC">
        <w:rPr>
          <w:rFonts w:ascii="Times New Roman" w:hAnsi="Times New Roman"/>
          <w:sz w:val="24"/>
          <w:szCs w:val="24"/>
          <w:lang w:val="en-US"/>
        </w:rPr>
        <w:fldChar w:fldCharType="end"/>
      </w:r>
      <w:r w:rsidRPr="00A518CC">
        <w:rPr>
          <w:rFonts w:ascii="Times New Roman" w:hAnsi="Times New Roman"/>
          <w:sz w:val="24"/>
          <w:szCs w:val="24"/>
          <w:lang w:val="en-US"/>
        </w:rPr>
        <w:t>.</w:t>
      </w:r>
    </w:p>
    <w:p w:rsidR="00B41C1C" w:rsidRPr="00A518CC" w:rsidRDefault="00A2062B" w:rsidP="00B41C1C">
      <w:pPr>
        <w:spacing w:line="360" w:lineRule="auto"/>
        <w:rPr>
          <w:rFonts w:ascii="Times New Roman" w:hAnsi="Times New Roman"/>
          <w:sz w:val="24"/>
          <w:szCs w:val="24"/>
          <w:lang w:val="en-US"/>
        </w:rPr>
      </w:pPr>
      <w:r w:rsidRPr="00A518CC">
        <w:rPr>
          <w:rFonts w:ascii="Times New Roman" w:hAnsi="Times New Roman"/>
          <w:sz w:val="24"/>
          <w:szCs w:val="24"/>
          <w:lang w:val="en-US"/>
        </w:rPr>
        <w:fldChar w:fldCharType="begin" w:fldLock="1"/>
      </w:r>
      <w:r w:rsidR="00B41C1C" w:rsidRPr="00A518CC">
        <w:rPr>
          <w:rFonts w:ascii="Times New Roman" w:hAnsi="Times New Roman"/>
          <w:sz w:val="24"/>
          <w:szCs w:val="24"/>
          <w:lang w:val="en-US"/>
        </w:rPr>
        <w:instrText>ADDIN CSL_CITATION { "citationItems" : [ { "id" : "ITEM-1", "itemData" : { "DOI" : "10.1111/j.1467-2995.2012.00776.x", "ISSN" : "14672987", "PMID" : "23035904", "abstract" : "OBJECTIVE: To describe selected pharmacodynamic effects of detomidine and yohimbine when administered alone and in sequence.\\n\\nSTUDY DESIGN: Randomized crossover design.\\n\\nANIMALS: Nine healthy adult horses aged 9 \u00b1 4 years and weighing 561 \u00b1 56 kg.\\n\\nMETHODS: Three dose regimens were employed in the current study. 1) 0.03 mg kg(-1) detomidine IV, 2) 0.2 mg kg(-1) yohimbine IV and 3) 0.03 mg kg(-1) detomidine IV followed 15 minutes later by 0.2 mg kg(-1) yohimbine IV. Each horse received all three treatments with a minimum of 1 week between treatments. Blood samples were obtained and plasma analyzed for detomidine and yohimbine concentrations by liquid chromatography-mass spectrometry. Behavioral effects, heart rate and rhythm, glucose, packed cell volume and plasma proteins were monitored.\\n\\nRESULTS: Yohimbine rapidly reversed the sedative effects of detomidine in the horse. Additionally, yohimbine effectively returned heart rate and the percent of atrio-ventricular conduction disturbances to pre-detomidine values when administered 15 minutes post-detomidine administration. Plasma glucose was significantly increased following detomidine administration. The detomidine induced hyperglycemia was effectively reduced by yohimbine administration. Effects on packed cell volume and plasma proteins were variable.\\n\\nCONCLUSIONS AND CLINICAL RELEVANCE: Intravenous administration of yohimbine effectively reversed detomidine induced sedation, bradycardia, atrio-ventricular heart block and hyperglycemia.", "author" : [ { "dropping-particle" : "", "family" : "Dimaio Knych", "given" : "Heather K.", "non-dropping-particle" : "", "parse-names" : false, "suffix" : "" }, { "dropping-particle" : "", "family" : "Covarrubias", "given" : "Vanessa", "non-dropping-particle" : "", "parse-names" : false, "suffix" : "" }, { "dropping-particle" : "", "family" : "Steffey", "given" : "Eugene P.", "non-dropping-particle" : "", "parse-names" : false, "suffix" : "" } ], "container-title" : "Veterinary Anaesthesia and Analgesia", "id" : "ITEM-1", "issue" : "6", "issued" : { "date-parts" : [ [ "2012" ] ] }, "page" : "574-583", "title" : "Effect of yohimbine on detomidine induced changes in behavior, cardiac and blood parameters in the horse", "type" : "article-journal", "volume" : "39" }, "uris" : [ "http://www.mendeley.com/documents/?uuid=22ec7d39-3121-498d-b24c-8a19caec533c" ] } ], "mendeley" : { "formattedCitation" : "(Heather K. Dimaio Knych, Covarrubias, and Steffey 2012)", "plainTextFormattedCitation" : "(Heather K. Dimaio Knych, Covarrubias, and Steffey 2012)", "previouslyFormattedCitation" : "(Heather K. Dimaio Knych, Covarrubias, and Steffey 2012)" }, "properties" : { "noteIndex" : 0 }, "schema" : "https://github.com/citation-style-language/schema/raw/master/csl-citation.json" }</w:instrText>
      </w:r>
      <w:r w:rsidRPr="00A518CC">
        <w:rPr>
          <w:rFonts w:ascii="Times New Roman" w:hAnsi="Times New Roman"/>
          <w:sz w:val="24"/>
          <w:szCs w:val="24"/>
          <w:lang w:val="en-US"/>
        </w:rPr>
        <w:fldChar w:fldCharType="separate"/>
      </w:r>
      <w:r w:rsidR="00B41C1C" w:rsidRPr="00A518CC">
        <w:rPr>
          <w:rFonts w:ascii="Times New Roman" w:hAnsi="Times New Roman"/>
          <w:noProof/>
          <w:sz w:val="24"/>
          <w:szCs w:val="24"/>
          <w:lang w:val="en-US"/>
        </w:rPr>
        <w:t xml:space="preserve">Dimaio Knych </w:t>
      </w:r>
      <w:r w:rsidR="00B41C1C" w:rsidRPr="00A518CC">
        <w:rPr>
          <w:rFonts w:ascii="Times New Roman" w:hAnsi="Times New Roman"/>
          <w:i/>
          <w:noProof/>
          <w:sz w:val="24"/>
          <w:szCs w:val="24"/>
          <w:lang w:val="en-US"/>
        </w:rPr>
        <w:t>et al</w:t>
      </w:r>
      <w:r w:rsidR="00B41C1C" w:rsidRPr="00A518CC">
        <w:rPr>
          <w:rFonts w:ascii="Times New Roman" w:hAnsi="Times New Roman"/>
          <w:noProof/>
          <w:sz w:val="24"/>
          <w:szCs w:val="24"/>
          <w:lang w:val="en-US"/>
        </w:rPr>
        <w:t>. (2012)</w:t>
      </w:r>
      <w:r w:rsidRPr="00A518CC">
        <w:rPr>
          <w:rFonts w:ascii="Times New Roman" w:hAnsi="Times New Roman"/>
          <w:sz w:val="24"/>
          <w:szCs w:val="24"/>
          <w:lang w:val="en-US"/>
        </w:rPr>
        <w:fldChar w:fldCharType="end"/>
      </w:r>
      <w:r w:rsidR="00B41C1C" w:rsidRPr="00A518CC">
        <w:rPr>
          <w:rFonts w:ascii="Times New Roman" w:hAnsi="Times New Roman"/>
          <w:sz w:val="24"/>
          <w:szCs w:val="24"/>
          <w:lang w:val="en-US"/>
        </w:rPr>
        <w:t xml:space="preserve"> noted a markaed increase in glucose concentrations following administration of DET, this increase was at 30 minutes post DET. Hyperglycemia has been detected in horses </w:t>
      </w:r>
      <w:r w:rsidRPr="00A518CC">
        <w:rPr>
          <w:rFonts w:ascii="Times New Roman" w:hAnsi="Times New Roman"/>
          <w:sz w:val="24"/>
          <w:szCs w:val="24"/>
          <w:lang w:val="en-US"/>
        </w:rPr>
        <w:fldChar w:fldCharType="begin" w:fldLock="1"/>
      </w:r>
      <w:r w:rsidR="00B41C1C" w:rsidRPr="00A518CC">
        <w:rPr>
          <w:rFonts w:ascii="Times New Roman" w:hAnsi="Times New Roman"/>
          <w:sz w:val="24"/>
          <w:szCs w:val="24"/>
          <w:lang w:val="en-US"/>
        </w:rPr>
        <w:instrText>ADDIN CSL_CITATION { "citationItems" : [ { "id" : "ITEM-1", "itemData" : { "DOI" : "10.1111/j.1467-2995.2012.00776.x", "ISSN" : "14672987", "PMID" : "23035904", "abstract" : "OBJECTIVE: To describe selected pharmacodynamic effects of detomidine and yohimbine when administered alone and in sequence.\\n\\nSTUDY DESIGN: Randomized crossover design.\\n\\nANIMALS: Nine healthy adult horses aged 9 \u00b1 4 years and weighing 561 \u00b1 56 kg.\\n\\nMETHODS: Three dose regimens were employed in the current study. 1) 0.03 mg kg(-1) detomidine IV, 2) 0.2 mg kg(-1) yohimbine IV and 3) 0.03 mg kg(-1) detomidine IV followed 15 minutes later by 0.2 mg kg(-1) yohimbine IV. Each horse received all three treatments with a minimum of 1 week between treatments. Blood samples were obtained and plasma analyzed for detomidine and yohimbine concentrations by liquid chromatography-mass spectrometry. Behavioral effects, heart rate and rhythm, glucose, packed cell volume and plasma proteins were monitored.\\n\\nRESULTS: Yohimbine rapidly reversed the sedative effects of detomidine in the horse. Additionally, yohimbine effectively returned heart rate and the percent of atrio-ventricular conduction disturbances to pre-detomidine values when administered 15 minutes post-detomidine administration. Plasma glucose was significantly increased following detomidine administration. The detomidine induced hyperglycemia was effectively reduced by yohimbine administration. Effects on packed cell volume and plasma proteins were variable.\\n\\nCONCLUSIONS AND CLINICAL RELEVANCE: Intravenous administration of yohimbine effectively reversed detomidine induced sedation, bradycardia, atrio-ventricular heart block and hyperglycemia.", "author" : [ { "dropping-particle" : "", "family" : "Dimaio Knych", "given" : "Heather K.", "non-dropping-particle" : "", "parse-names" : false, "suffix" : "" }, { "dropping-particle" : "", "family" : "Covarrubias", "given" : "Vanessa", "non-dropping-particle" : "", "parse-names" : false, "suffix" : "" }, { "dropping-particle" : "", "family" : "Steffey", "given" : "Eugene P.", "non-dropping-particle" : "", "parse-names" : false, "suffix" : "" } ], "container-title" : "Veterinary Anaesthesia and Analgesia", "id" : "ITEM-1", "issue" : "6", "issued" : { "date-parts" : [ [ "2012" ] ] }, "page" : "574-583", "title" : "Effect of yohimbine on detomidine induced changes in behavior, cardiac and blood parameters in the horse", "type" : "article-journal", "volume" : "39" }, "uris" : [ "http://www.mendeley.com/documents/?uuid=22ec7d39-3121-498d-b24c-8a19caec533c" ] }, { "id" : "ITEM-2", "itemData" : { "DOI" : "10.1111/vaa.12081", "ISSN" : "14672987", "PMID" : "24134603", "abstract" : "OBJECTIVE: To describe the effects of alpha2 -adrenergic receptor antagonists on the pharmacodynamics of sublingual (SL) detomidine in the horse.\\n\\nSTUDY DESIGN: Randomized crossover design.\\n\\nANIMALS: Nine healthy adult horses with an average age of 7.6\u00a0\u00b1\u00a06.5\u00a0years.\\n\\nMETHODS: Four treatment groups were studied: 1) 0.04\u00a0mg\u00a0kg(-1) detomidine SL; 2) 0.04\u00a0mg\u00a0kg(-1) detomidine SL followed 1\u00a0hour later by 0.075\u00a0mg\u00a0kg(-1) yohimbine intravenously (IV); 3) 0.04\u00a0mg\u00a0kg(-1) detomidine SL followed 1\u00a0hour later by 4\u00a0mg\u00a0kg(-1) tolazoline IV; and 4) 0.04\u00a0mg\u00a0kg(-1) detomidine SL followed 1\u00a0hour later by 0.12\u00a0mg\u00a0kg(-1) atipamezole IV. Each horse received all treatments with a minimum of 1\u00a0week between treatments. Blood samples were obtained and plasma analyzed for yohimbine, atipamezole and tolazoline concentrations by liquid chromatography-mass spectrometry. Behavioral effects, heart rate and rhythm, glucose, packed cell volume (PCV) and plasma proteins were monitored.\\n\\nRESULTS: Chin-to-ground distance increased following administration of the antagonists, however, this effect was transient, with a return to pre-reversal values as early as 1\u00a0hour. Detomidine induced bradycardia and increased incidence of atrioventricular blocks were either transiently or incompletely antagonized by all antagonists. PCV and glucose concentrations increased with tolazoline administration, and atipamezole subjectively increased urination frequency but not volume.\\n\\nCONCLUSIONS AND CLINICAL RELEVANCE: At the doses administered in this study, the alpha2 -adrenergic antagonistic effects of tolazoline, yohimbine and atipamezole on cardiac and behavioral effects elicited by SL administration of detomidine are transient and incomplete.", "author" : [ { "dropping-particle" : "", "family" : "Knych", "given" : "Heather K.", "non-dropping-particle" : "", "parse-names" : false, "suffix" : "" }, { "dropping-particle" : "", "family" : "Stanley", "given" : "Scott D.", "non-dropping-particle" : "", "parse-names" : false, "suffix" : "" } ], "container-title" : "Veterinary Anaesthesia and Analgesia", "id" : "ITEM-2", "issue" : "1", "issued" : { "date-parts" : [ [ "2014" ] ] }, "page" : "36-47", "title" : "Effects of three antagonists on selected pharmacodynamic effects of sublingually administered detomidine in the horse", "type" : "article-journal", "volume" : "41" }, "uris" : [ "http://www.mendeley.com/documents/?uuid=b48e1ff8-e8d2-4ada-aeda-a9bd2c7cad80" ] } ], "mendeley" : { "formattedCitation" : "(Heather K. Dimaio Knych, Covarrubias, and Steffey 2012; Knych and Stanley 2014)", "plainTextFormattedCitation" : "(Heather K. Dimaio Knych, Covarrubias, and Steffey 2012; Knych and Stanley 2014)", "previouslyFormattedCitation" : "(Heather K. Dimaio Knych, Covarrubias, and Steffey 2012; Knych and Stanley 2014)" }, "properties" : { "noteIndex" : 0 }, "schema" : "https://github.com/citation-style-language/schema/raw/master/csl-citation.json" }</w:instrText>
      </w:r>
      <w:r w:rsidRPr="00A518CC">
        <w:rPr>
          <w:rFonts w:ascii="Times New Roman" w:hAnsi="Times New Roman"/>
          <w:sz w:val="24"/>
          <w:szCs w:val="24"/>
          <w:lang w:val="en-US"/>
        </w:rPr>
        <w:fldChar w:fldCharType="separate"/>
      </w:r>
      <w:r w:rsidR="00B41C1C" w:rsidRPr="00A518CC">
        <w:rPr>
          <w:rFonts w:ascii="Times New Roman" w:hAnsi="Times New Roman"/>
          <w:noProof/>
          <w:sz w:val="24"/>
          <w:szCs w:val="24"/>
          <w:lang w:val="en-US"/>
        </w:rPr>
        <w:t xml:space="preserve">(Dimaio </w:t>
      </w:r>
      <w:r w:rsidR="00B41C1C" w:rsidRPr="00A518CC">
        <w:rPr>
          <w:rFonts w:ascii="Times New Roman" w:hAnsi="Times New Roman"/>
          <w:i/>
          <w:noProof/>
          <w:sz w:val="24"/>
          <w:szCs w:val="24"/>
          <w:lang w:val="en-US"/>
        </w:rPr>
        <w:t>et al.</w:t>
      </w:r>
      <w:r w:rsidR="00B41C1C" w:rsidRPr="00A518CC">
        <w:rPr>
          <w:rFonts w:ascii="Times New Roman" w:hAnsi="Times New Roman"/>
          <w:noProof/>
          <w:sz w:val="24"/>
          <w:szCs w:val="24"/>
          <w:lang w:val="en-US"/>
        </w:rPr>
        <w:t>, 2012; Knych &amp; Stanley 2014)</w:t>
      </w:r>
      <w:r w:rsidRPr="00A518CC">
        <w:rPr>
          <w:rFonts w:ascii="Times New Roman" w:hAnsi="Times New Roman"/>
          <w:sz w:val="24"/>
          <w:szCs w:val="24"/>
          <w:lang w:val="en-US"/>
        </w:rPr>
        <w:fldChar w:fldCharType="end"/>
      </w:r>
      <w:r w:rsidR="00B41C1C" w:rsidRPr="00A518CC">
        <w:rPr>
          <w:rFonts w:ascii="Times New Roman" w:hAnsi="Times New Roman"/>
          <w:sz w:val="24"/>
          <w:szCs w:val="24"/>
          <w:lang w:val="en-US"/>
        </w:rPr>
        <w:t xml:space="preserve"> and has been attributed to inhibition of insulin release from the pancreas beta cells. </w:t>
      </w:r>
      <w:r w:rsidRPr="00A518CC">
        <w:rPr>
          <w:rFonts w:ascii="Times New Roman" w:hAnsi="Times New Roman"/>
          <w:sz w:val="24"/>
          <w:szCs w:val="24"/>
          <w:lang w:val="en-US"/>
        </w:rPr>
        <w:fldChar w:fldCharType="begin" w:fldLock="1"/>
      </w:r>
      <w:r w:rsidR="00B41C1C" w:rsidRPr="00A518CC">
        <w:rPr>
          <w:rFonts w:ascii="Times New Roman" w:hAnsi="Times New Roman"/>
          <w:sz w:val="24"/>
          <w:szCs w:val="24"/>
          <w:lang w:val="en-US"/>
        </w:rPr>
        <w:instrText>ADDIN CSL_CITATION { "citationItems" : [ { "id" : "ITEM-1", "itemData" : { "DOI" : "10.2460/ajvr.72.10.1378", "ISSN" : "00029645", "PMID" : "21962281", "abstract" : "OBJECTIVE: To characterize pharmacokinetics and pharmacodynamics of detomidine gel administered sublingually in accordance with label instructions to establish appropriate withdrawal guidelines for horses before competition. ANIMALS: 12 adult racehorses. PROCEDURES: Horses received a single sublingual administration of 0.04 mg of detomidine/kg. Blood samples were collected before and up to 72 hours after drug administration. Urine samples were collected for 5 days after detomidine administration. Plasma and urine samples were analyzed via liquid chromatography-mass spectrometry, and resulting data were analyzed by use of noncompartmental analysis. Chin-to-ground distance, heart rate and rhythm, glucose concentration, PCV, and plasma protein concentration were also assessed following detomidine administration. RESULTS: Mean \u00b1 SD terminal elimination half-life of detomidine was 1.5 \u00b1 1 hours. Metabolite concentrations were below the limit of detection (0.02, 0.1, and 0.5 ng/mL for detomidine, carboxydetomidine, and hydroxydetomidine, respectively) in plasma by 24 hours. Concentrations of detomidine and its metabolites were below the limit of detection (0.05 ng/mL for detomidine and 0.10 ng/mL for carboxydetomidine and hydroxydetomidine) in urine by 3 days. All horses had various degrees of sedation after detomidine administration. Time of onset was \u2264 40 minutes, and duration of sedation was approximately 2 hours. Significant decreases, relative to values at time 0, were detected for chin-to-ground distance and heart rate. There was an increased incidence and exacerbation of preexisting atrioventricular blocks after detomidine administration. CONCLUSIONS AND CLINICAL RELEVANCE: A 48-hour and 3-day withdrawal period for detection in plasma and urine samples, respectively, should be adopted for sublingual administration of detomidine gel.", "author" : [ { "dropping-particle" : "", "family" : "Maio Knych", "given" : "Heather K.", "non-dropping-particle" : "di", "parse-names" : false, "suffix" : "" }, { "dropping-particle" : "", "family" : "Stanley", "given" : "Scott D.", "non-dropping-particle" : "", "parse-names" : false, "suffix" : "" } ], "container-title" : "American Journal of Veterinary Research", "id" : "ITEM-1", "issue" : "10", "issued" : { "date-parts" : [ [ "2011" ] ] }, "page" : "1378-1385", "title" : "Pharmacokinetics and pharmacodynamics of detomidine following sublingual administration to horses", "type" : "article-journal", "volume" : "72" }, "uris" : [ "http://www.mendeley.com/documents/?uuid=e5f10679-ce62-4a44-a1cc-fd136dd0b220" ] } ], "mendeley" : { "formattedCitation" : "(di Maio Knych and Stanley 2011)", "plainTextFormattedCitation" : "(di Maio Knych and Stanley 2011)", "previouslyFormattedCitation" : "(di Maio Knych and Stanley 2011)" }, "properties" : { "noteIndex" : 0 }, "schema" : "https://github.com/citation-style-language/schema/raw/master/csl-citation.json" }</w:instrText>
      </w:r>
      <w:r w:rsidRPr="00A518CC">
        <w:rPr>
          <w:rFonts w:ascii="Times New Roman" w:hAnsi="Times New Roman"/>
          <w:sz w:val="24"/>
          <w:szCs w:val="24"/>
          <w:lang w:val="en-US"/>
        </w:rPr>
        <w:fldChar w:fldCharType="separate"/>
      </w:r>
      <w:r w:rsidR="00B41C1C" w:rsidRPr="00A518CC">
        <w:rPr>
          <w:rFonts w:ascii="Times New Roman" w:hAnsi="Times New Roman"/>
          <w:noProof/>
          <w:sz w:val="24"/>
          <w:szCs w:val="24"/>
          <w:lang w:val="en-US"/>
        </w:rPr>
        <w:t>(di Maio Knych &amp; Stanley, 2011)</w:t>
      </w:r>
      <w:r w:rsidRPr="00A518CC">
        <w:rPr>
          <w:rFonts w:ascii="Times New Roman" w:hAnsi="Times New Roman"/>
          <w:sz w:val="24"/>
          <w:szCs w:val="24"/>
          <w:lang w:val="en-US"/>
        </w:rPr>
        <w:fldChar w:fldCharType="end"/>
      </w:r>
      <w:r w:rsidR="00B41C1C" w:rsidRPr="00A518CC">
        <w:rPr>
          <w:rFonts w:ascii="Times New Roman" w:hAnsi="Times New Roman"/>
          <w:sz w:val="24"/>
          <w:szCs w:val="24"/>
          <w:lang w:val="en-US"/>
        </w:rPr>
        <w:t xml:space="preserve"> no reported apparent pattern for glucose concentrations over the 6 h sample collection period, if a large variability among horses. </w:t>
      </w:r>
      <w:proofErr w:type="gramStart"/>
      <w:r w:rsidR="00B41C1C" w:rsidRPr="00A518CC">
        <w:rPr>
          <w:rFonts w:ascii="Times New Roman" w:hAnsi="Times New Roman"/>
          <w:sz w:val="24"/>
          <w:szCs w:val="24"/>
          <w:lang w:val="en-US"/>
        </w:rPr>
        <w:t>Suggesting the possibility of a non drug-related phenomenon and simply a result of food being withheld from the horses before and throughout the glucose-monitoring period.</w:t>
      </w:r>
      <w:proofErr w:type="gramEnd"/>
      <w:r w:rsidR="00B41C1C" w:rsidRPr="00A518CC">
        <w:rPr>
          <w:rFonts w:ascii="Times New Roman" w:hAnsi="Times New Roman"/>
          <w:sz w:val="24"/>
          <w:szCs w:val="24"/>
          <w:lang w:val="en-US"/>
        </w:rPr>
        <w:t xml:space="preserve"> </w:t>
      </w:r>
      <w:proofErr w:type="gramStart"/>
      <w:r w:rsidR="00B41C1C" w:rsidRPr="00A518CC">
        <w:rPr>
          <w:rFonts w:ascii="Times New Roman" w:hAnsi="Times New Roman"/>
          <w:sz w:val="24"/>
          <w:szCs w:val="24"/>
          <w:lang w:val="en-US"/>
        </w:rPr>
        <w:t>It’s</w:t>
      </w:r>
      <w:proofErr w:type="gramEnd"/>
      <w:r w:rsidR="00B41C1C" w:rsidRPr="00A518CC">
        <w:rPr>
          <w:rFonts w:ascii="Times New Roman" w:hAnsi="Times New Roman"/>
          <w:sz w:val="24"/>
          <w:szCs w:val="24"/>
          <w:lang w:val="en-US"/>
        </w:rPr>
        <w:t xml:space="preserve"> necessary additional studies to characterize these effects in horses. In relation to administration of YOH in horses, it has been shown individual variation in the pharmacokinetics parameters, it’s possible that the differences observed are caused by age, physical condition, intrinsic clearance, amount of body fat and tissue blood flow </w:t>
      </w:r>
      <w:r w:rsidRPr="00A518CC">
        <w:rPr>
          <w:rFonts w:ascii="Times New Roman" w:hAnsi="Times New Roman"/>
          <w:sz w:val="24"/>
          <w:szCs w:val="24"/>
          <w:lang w:val="en-US"/>
        </w:rPr>
        <w:fldChar w:fldCharType="begin" w:fldLock="1"/>
      </w:r>
      <w:r w:rsidR="00B41C1C" w:rsidRPr="00A518CC">
        <w:rPr>
          <w:rFonts w:ascii="Times New Roman" w:hAnsi="Times New Roman"/>
          <w:sz w:val="24"/>
          <w:szCs w:val="24"/>
          <w:lang w:val="en-US"/>
        </w:rPr>
        <w:instrText>ADDIN CSL_CITATION { "citationItems" : [ { "id" : "ITEM-1", "itemData" : { "ISBN" : "0830-9000", "ISSN" : "08309000", "PMID" : "3370551", "abstract" : "In steers, horses and dogs, the comparative pharmacokinetics of yohimbine were determined using model-independent analysis. The intravenous dose of yohimbine was 0.25 mg/kg of body weight in steers, 0.075 or 0.15 mg/kg in horses, and 0.4 mg/kg in dogs. The mean residence time (+/- SD) of yohimbine was 86.7 +/- 46.2 min in steers, 106.2 +/- 72.1 to 118.7 +/- 35.0 min in horses, and 163.6 +/- 49.7 min in dogs. The mean apparent volume of distribution of yohimbine at steady state was 4.9 +/- 1.4 L/kg for steers, 2.7 +/- 1.0 to 4.6 +/- 1.9 L/kg for horses, and 4.5 +/- 1.8 L/kg for dogs. The total body clearance of yohimbine was 69.6 +/- 35.1 mL/min/kg for steers, 34.0 +/- 19.4 to 39.6 +/- 16.6 mL/min/kg for horses, and 29.6 +/- 14.7 mL/min/kg for dogs. Between-species comparisons indicated that the mean area under the serum concentration versus time curve was significantly greater (P less than 0.05) in dogs than in horses. There were no significant differences (P greater than 0.05) between the means for the apparent volume of distribution, clearance, mean residence time, terminal rate constant, and area under the curve between horses given the two doses of yohimbine. The harmonic mean effective half-life (+/- pseudo standard deviation) of yohimbine was 46.7 +/- 24.4 min in steers, 52.8 +/- 27.8 to 76.1 +/- 23.1 min in horses, and 104.1 +/- 32.1 min in dogs. The data may explain why steers, horses, and dogs given certain sedatives and anesthetics do not relapse when aroused by an intravenous injection of yohimbine hydrochloride.", "author" : [ { "dropping-particle" : "", "family" : "Jernigan", "given" : "a. D.", "non-dropping-particle" : "", "parse-names" : false, "suffix" : "" }, { "dropping-particle" : "", "family" : "Wilson", "given" : "R. C.", "non-dropping-particle" : "", "parse-names" : false, "suffix" : "" }, { "dropping-particle" : "", "family" : "Booth", "given" : "N. H.", "non-dropping-particle" : "", "parse-names" : false, "suffix" : "" }, { "dropping-particle" : "", "family" : "Hatch", "given" : "R. C.", "non-dropping-particle" : "", "parse-names" : false, "suffix" : "" }, { "dropping-particle" : "", "family" : "Akbari", "given" : "a.", "non-dropping-particle" : "", "parse-names" : false, "suffix" : "" } ], "container-title" : "Canadian Journal of Veterinary Research", "id" : "ITEM-1", "issue" : "2", "issued" : { "date-parts" : [ [ "1988" ] ] }, "page" : "172-176", "title" : "Comparative pharmacokinetics of yohimbine in steers, horses and dogs", "type" : "article-journal", "volume" : "52" }, "uris" : [ "http://www.mendeley.com/documents/?uuid=59381179-0c72-403f-9bab-8d8dd9db2ac3" ] } ], "mendeley" : { "formattedCitation" : "(Jernigan et al. 1988)", "plainTextFormattedCitation" : "(Jernigan et al. 1988)", "previouslyFormattedCitation" : "(Jernigan et al. 1988)" }, "properties" : { "noteIndex" : 0 }, "schema" : "https://github.com/citation-style-language/schema/raw/master/csl-citation.json" }</w:instrText>
      </w:r>
      <w:r w:rsidRPr="00A518CC">
        <w:rPr>
          <w:rFonts w:ascii="Times New Roman" w:hAnsi="Times New Roman"/>
          <w:sz w:val="24"/>
          <w:szCs w:val="24"/>
          <w:lang w:val="en-US"/>
        </w:rPr>
        <w:fldChar w:fldCharType="separate"/>
      </w:r>
      <w:r w:rsidR="00B41C1C" w:rsidRPr="00A518CC">
        <w:rPr>
          <w:rFonts w:ascii="Times New Roman" w:hAnsi="Times New Roman"/>
          <w:noProof/>
          <w:sz w:val="24"/>
          <w:szCs w:val="24"/>
          <w:lang w:val="en-US"/>
        </w:rPr>
        <w:t xml:space="preserve">(Jernigan </w:t>
      </w:r>
      <w:r w:rsidR="00B41C1C" w:rsidRPr="00A518CC">
        <w:rPr>
          <w:rFonts w:ascii="Times New Roman" w:hAnsi="Times New Roman"/>
          <w:i/>
          <w:noProof/>
          <w:sz w:val="24"/>
          <w:szCs w:val="24"/>
          <w:lang w:val="en-US"/>
        </w:rPr>
        <w:t>et al</w:t>
      </w:r>
      <w:r w:rsidR="00B41C1C" w:rsidRPr="00A518CC">
        <w:rPr>
          <w:rFonts w:ascii="Times New Roman" w:hAnsi="Times New Roman"/>
          <w:noProof/>
          <w:sz w:val="24"/>
          <w:szCs w:val="24"/>
          <w:lang w:val="en-US"/>
        </w:rPr>
        <w:t>., 1988)</w:t>
      </w:r>
      <w:r w:rsidRPr="00A518CC">
        <w:rPr>
          <w:rFonts w:ascii="Times New Roman" w:hAnsi="Times New Roman"/>
          <w:sz w:val="24"/>
          <w:szCs w:val="24"/>
          <w:lang w:val="en-US"/>
        </w:rPr>
        <w:fldChar w:fldCharType="end"/>
      </w:r>
      <w:r w:rsidR="00B41C1C" w:rsidRPr="00A518CC">
        <w:rPr>
          <w:rFonts w:ascii="Times New Roman" w:hAnsi="Times New Roman"/>
          <w:sz w:val="24"/>
          <w:szCs w:val="24"/>
          <w:lang w:val="en-US"/>
        </w:rPr>
        <w:t>. The pharmacokinetic parameters calculated for YOH as the large volume of distribution, is due to its rapidly dispersed (2.0 to 5.7 L/Kg). The lipid solubility and lipophilic compound of YOH may allow it to cross the blood-brain barrier to a potential site of action in the CNS. The researchers indicated extensive tissue distribution and ability to cross membranes, which helps to explain its duration and action when used for arousal from anesthesia.</w:t>
      </w:r>
    </w:p>
    <w:p w:rsidR="00B41C1C" w:rsidRPr="00A518CC" w:rsidRDefault="00B41C1C" w:rsidP="00B41C1C">
      <w:pPr>
        <w:spacing w:line="360" w:lineRule="auto"/>
        <w:rPr>
          <w:rFonts w:ascii="Times New Roman" w:hAnsi="Times New Roman"/>
          <w:sz w:val="24"/>
          <w:szCs w:val="24"/>
          <w:lang w:val="en-US"/>
        </w:rPr>
      </w:pPr>
      <w:r w:rsidRPr="00A518CC">
        <w:rPr>
          <w:rFonts w:ascii="Times New Roman" w:hAnsi="Times New Roman"/>
          <w:sz w:val="24"/>
          <w:szCs w:val="24"/>
          <w:lang w:val="en-US"/>
        </w:rPr>
        <w:lastRenderedPageBreak/>
        <w:t xml:space="preserve">The mean half-live of YOH was 86.6 min in horses given a small dose of (0.075 mg/Kg), 57.8 min in horses given a large doses of 0.15 mg/Kg </w:t>
      </w:r>
      <w:r w:rsidR="00A2062B" w:rsidRPr="00A518CC">
        <w:rPr>
          <w:rFonts w:ascii="Times New Roman" w:hAnsi="Times New Roman"/>
          <w:sz w:val="24"/>
          <w:szCs w:val="24"/>
          <w:lang w:val="en-US"/>
        </w:rPr>
        <w:fldChar w:fldCharType="begin" w:fldLock="1"/>
      </w:r>
      <w:r w:rsidRPr="00A518CC">
        <w:rPr>
          <w:rFonts w:ascii="Times New Roman" w:hAnsi="Times New Roman"/>
          <w:sz w:val="24"/>
          <w:szCs w:val="24"/>
          <w:lang w:val="en-US"/>
        </w:rPr>
        <w:instrText>ADDIN CSL_CITATION { "citationItems" : [ { "id" : "ITEM-1", "itemData" : { "ISBN" : "0830-9000", "ISSN" : "08309000", "PMID" : "3370551", "abstract" : "In steers, horses and dogs, the comparative pharmacokinetics of yohimbine were determined using model-independent analysis. The intravenous dose of yohimbine was 0.25 mg/kg of body weight in steers, 0.075 or 0.15 mg/kg in horses, and 0.4 mg/kg in dogs. The mean residence time (+/- SD) of yohimbine was 86.7 +/- 46.2 min in steers, 106.2 +/- 72.1 to 118.7 +/- 35.0 min in horses, and 163.6 +/- 49.7 min in dogs. The mean apparent volume of distribution of yohimbine at steady state was 4.9 +/- 1.4 L/kg for steers, 2.7 +/- 1.0 to 4.6 +/- 1.9 L/kg for horses, and 4.5 +/- 1.8 L/kg for dogs. The total body clearance of yohimbine was 69.6 +/- 35.1 mL/min/kg for steers, 34.0 +/- 19.4 to 39.6 +/- 16.6 mL/min/kg for horses, and 29.6 +/- 14.7 mL/min/kg for dogs. Between-species comparisons indicated that the mean area under the serum concentration versus time curve was significantly greater (P less than 0.05) in dogs than in horses. There were no significant differences (P greater than 0.05) between the means for the apparent volume of distribution, clearance, mean residence time, terminal rate constant, and area under the curve between horses given the two doses of yohimbine. The harmonic mean effective half-life (+/- pseudo standard deviation) of yohimbine was 46.7 +/- 24.4 min in steers, 52.8 +/- 27.8 to 76.1 +/- 23.1 min in horses, and 104.1 +/- 32.1 min in dogs. The data may explain why steers, horses, and dogs given certain sedatives and anesthetics do not relapse when aroused by an intravenous injection of yohimbine hydrochloride.", "author" : [ { "dropping-particle" : "", "family" : "Jernigan", "given" : "a. D.", "non-dropping-particle" : "", "parse-names" : false, "suffix" : "" }, { "dropping-particle" : "", "family" : "Wilson", "given" : "R. C.", "non-dropping-particle" : "", "parse-names" : false, "suffix" : "" }, { "dropping-particle" : "", "family" : "Booth", "given" : "N. H.", "non-dropping-particle" : "", "parse-names" : false, "suffix" : "" }, { "dropping-particle" : "", "family" : "Hatch", "given" : "R. C.", "non-dropping-particle" : "", "parse-names" : false, "suffix" : "" }, { "dropping-particle" : "", "family" : "Akbari", "given" : "a.", "non-dropping-particle" : "", "parse-names" : false, "suffix" : "" } ], "container-title" : "Canadian Journal of Veterinary Research", "id" : "ITEM-1", "issue" : "2", "issued" : { "date-parts" : [ [ "1988" ] ] }, "page" : "172-176", "title" : "Comparative pharmacokinetics of yohimbine in steers, horses and dogs", "type" : "article-journal", "volume" : "52" }, "uris" : [ "http://www.mendeley.com/documents/?uuid=59381179-0c72-403f-9bab-8d8dd9db2ac3" ] } ], "mendeley" : { "formattedCitation" : "(Jernigan et al. 1988)", "plainTextFormattedCitation" : "(Jernigan et al. 1988)", "previouslyFormattedCitation" : "(Jernigan et al. 1988)" }, "properties" : { "noteIndex" : 0 }, "schema" : "https://github.com/citation-style-language/schema/raw/master/csl-citation.json" }</w:instrText>
      </w:r>
      <w:r w:rsidR="00A2062B" w:rsidRPr="00A518CC">
        <w:rPr>
          <w:rFonts w:ascii="Times New Roman" w:hAnsi="Times New Roman"/>
          <w:sz w:val="24"/>
          <w:szCs w:val="24"/>
          <w:lang w:val="en-US"/>
        </w:rPr>
        <w:fldChar w:fldCharType="separate"/>
      </w:r>
      <w:r w:rsidRPr="00A518CC">
        <w:rPr>
          <w:rFonts w:ascii="Times New Roman" w:hAnsi="Times New Roman"/>
          <w:noProof/>
          <w:sz w:val="24"/>
          <w:szCs w:val="24"/>
          <w:lang w:val="en-US"/>
        </w:rPr>
        <w:t xml:space="preserve">(Jernigan </w:t>
      </w:r>
      <w:r w:rsidRPr="00A518CC">
        <w:rPr>
          <w:rFonts w:ascii="Times New Roman" w:hAnsi="Times New Roman"/>
          <w:i/>
          <w:noProof/>
          <w:sz w:val="24"/>
          <w:szCs w:val="24"/>
          <w:lang w:val="en-US"/>
        </w:rPr>
        <w:t>et al.</w:t>
      </w:r>
      <w:r w:rsidRPr="00A518CC">
        <w:rPr>
          <w:rFonts w:ascii="Times New Roman" w:hAnsi="Times New Roman"/>
          <w:noProof/>
          <w:sz w:val="24"/>
          <w:szCs w:val="24"/>
          <w:lang w:val="en-US"/>
        </w:rPr>
        <w:t>, 1988)</w:t>
      </w:r>
      <w:r w:rsidR="00A2062B" w:rsidRPr="00A518CC">
        <w:rPr>
          <w:rFonts w:ascii="Times New Roman" w:hAnsi="Times New Roman"/>
          <w:sz w:val="24"/>
          <w:szCs w:val="24"/>
          <w:lang w:val="en-US"/>
        </w:rPr>
        <w:fldChar w:fldCharType="end"/>
      </w:r>
      <w:r w:rsidRPr="00A518CC">
        <w:rPr>
          <w:rFonts w:ascii="Times New Roman" w:hAnsi="Times New Roman"/>
          <w:sz w:val="24"/>
          <w:szCs w:val="24"/>
          <w:lang w:val="en-US"/>
        </w:rPr>
        <w:t xml:space="preserve">. The relatively long serum half-lives and mean residence time of </w:t>
      </w:r>
      <w:proofErr w:type="gramStart"/>
      <w:r w:rsidRPr="00A518CC">
        <w:rPr>
          <w:rFonts w:ascii="Times New Roman" w:hAnsi="Times New Roman"/>
          <w:sz w:val="24"/>
          <w:szCs w:val="24"/>
          <w:lang w:val="en-US"/>
        </w:rPr>
        <w:t>YOH,</w:t>
      </w:r>
      <w:proofErr w:type="gramEnd"/>
      <w:r w:rsidRPr="00A518CC">
        <w:rPr>
          <w:rFonts w:ascii="Times New Roman" w:hAnsi="Times New Roman"/>
          <w:sz w:val="24"/>
          <w:szCs w:val="24"/>
          <w:lang w:val="en-US"/>
        </w:rPr>
        <w:t xml:space="preserve"> indicated that this would be present in the body until after most anesthetics or sedatives were no longer effective. In steers and dogs it’s ranged from 87 and 164 min respectively. In other studies, the investigators were able to detect YOH in plasma samples at 12 h post drug administration and have demonstrated that plasma </w:t>
      </w:r>
      <w:r w:rsidRPr="00A518CC">
        <w:rPr>
          <w:rFonts w:ascii="Times New Roman" w:hAnsi="Times New Roman"/>
          <w:i/>
          <w:sz w:val="24"/>
          <w:szCs w:val="24"/>
          <w:lang w:val="en-US"/>
        </w:rPr>
        <w:t>vs.</w:t>
      </w:r>
      <w:r w:rsidRPr="00A518CC">
        <w:rPr>
          <w:rFonts w:ascii="Times New Roman" w:hAnsi="Times New Roman"/>
          <w:sz w:val="24"/>
          <w:szCs w:val="24"/>
          <w:lang w:val="en-US"/>
        </w:rPr>
        <w:t xml:space="preserve"> time concentration data is best described by a two compartment open model </w:t>
      </w:r>
      <w:r w:rsidR="00A2062B" w:rsidRPr="00A518CC">
        <w:rPr>
          <w:rFonts w:ascii="Times New Roman" w:hAnsi="Times New Roman"/>
          <w:sz w:val="24"/>
          <w:szCs w:val="24"/>
          <w:lang w:val="en-US"/>
        </w:rPr>
        <w:fldChar w:fldCharType="begin" w:fldLock="1"/>
      </w:r>
      <w:r w:rsidRPr="00A518CC">
        <w:rPr>
          <w:rFonts w:ascii="Times New Roman" w:hAnsi="Times New Roman"/>
          <w:sz w:val="24"/>
          <w:szCs w:val="24"/>
          <w:lang w:val="en-US"/>
        </w:rPr>
        <w:instrText>ADDIN CSL_CITATION { "citationItems" : [ { "id" : "ITEM-1", "itemData" : { "DOI" : "10.1111/j.1365-2885.2010.01194.x", "ISSN" : "01407783", "PMID" : "21219345", "abstract" : "Yohimbine is an alpha 2 adrenergic receptor antagonist used most commonly in veterinary medicine to reverse the effects of the alpha 2 receptor agonists, xylazine and detomidine. Most notably, yohimbine has been shown to counteract the CNS depressant effects of alpha 2 receptor agonists in a number of species. The recent identification of a yohimbine positive urine sample collected from a horse racing in California has led to the investigation of the pharmacokinetics of this compound. Eight healthy adult horses received a single intravenous dose of 0.12\u2003mg/kg yohimbine. Blood samples were collected at time 0 (prior to drug administration) and at various times up to 72\u2003h post drug administration. Plasma samples were analyzed using liquid chromatography-mass spectrometry (LC-MS) and data analyzed using both noncompartmental and compartmental analysis. Peak plasma concentration was 114.5\u2003+\u200331.8\u2003ng/mL and occurred at 0.09\u2003+\u20030.03\u2003h. Mean\u2003\u00b1\u2003SD systemic clearance (Cls) and steady-state volume of distribution (Vdss) were 13.5\u2003+\u20032.1\u2003mL/min/kg and 3.3\u2003+\u20031.3\u2003L/kg following noncompartmental analysis. For compartmental analysis, plasma yohimbine vs. time data were best fitted to a two compartment model. Mean\u2003\u00b1\u2003SD Cls and Vdss of yohimbine were 13.6\u2003\u00b1\u20032.0\u2003mL/min/kg and 3.2\u2003\u00b1\u20031.1\u2003L/kg, respectively. Mean\u2003\u00b1\u2003SD terminal elimination half-life was 4.4\u2003\u00b1\u20030.9\u2003h following noncompartmental analysis. Immediately following administration, two horses showed signs of sedation, while the other six appeared behaviorally unaffected. Gastrointestinal sounds were moderately increased compared to baseline while fecal consistency appeared normal.", "author" : [ { "dropping-particle" : "", "family" : "Dimaio Knych", "given" : "H. K.", "non-dropping-particle" : "", "parse-names" : false, "suffix" : "" }, { "dropping-particle" : "", "family" : "Steffey", "given" : "E. P.", "non-dropping-particle" : "", "parse-names" : false, "suffix" : "" }, { "dropping-particle" : "", "family" : "Deuel", "given" : "J. L.", "non-dropping-particle" : "", "parse-names" : false, "suffix" : "" }, { "dropping-particle" : "", "family" : "Shepard", "given" : "R. a.", "non-dropping-particle" : "", "parse-names" : false, "suffix" : "" }, { "dropping-particle" : "", "family" : "Stanley", "given" : "S. D.", "non-dropping-particle" : "", "parse-names" : false, "suffix" : "" } ], "container-title" : "Journal of Veterinary Pharmacology and Therapeutics", "id" : "ITEM-1", "issue" : "1", "issued" : { "date-parts" : [ [ "2011" ] ] }, "page" : "58-63", "title" : "Pharmacokinetics of yohimbine following intravenous administration to horses", "type" : "article-journal", "volume" : "34" }, "uris" : [ "http://www.mendeley.com/documents/?uuid=70cf13dc-bfaa-4fb4-a3a1-bfb670f17d8a" ] }, { "id" : "ITEM-2", "itemData" : { "DOI" : "10.1111/j.1365-2885.2010.01234.x", "ISSN" : "01407783", "PMID" : "20950351", "abstract" : "Yohimbine is an alpha 2 adrenergic receptor antagonist, which has been shown to counteract the CNS depressant effects of alpha 2 receptor agonists in a number of species. Recently, our laboratory identified yohimbine in the absence of detectable concentrations of an alpha 2 agonist in a regulatory sample collected from a horse racing in California. This coupled with anecdotal reports of CNS stimulation and documented reports of cardiovascular changes when administered in conjunction with an agonist led us to investigate the pharmacokinetics and pharmacodynamics of yohimbine when administered alone. Nine healthy adult horses received a single intravenous dose of 0.1, 0.2, and 0.4 mg/kg yohimbine. Blood samples were collected at time 0 (prior to drug administration) and at various times up to 24 h postdrug administration. Plasma samples were analyzed using liquid chromatography-mass spectrometry (LC-MS), and resulting data analyzed using both noncompartmental and compartmental analysis. Peak plasma concentrations were 106.0 \u00b1 28.9, 156.7 \u00b1 34.3, and 223.0 \u00b1 44.5 ng/mL for doses of 0.1, 0.2, and 0.4 mg/kg, respectively. Immediately following administration, two horses showed signs of sedation, one horse appeared excited, while the other six appeared behaviorally unaffected. Episodes of tachycardia were noted within minutes of administration for all horses at all doses; however, there was no correlation between behavioral responses and episodes of increased heart rate. Sixty-three percent of the horses (8, 6, and 4 of the 9 horses in the 0.1, 0.2, and 0.4 mg/kg dose groups, respectively) exhibited second-degree atrial-ventricular conduction blocks and bradycardia prior to drug administration that transiently improved or disappeared upon administration of yohimbine. Gastrointestinal sounds were transiently increased following all doses.", "author" : [ { "dropping-particle" : "", "family" : "Dimaio Knych", "given" : "H. K.", "non-dropping-particle" : "", "parse-names" : false, "suffix" : "" }, { "dropping-particle" : "", "family" : "Steffey", "given" : "E. P.", "non-dropping-particle" : "", "parse-names" : false, "suffix" : "" }, { "dropping-particle" : "", "family" : "Stanley", "given" : "S. D.", "non-dropping-particle" : "", "parse-names" : false, "suffix" : "" } ], "container-title" : "Journal of Veterinary Pharmacology and Therapeutics", "id" : "ITEM-2", "issue" : "4", "issued" : { "date-parts" : [ [ "2011" ] ] }, "page" : "359-366", "title" : "Pharmacokinetics and pharmacodynamics of three intravenous doses of yohimbine in the horse", "type" : "article-journal", "volume" : "34" }, "uris" : [ "http://www.mendeley.com/documents/?uuid=d645ee91-9693-41fb-832b-d1731ea5f76f" ] } ], "mendeley" : { "formattedCitation" : "(H. K. Dimaio Knych et al. 2011; H. K. Dimaio Knych, Steffey, and Stanley 2011)", "plainTextFormattedCitation" : "(H. K. Dimaio Knych et al. 2011; H. K. Dimaio Knych, Steffey, and Stanley 2011)", "previouslyFormattedCitation" : "(H. K. Dimaio Knych et al. 2011; H. K. Dimaio Knych, Steffey, and Stanley 2011)" }, "properties" : { "noteIndex" : 0 }, "schema" : "https://github.com/citation-style-language/schema/raw/master/csl-citation.json" }</w:instrText>
      </w:r>
      <w:r w:rsidR="00A2062B" w:rsidRPr="00A518CC">
        <w:rPr>
          <w:rFonts w:ascii="Times New Roman" w:hAnsi="Times New Roman"/>
          <w:sz w:val="24"/>
          <w:szCs w:val="24"/>
          <w:lang w:val="en-US"/>
        </w:rPr>
        <w:fldChar w:fldCharType="separate"/>
      </w:r>
      <w:r w:rsidRPr="00A518CC">
        <w:rPr>
          <w:rFonts w:ascii="Times New Roman" w:hAnsi="Times New Roman"/>
          <w:noProof/>
          <w:sz w:val="24"/>
          <w:szCs w:val="24"/>
          <w:lang w:val="en-US"/>
        </w:rPr>
        <w:t xml:space="preserve">(Dimaio Knych </w:t>
      </w:r>
      <w:r w:rsidRPr="00A518CC">
        <w:rPr>
          <w:rFonts w:ascii="Times New Roman" w:hAnsi="Times New Roman"/>
          <w:i/>
          <w:noProof/>
          <w:sz w:val="24"/>
          <w:szCs w:val="24"/>
          <w:lang w:val="en-US"/>
        </w:rPr>
        <w:t>et al.,</w:t>
      </w:r>
      <w:r w:rsidRPr="00A518CC">
        <w:rPr>
          <w:rFonts w:ascii="Times New Roman" w:hAnsi="Times New Roman"/>
          <w:noProof/>
          <w:sz w:val="24"/>
          <w:szCs w:val="24"/>
          <w:lang w:val="en-US"/>
        </w:rPr>
        <w:t xml:space="preserve"> 2011; Dimaio Knych &amp; Stanley, 2011)</w:t>
      </w:r>
      <w:r w:rsidR="00A2062B" w:rsidRPr="00A518CC">
        <w:rPr>
          <w:rFonts w:ascii="Times New Roman" w:hAnsi="Times New Roman"/>
          <w:sz w:val="24"/>
          <w:szCs w:val="24"/>
          <w:lang w:val="en-US"/>
        </w:rPr>
        <w:fldChar w:fldCharType="end"/>
      </w:r>
      <w:r w:rsidRPr="00A518CC">
        <w:rPr>
          <w:rFonts w:ascii="Times New Roman" w:hAnsi="Times New Roman"/>
          <w:sz w:val="24"/>
          <w:szCs w:val="24"/>
          <w:lang w:val="en-US"/>
        </w:rPr>
        <w:t xml:space="preserve">. They suggest that it is result of sequestration and slow release over time. The clearance and terminal elimination half-life can differ substantially between studies for the ability to collect and detect YOH in plasma samples. However, renal blood flow may be the limiting factor in the clearance of YOH in the form of metabolite. But are necessary additional studies more conclusive. The large volume of distribution coupled with the slower systemic clearance is for the longer terminal elimination half-life </w:t>
      </w:r>
      <w:r w:rsidR="00A2062B" w:rsidRPr="00A518CC">
        <w:rPr>
          <w:rFonts w:ascii="Times New Roman" w:hAnsi="Times New Roman"/>
          <w:sz w:val="24"/>
          <w:szCs w:val="24"/>
          <w:lang w:val="en-US"/>
        </w:rPr>
        <w:fldChar w:fldCharType="begin" w:fldLock="1"/>
      </w:r>
      <w:r w:rsidRPr="00A518CC">
        <w:rPr>
          <w:rFonts w:ascii="Times New Roman" w:hAnsi="Times New Roman"/>
          <w:sz w:val="24"/>
          <w:szCs w:val="24"/>
          <w:lang w:val="en-US"/>
        </w:rPr>
        <w:instrText>ADDIN CSL_CITATION { "citationItems" : [ { "id" : "ITEM-1", "itemData" : { "DOI" : "10.1111/j.1365-2885.2010.01194.x", "ISSN" : "01407783", "PMID" : "21219345", "abstract" : "Yohimbine is an alpha 2 adrenergic receptor antagonist used most commonly in veterinary medicine to reverse the effects of the alpha 2 receptor agonists, xylazine and detomidine. Most notably, yohimbine has been shown to counteract the CNS depressant effects of alpha 2 receptor agonists in a number of species. The recent identification of a yohimbine positive urine sample collected from a horse racing in California has led to the investigation of the pharmacokinetics of this compound. Eight healthy adult horses received a single intravenous dose of 0.12\u2003mg/kg yohimbine. Blood samples were collected at time 0 (prior to drug administration) and at various times up to 72\u2003h post drug administration. Plasma samples were analyzed using liquid chromatography-mass spectrometry (LC-MS) and data analyzed using both noncompartmental and compartmental analysis. Peak plasma concentration was 114.5\u2003+\u200331.8\u2003ng/mL and occurred at 0.09\u2003+\u20030.03\u2003h. Mean\u2003\u00b1\u2003SD systemic clearance (Cls) and steady-state volume of distribution (Vdss) were 13.5\u2003+\u20032.1\u2003mL/min/kg and 3.3\u2003+\u20031.3\u2003L/kg following noncompartmental analysis. For compartmental analysis, plasma yohimbine vs. time data were best fitted to a two compartment model. Mean\u2003\u00b1\u2003SD Cls and Vdss of yohimbine were 13.6\u2003\u00b1\u20032.0\u2003mL/min/kg and 3.2\u2003\u00b1\u20031.1\u2003L/kg, respectively. Mean\u2003\u00b1\u2003SD terminal elimination half-life was 4.4\u2003\u00b1\u20030.9\u2003h following noncompartmental analysis. Immediately following administration, two horses showed signs of sedation, while the other six appeared behaviorally unaffected. Gastrointestinal sounds were moderately increased compared to baseline while fecal consistency appeared normal.", "author" : [ { "dropping-particle" : "", "family" : "Dimaio Knych", "given" : "H. K.", "non-dropping-particle" : "", "parse-names" : false, "suffix" : "" }, { "dropping-particle" : "", "family" : "Steffey", "given" : "E. P.", "non-dropping-particle" : "", "parse-names" : false, "suffix" : "" }, { "dropping-particle" : "", "family" : "Deuel", "given" : "J. L.", "non-dropping-particle" : "", "parse-names" : false, "suffix" : "" }, { "dropping-particle" : "", "family" : "Shepard", "given" : "R. a.", "non-dropping-particle" : "", "parse-names" : false, "suffix" : "" }, { "dropping-particle" : "", "family" : "Stanley", "given" : "S. D.", "non-dropping-particle" : "", "parse-names" : false, "suffix" : "" } ], "container-title" : "Journal of Veterinary Pharmacology and Therapeutics", "id" : "ITEM-1", "issue" : "1", "issued" : { "date-parts" : [ [ "2011" ] ] }, "page" : "58-63", "title" : "Pharmacokinetics of yohimbine following intravenous administration to horses", "type" : "article-journal", "volume" : "34" }, "uris" : [ "http://www.mendeley.com/documents/?uuid=70cf13dc-bfaa-4fb4-a3a1-bfb670f17d8a" ] } ], "mendeley" : { "formattedCitation" : "(H. K. Dimaio Knych et al. 2011)", "plainTextFormattedCitation" : "(H. K. Dimaio Knych et al. 2011)", "previouslyFormattedCitation" : "(H. K. Dimaio Knych et al. 2011)" }, "properties" : { "noteIndex" : 0 }, "schema" : "https://github.com/citation-style-language/schema/raw/master/csl-citation.json" }</w:instrText>
      </w:r>
      <w:r w:rsidR="00A2062B" w:rsidRPr="00A518CC">
        <w:rPr>
          <w:rFonts w:ascii="Times New Roman" w:hAnsi="Times New Roman"/>
          <w:sz w:val="24"/>
          <w:szCs w:val="24"/>
          <w:lang w:val="en-US"/>
        </w:rPr>
        <w:fldChar w:fldCharType="separate"/>
      </w:r>
      <w:r w:rsidRPr="00A518CC">
        <w:rPr>
          <w:rFonts w:ascii="Times New Roman" w:hAnsi="Times New Roman"/>
          <w:noProof/>
          <w:sz w:val="24"/>
          <w:szCs w:val="24"/>
          <w:lang w:val="en-US"/>
        </w:rPr>
        <w:t>(Dimaio Knych</w:t>
      </w:r>
      <w:r w:rsidRPr="00A518CC">
        <w:rPr>
          <w:rFonts w:ascii="Times New Roman" w:hAnsi="Times New Roman"/>
          <w:i/>
          <w:noProof/>
          <w:sz w:val="24"/>
          <w:szCs w:val="24"/>
          <w:lang w:val="en-US"/>
        </w:rPr>
        <w:t xml:space="preserve"> et al</w:t>
      </w:r>
      <w:r w:rsidRPr="00A518CC">
        <w:rPr>
          <w:rFonts w:ascii="Times New Roman" w:hAnsi="Times New Roman"/>
          <w:noProof/>
          <w:sz w:val="24"/>
          <w:szCs w:val="24"/>
          <w:lang w:val="en-US"/>
        </w:rPr>
        <w:t>., 2011)</w:t>
      </w:r>
      <w:r w:rsidR="00A2062B" w:rsidRPr="00A518CC">
        <w:rPr>
          <w:rFonts w:ascii="Times New Roman" w:hAnsi="Times New Roman"/>
          <w:sz w:val="24"/>
          <w:szCs w:val="24"/>
          <w:lang w:val="en-US"/>
        </w:rPr>
        <w:fldChar w:fldCharType="end"/>
      </w:r>
      <w:r w:rsidRPr="00A518CC">
        <w:rPr>
          <w:rFonts w:ascii="Times New Roman" w:hAnsi="Times New Roman"/>
          <w:sz w:val="24"/>
          <w:szCs w:val="24"/>
          <w:lang w:val="en-US"/>
        </w:rPr>
        <w:t xml:space="preserve">. </w:t>
      </w:r>
    </w:p>
    <w:p w:rsidR="00B41C1C" w:rsidRPr="00A518CC" w:rsidRDefault="00B41C1C" w:rsidP="00B41C1C">
      <w:pPr>
        <w:spacing w:line="360" w:lineRule="auto"/>
        <w:rPr>
          <w:rFonts w:ascii="Times New Roman" w:hAnsi="Times New Roman"/>
          <w:sz w:val="24"/>
          <w:szCs w:val="24"/>
          <w:lang w:val="en-US"/>
        </w:rPr>
      </w:pPr>
      <w:r w:rsidRPr="00A518CC">
        <w:rPr>
          <w:rFonts w:ascii="Times New Roman" w:hAnsi="Times New Roman"/>
          <w:sz w:val="24"/>
          <w:szCs w:val="24"/>
          <w:lang w:val="en-US"/>
        </w:rPr>
        <w:t xml:space="preserve">Based on analysis of plasma and urine samples in horses, it has been reported that hydroxylation also appears to be the predominant pathway for elimination of YOH. One metabolite was identified hydroxy-yohimbine in urine samples </w:t>
      </w:r>
      <w:r w:rsidR="00A2062B" w:rsidRPr="00A518CC">
        <w:rPr>
          <w:rFonts w:ascii="Times New Roman" w:hAnsi="Times New Roman"/>
          <w:sz w:val="24"/>
          <w:szCs w:val="24"/>
          <w:lang w:val="en-US"/>
        </w:rPr>
        <w:fldChar w:fldCharType="begin" w:fldLock="1"/>
      </w:r>
      <w:r w:rsidRPr="00A518CC">
        <w:rPr>
          <w:rFonts w:ascii="Times New Roman" w:hAnsi="Times New Roman"/>
          <w:sz w:val="24"/>
          <w:szCs w:val="24"/>
          <w:lang w:val="en-US"/>
        </w:rPr>
        <w:instrText>ADDIN CSL_CITATION { "citationItems" : [ { "id" : "ITEM-1", "itemData" : { "DOI" : "10.1111/j.1365-2885.2010.01194.x", "ISSN" : "01407783", "PMID" : "21219345", "abstract" : "Yohimbine is an alpha 2 adrenergic receptor antagonist used most commonly in veterinary medicine to reverse the effects of the alpha 2 receptor agonists, xylazine and detomidine. Most notably, yohimbine has been shown to counteract the CNS depressant effects of alpha 2 receptor agonists in a number of species. The recent identification of a yohimbine positive urine sample collected from a horse racing in California has led to the investigation of the pharmacokinetics of this compound. Eight healthy adult horses received a single intravenous dose of 0.12\u2003mg/kg yohimbine. Blood samples were collected at time 0 (prior to drug administration) and at various times up to 72\u2003h post drug administration. Plasma samples were analyzed using liquid chromatography-mass spectrometry (LC-MS) and data analyzed using both noncompartmental and compartmental analysis. Peak plasma concentration was 114.5\u2003+\u200331.8\u2003ng/mL and occurred at 0.09\u2003+\u20030.03\u2003h. Mean\u2003\u00b1\u2003SD systemic clearance (Cls) and steady-state volume of distribution (Vdss) were 13.5\u2003+\u20032.1\u2003mL/min/kg and 3.3\u2003+\u20031.3\u2003L/kg following noncompartmental analysis. For compartmental analysis, plasma yohimbine vs. time data were best fitted to a two compartment model. Mean\u2003\u00b1\u2003SD Cls and Vdss of yohimbine were 13.6\u2003\u00b1\u20032.0\u2003mL/min/kg and 3.2\u2003\u00b1\u20031.1\u2003L/kg, respectively. Mean\u2003\u00b1\u2003SD terminal elimination half-life was 4.4\u2003\u00b1\u20030.9\u2003h following noncompartmental analysis. Immediately following administration, two horses showed signs of sedation, while the other six appeared behaviorally unaffected. Gastrointestinal sounds were moderately increased compared to baseline while fecal consistency appeared normal.", "author" : [ { "dropping-particle" : "", "family" : "Dimaio Knych", "given" : "H. K.", "non-dropping-particle" : "", "parse-names" : false, "suffix" : "" }, { "dropping-particle" : "", "family" : "Steffey", "given" : "E. P.", "non-dropping-particle" : "", "parse-names" : false, "suffix" : "" }, { "dropping-particle" : "", "family" : "Deuel", "given" : "J. L.", "non-dropping-particle" : "", "parse-names" : false, "suffix" : "" }, { "dropping-particle" : "", "family" : "Shepard", "given" : "R. a.", "non-dropping-particle" : "", "parse-names" : false, "suffix" : "" }, { "dropping-particle" : "", "family" : "Stanley", "given" : "S. D.", "non-dropping-particle" : "", "parse-names" : false, "suffix" : "" } ], "container-title" : "Journal of Veterinary Pharmacology and Therapeutics", "id" : "ITEM-1", "issue" : "1", "issued" : { "date-parts" : [ [ "2011" ] ] }, "page" : "58-63", "title" : "Pharmacokinetics of yohimbine following intravenous administration to horses", "type" : "article-journal", "volume" : "34" }, "uris" : [ "http://www.mendeley.com/documents/?uuid=70cf13dc-bfaa-4fb4-a3a1-bfb670f17d8a" ] } ], "mendeley" : { "formattedCitation" : "(H. K. Dimaio Knych et al. 2011)", "plainTextFormattedCitation" : "(H. K. Dimaio Knych et al. 2011)", "previouslyFormattedCitation" : "(H. K. Dimaio Knych et al. 2011)" }, "properties" : { "noteIndex" : 0 }, "schema" : "https://github.com/citation-style-language/schema/raw/master/csl-citation.json" }</w:instrText>
      </w:r>
      <w:r w:rsidR="00A2062B" w:rsidRPr="00A518CC">
        <w:rPr>
          <w:rFonts w:ascii="Times New Roman" w:hAnsi="Times New Roman"/>
          <w:sz w:val="24"/>
          <w:szCs w:val="24"/>
          <w:lang w:val="en-US"/>
        </w:rPr>
        <w:fldChar w:fldCharType="separate"/>
      </w:r>
      <w:r w:rsidRPr="00A518CC">
        <w:rPr>
          <w:rFonts w:ascii="Times New Roman" w:hAnsi="Times New Roman"/>
          <w:noProof/>
          <w:sz w:val="24"/>
          <w:szCs w:val="24"/>
          <w:lang w:val="en-US"/>
        </w:rPr>
        <w:t xml:space="preserve">(Dimaio Knych </w:t>
      </w:r>
      <w:r w:rsidRPr="00A518CC">
        <w:rPr>
          <w:rFonts w:ascii="Times New Roman" w:hAnsi="Times New Roman"/>
          <w:i/>
          <w:noProof/>
          <w:sz w:val="24"/>
          <w:szCs w:val="24"/>
          <w:lang w:val="en-US"/>
        </w:rPr>
        <w:t>et al</w:t>
      </w:r>
      <w:r w:rsidRPr="00A518CC">
        <w:rPr>
          <w:rFonts w:ascii="Times New Roman" w:hAnsi="Times New Roman"/>
          <w:noProof/>
          <w:sz w:val="24"/>
          <w:szCs w:val="24"/>
          <w:lang w:val="en-US"/>
        </w:rPr>
        <w:t>., 2011)</w:t>
      </w:r>
      <w:r w:rsidR="00A2062B" w:rsidRPr="00A518CC">
        <w:rPr>
          <w:rFonts w:ascii="Times New Roman" w:hAnsi="Times New Roman"/>
          <w:sz w:val="24"/>
          <w:szCs w:val="24"/>
          <w:lang w:val="en-US"/>
        </w:rPr>
        <w:fldChar w:fldCharType="end"/>
      </w:r>
      <w:r w:rsidRPr="00A518CC">
        <w:rPr>
          <w:rFonts w:ascii="Times New Roman" w:hAnsi="Times New Roman"/>
          <w:sz w:val="24"/>
          <w:szCs w:val="24"/>
          <w:lang w:val="en-US"/>
        </w:rPr>
        <w:t xml:space="preserve">. YOH is eliminated by a first order process, it is possible that could have a very prolonged half-life with small serum concentrations due to release of the drug from tissue reservoirs </w:t>
      </w:r>
      <w:r w:rsidR="00A2062B" w:rsidRPr="00A518CC">
        <w:rPr>
          <w:rFonts w:ascii="Times New Roman" w:hAnsi="Times New Roman"/>
          <w:sz w:val="24"/>
          <w:szCs w:val="24"/>
          <w:lang w:val="en-US"/>
        </w:rPr>
        <w:fldChar w:fldCharType="begin" w:fldLock="1"/>
      </w:r>
      <w:r w:rsidRPr="00A518CC">
        <w:rPr>
          <w:rFonts w:ascii="Times New Roman" w:hAnsi="Times New Roman"/>
          <w:sz w:val="24"/>
          <w:szCs w:val="24"/>
          <w:lang w:val="en-US"/>
        </w:rPr>
        <w:instrText>ADDIN CSL_CITATION { "citationItems" : [ { "id" : "ITEM-1", "itemData" : { "DOI" : "10.1111/j.1365-2885.2010.01194.x", "ISSN" : "01407783", "PMID" : "21219345", "abstract" : "Yohimbine is an alpha 2 adrenergic receptor antagonist used most commonly in veterinary medicine to reverse the effects of the alpha 2 receptor agonists, xylazine and detomidine. Most notably, yohimbine has been shown to counteract the CNS depressant effects of alpha 2 receptor agonists in a number of species. The recent identification of a yohimbine positive urine sample collected from a horse racing in California has led to the investigation of the pharmacokinetics of this compound. Eight healthy adult horses received a single intravenous dose of 0.12\u2003mg/kg yohimbine. Blood samples were collected at time 0 (prior to drug administration) and at various times up to 72\u2003h post drug administration. Plasma samples were analyzed using liquid chromatography-mass spectrometry (LC-MS) and data analyzed using both noncompartmental and compartmental analysis. Peak plasma concentration was 114.5\u2003+\u200331.8\u2003ng/mL and occurred at 0.09\u2003+\u20030.03\u2003h. Mean\u2003\u00b1\u2003SD systemic clearance (Cls) and steady-state volume of distribution (Vdss) were 13.5\u2003+\u20032.1\u2003mL/min/kg and 3.3\u2003+\u20031.3\u2003L/kg following noncompartmental analysis. For compartmental analysis, plasma yohimbine vs. time data were best fitted to a two compartment model. Mean\u2003\u00b1\u2003SD Cls and Vdss of yohimbine were 13.6\u2003\u00b1\u20032.0\u2003mL/min/kg and 3.2\u2003\u00b1\u20031.1\u2003L/kg, respectively. Mean\u2003\u00b1\u2003SD terminal elimination half-life was 4.4\u2003\u00b1\u20030.9\u2003h following noncompartmental analysis. Immediately following administration, two horses showed signs of sedation, while the other six appeared behaviorally unaffected. Gastrointestinal sounds were moderately increased compared to baseline while fecal consistency appeared normal.", "author" : [ { "dropping-particle" : "", "family" : "Dimaio Knych", "given" : "H. K.", "non-dropping-particle" : "", "parse-names" : false, "suffix" : "" }, { "dropping-particle" : "", "family" : "Steffey", "given" : "E. P.", "non-dropping-particle" : "", "parse-names" : false, "suffix" : "" }, { "dropping-particle" : "", "family" : "Deuel", "given" : "J. L.", "non-dropping-particle" : "", "parse-names" : false, "suffix" : "" }, { "dropping-particle" : "", "family" : "Shepard", "given" : "R. a.", "non-dropping-particle" : "", "parse-names" : false, "suffix" : "" }, { "dropping-particle" : "", "family" : "Stanley", "given" : "S. D.", "non-dropping-particle" : "", "parse-names" : false, "suffix" : "" } ], "container-title" : "Journal of Veterinary Pharmacology and Therapeutics", "id" : "ITEM-1", "issue" : "1", "issued" : { "date-parts" : [ [ "2011" ] ] }, "page" : "58-63", "title" : "Pharmacokinetics of yohimbine following intravenous administration to horses", "type" : "article-journal", "volume" : "34" }, "uris" : [ "http://www.mendeley.com/documents/?uuid=70cf13dc-bfaa-4fb4-a3a1-bfb670f17d8a" ] } ], "mendeley" : { "formattedCitation" : "(H. K. Dimaio Knych et al. 2011)", "plainTextFormattedCitation" : "(H. K. Dimaio Knych et al. 2011)", "previouslyFormattedCitation" : "(H. K. Dimaio Knych et al. 2011)" }, "properties" : { "noteIndex" : 0 }, "schema" : "https://github.com/citation-style-language/schema/raw/master/csl-citation.json" }</w:instrText>
      </w:r>
      <w:r w:rsidR="00A2062B" w:rsidRPr="00A518CC">
        <w:rPr>
          <w:rFonts w:ascii="Times New Roman" w:hAnsi="Times New Roman"/>
          <w:sz w:val="24"/>
          <w:szCs w:val="24"/>
          <w:lang w:val="en-US"/>
        </w:rPr>
        <w:fldChar w:fldCharType="separate"/>
      </w:r>
      <w:r w:rsidRPr="00A518CC">
        <w:rPr>
          <w:rFonts w:ascii="Times New Roman" w:hAnsi="Times New Roman"/>
          <w:noProof/>
          <w:sz w:val="24"/>
          <w:szCs w:val="24"/>
          <w:lang w:val="en-US"/>
        </w:rPr>
        <w:t xml:space="preserve">(Dimaio Knych </w:t>
      </w:r>
      <w:r w:rsidRPr="00A518CC">
        <w:rPr>
          <w:rFonts w:ascii="Times New Roman" w:hAnsi="Times New Roman"/>
          <w:i/>
          <w:noProof/>
          <w:sz w:val="24"/>
          <w:szCs w:val="24"/>
          <w:lang w:val="en-US"/>
        </w:rPr>
        <w:t>et al</w:t>
      </w:r>
      <w:r w:rsidRPr="00A518CC">
        <w:rPr>
          <w:rFonts w:ascii="Times New Roman" w:hAnsi="Times New Roman"/>
          <w:noProof/>
          <w:sz w:val="24"/>
          <w:szCs w:val="24"/>
          <w:lang w:val="en-US"/>
        </w:rPr>
        <w:t xml:space="preserve">., 2011; </w:t>
      </w:r>
      <w:r w:rsidRPr="00A518CC">
        <w:rPr>
          <w:rFonts w:ascii="Times New Roman" w:eastAsia="Times New Roman" w:hAnsi="Times New Roman"/>
          <w:noProof/>
          <w:sz w:val="24"/>
          <w:szCs w:val="24"/>
          <w:lang w:val="en-US"/>
        </w:rPr>
        <w:t xml:space="preserve">Dimaio Knych </w:t>
      </w:r>
      <w:r w:rsidRPr="00A518CC">
        <w:rPr>
          <w:rFonts w:ascii="Times New Roman" w:eastAsia="Times New Roman" w:hAnsi="Times New Roman"/>
          <w:i/>
          <w:noProof/>
          <w:sz w:val="24"/>
          <w:szCs w:val="24"/>
          <w:lang w:val="en-US"/>
        </w:rPr>
        <w:t>et al</w:t>
      </w:r>
      <w:r w:rsidRPr="00A518CC">
        <w:rPr>
          <w:rFonts w:ascii="Times New Roman" w:eastAsia="Times New Roman" w:hAnsi="Times New Roman"/>
          <w:noProof/>
          <w:sz w:val="24"/>
          <w:szCs w:val="24"/>
          <w:lang w:val="en-US"/>
        </w:rPr>
        <w:t>., 2012</w:t>
      </w:r>
      <w:r w:rsidRPr="00A518CC">
        <w:rPr>
          <w:rFonts w:ascii="Times New Roman" w:hAnsi="Times New Roman"/>
          <w:noProof/>
          <w:sz w:val="24"/>
          <w:szCs w:val="24"/>
          <w:lang w:val="en-US"/>
        </w:rPr>
        <w:t>)</w:t>
      </w:r>
      <w:r w:rsidR="00A2062B" w:rsidRPr="00A518CC">
        <w:rPr>
          <w:rFonts w:ascii="Times New Roman" w:hAnsi="Times New Roman"/>
          <w:sz w:val="24"/>
          <w:szCs w:val="24"/>
          <w:lang w:val="en-US"/>
        </w:rPr>
        <w:fldChar w:fldCharType="end"/>
      </w:r>
      <w:r w:rsidRPr="00A518CC">
        <w:rPr>
          <w:rFonts w:ascii="Times New Roman" w:hAnsi="Times New Roman"/>
          <w:sz w:val="24"/>
          <w:szCs w:val="24"/>
          <w:lang w:val="en-US"/>
        </w:rPr>
        <w:t xml:space="preserve">. A more sensitive YOH assay and determinations of renal and hepatic clearance are necessary to define further a possible prolonged elimination of YOH </w:t>
      </w:r>
      <w:r w:rsidR="00A2062B" w:rsidRPr="00A518CC">
        <w:rPr>
          <w:rFonts w:ascii="Times New Roman" w:hAnsi="Times New Roman"/>
          <w:sz w:val="24"/>
          <w:szCs w:val="24"/>
          <w:lang w:val="en-US"/>
        </w:rPr>
        <w:fldChar w:fldCharType="begin" w:fldLock="1"/>
      </w:r>
      <w:r w:rsidRPr="00A518CC">
        <w:rPr>
          <w:rFonts w:ascii="Times New Roman" w:hAnsi="Times New Roman"/>
          <w:sz w:val="24"/>
          <w:szCs w:val="24"/>
          <w:lang w:val="en-US"/>
        </w:rPr>
        <w:instrText>ADDIN CSL_CITATION { "citationItems" : [ { "id" : "ITEM-1", "itemData" : { "ISBN" : "0830-9000", "ISSN" : "08309000", "PMID" : "3370551", "abstract" : "In steers, horses and dogs, the comparative pharmacokinetics of yohimbine were determined using model-independent analysis. The intravenous dose of yohimbine was 0.25 mg/kg of body weight in steers, 0.075 or 0.15 mg/kg in horses, and 0.4 mg/kg in dogs. The mean residence time (+/- SD) of yohimbine was 86.7 +/- 46.2 min in steers, 106.2 +/- 72.1 to 118.7 +/- 35.0 min in horses, and 163.6 +/- 49.7 min in dogs. The mean apparent volume of distribution of yohimbine at steady state was 4.9 +/- 1.4 L/kg for steers, 2.7 +/- 1.0 to 4.6 +/- 1.9 L/kg for horses, and 4.5 +/- 1.8 L/kg for dogs. The total body clearance of yohimbine was 69.6 +/- 35.1 mL/min/kg for steers, 34.0 +/- 19.4 to 39.6 +/- 16.6 mL/min/kg for horses, and 29.6 +/- 14.7 mL/min/kg for dogs. Between-species comparisons indicated that the mean area under the serum concentration versus time curve was significantly greater (P less than 0.05) in dogs than in horses. There were no significant differences (P greater than 0.05) between the means for the apparent volume of distribution, clearance, mean residence time, terminal rate constant, and area under the curve between horses given the two doses of yohimbine. The harmonic mean effective half-life (+/- pseudo standard deviation) of yohimbine was 46.7 +/- 24.4 min in steers, 52.8 +/- 27.8 to 76.1 +/- 23.1 min in horses, and 104.1 +/- 32.1 min in dogs. The data may explain why steers, horses, and dogs given certain sedatives and anesthetics do not relapse when aroused by an intravenous injection of yohimbine hydrochloride.", "author" : [ { "dropping-particle" : "", "family" : "Jernigan", "given" : "a. D.", "non-dropping-particle" : "", "parse-names" : false, "suffix" : "" }, { "dropping-particle" : "", "family" : "Wilson", "given" : "R. C.", "non-dropping-particle" : "", "parse-names" : false, "suffix" : "" }, { "dropping-particle" : "", "family" : "Booth", "given" : "N. H.", "non-dropping-particle" : "", "parse-names" : false, "suffix" : "" }, { "dropping-particle" : "", "family" : "Hatch", "given" : "R. C.", "non-dropping-particle" : "", "parse-names" : false, "suffix" : "" }, { "dropping-particle" : "", "family" : "Akbari", "given" : "a.", "non-dropping-particle" : "", "parse-names" : false, "suffix" : "" } ], "container-title" : "Canadian Journal of Veterinary Research", "id" : "ITEM-1", "issue" : "2", "issued" : { "date-parts" : [ [ "1988" ] ] }, "page" : "172-176", "title" : "Comparative pharmacokinetics of yohimbine in steers, horses and dogs", "type" : "article-journal", "volume" : "52" }, "uris" : [ "http://www.mendeley.com/documents/?uuid=59381179-0c72-403f-9bab-8d8dd9db2ac3" ] } ], "mendeley" : { "formattedCitation" : "(Jernigan et al. 1988)", "plainTextFormattedCitation" : "(Jernigan et al. 1988)", "previouslyFormattedCitation" : "(Jernigan et al. 1988)" }, "properties" : { "noteIndex" : 0 }, "schema" : "https://github.com/citation-style-language/schema/raw/master/csl-citation.json" }</w:instrText>
      </w:r>
      <w:r w:rsidR="00A2062B" w:rsidRPr="00A518CC">
        <w:rPr>
          <w:rFonts w:ascii="Times New Roman" w:hAnsi="Times New Roman"/>
          <w:sz w:val="24"/>
          <w:szCs w:val="24"/>
          <w:lang w:val="en-US"/>
        </w:rPr>
        <w:fldChar w:fldCharType="separate"/>
      </w:r>
      <w:r w:rsidRPr="00A518CC">
        <w:rPr>
          <w:rFonts w:ascii="Times New Roman" w:hAnsi="Times New Roman"/>
          <w:noProof/>
          <w:sz w:val="24"/>
          <w:szCs w:val="24"/>
          <w:lang w:val="en-US"/>
        </w:rPr>
        <w:t xml:space="preserve">(Jernigan </w:t>
      </w:r>
      <w:r w:rsidRPr="00A518CC">
        <w:rPr>
          <w:rFonts w:ascii="Times New Roman" w:hAnsi="Times New Roman"/>
          <w:i/>
          <w:noProof/>
          <w:sz w:val="24"/>
          <w:szCs w:val="24"/>
          <w:lang w:val="en-US"/>
        </w:rPr>
        <w:t>et al</w:t>
      </w:r>
      <w:r w:rsidRPr="00A518CC">
        <w:rPr>
          <w:rFonts w:ascii="Times New Roman" w:hAnsi="Times New Roman"/>
          <w:noProof/>
          <w:sz w:val="24"/>
          <w:szCs w:val="24"/>
          <w:lang w:val="en-US"/>
        </w:rPr>
        <w:t>., 1988)</w:t>
      </w:r>
      <w:r w:rsidR="00A2062B" w:rsidRPr="00A518CC">
        <w:rPr>
          <w:rFonts w:ascii="Times New Roman" w:hAnsi="Times New Roman"/>
          <w:sz w:val="24"/>
          <w:szCs w:val="24"/>
          <w:lang w:val="en-US"/>
        </w:rPr>
        <w:fldChar w:fldCharType="end"/>
      </w:r>
      <w:r w:rsidRPr="00A518CC">
        <w:rPr>
          <w:rFonts w:ascii="Times New Roman" w:hAnsi="Times New Roman"/>
          <w:sz w:val="24"/>
          <w:szCs w:val="24"/>
          <w:lang w:val="en-US"/>
        </w:rPr>
        <w:t>.</w:t>
      </w:r>
    </w:p>
    <w:p w:rsidR="00B41C1C" w:rsidRPr="00A518CC" w:rsidRDefault="00B41C1C" w:rsidP="00B41C1C">
      <w:pPr>
        <w:spacing w:line="360" w:lineRule="auto"/>
        <w:rPr>
          <w:rFonts w:ascii="Times New Roman" w:hAnsi="Times New Roman"/>
          <w:sz w:val="24"/>
          <w:szCs w:val="24"/>
          <w:lang w:val="en-US"/>
        </w:rPr>
      </w:pPr>
      <w:r w:rsidRPr="00A518CC">
        <w:rPr>
          <w:rFonts w:ascii="Times New Roman" w:hAnsi="Times New Roman"/>
          <w:sz w:val="24"/>
          <w:szCs w:val="24"/>
          <w:lang w:val="en-US"/>
        </w:rPr>
        <w:t xml:space="preserve">YOH has been shown to decrease the incidence of naturally occurring non-pathologic AV conduction disturbances following IV administration to horses </w:t>
      </w:r>
      <w:r w:rsidR="00A2062B" w:rsidRPr="00A518CC">
        <w:rPr>
          <w:rFonts w:ascii="Times New Roman" w:hAnsi="Times New Roman"/>
          <w:sz w:val="24"/>
          <w:szCs w:val="24"/>
          <w:lang w:val="en-US"/>
        </w:rPr>
        <w:fldChar w:fldCharType="begin" w:fldLock="1"/>
      </w:r>
      <w:r w:rsidRPr="00A518CC">
        <w:rPr>
          <w:rFonts w:ascii="Times New Roman" w:hAnsi="Times New Roman"/>
          <w:sz w:val="24"/>
          <w:szCs w:val="24"/>
          <w:lang w:val="en-US"/>
        </w:rPr>
        <w:instrText>ADDIN CSL_CITATION { "citationItems" : [ { "id" : "ITEM-1", "itemData" : { "DOI" : "10.1111/j.1365-2885.2010.01194.x", "ISSN" : "01407783", "PMID" : "21219345", "abstract" : "Yohimbine is an alpha 2 adrenergic receptor antagonist used most commonly in veterinary medicine to reverse the effects of the alpha 2 receptor agonists, xylazine and detomidine. Most notably, yohimbine has been shown to counteract the CNS depressant effects of alpha 2 receptor agonists in a number of species. The recent identification of a yohimbine positive urine sample collected from a horse racing in California has led to the investigation of the pharmacokinetics of this compound. Eight healthy adult horses received a single intravenous dose of 0.12\u2003mg/kg yohimbine. Blood samples were collected at time 0 (prior to drug administration) and at various times up to 72\u2003h post drug administration. Plasma samples were analyzed using liquid chromatography-mass spectrometry (LC-MS) and data analyzed using both noncompartmental and compartmental analysis. Peak plasma concentration was 114.5\u2003+\u200331.8\u2003ng/mL and occurred at 0.09\u2003+\u20030.03\u2003h. Mean\u2003\u00b1\u2003SD systemic clearance (Cls) and steady-state volume of distribution (Vdss) were 13.5\u2003+\u20032.1\u2003mL/min/kg and 3.3\u2003+\u20031.3\u2003L/kg following noncompartmental analysis. For compartmental analysis, plasma yohimbine vs. time data were best fitted to a two compartment model. Mean\u2003\u00b1\u2003SD Cls and Vdss of yohimbine were 13.6\u2003\u00b1\u20032.0\u2003mL/min/kg and 3.2\u2003\u00b1\u20031.1\u2003L/kg, respectively. Mean\u2003\u00b1\u2003SD terminal elimination half-life was 4.4\u2003\u00b1\u20030.9\u2003h following noncompartmental analysis. Immediately following administration, two horses showed signs of sedation, while the other six appeared behaviorally unaffected. Gastrointestinal sounds were moderately increased compared to baseline while fecal consistency appeared normal.", "author" : [ { "dropping-particle" : "", "family" : "Dimaio Knych", "given" : "H. K.", "non-dropping-particle" : "", "parse-names" : false, "suffix" : "" }, { "dropping-particle" : "", "family" : "Steffey", "given" : "E. P.", "non-dropping-particle" : "", "parse-names" : false, "suffix" : "" }, { "dropping-particle" : "", "family" : "Deuel", "given" : "J. L.", "non-dropping-particle" : "", "parse-names" : false, "suffix" : "" }, { "dropping-particle" : "", "family" : "Shepard", "given" : "R. a.", "non-dropping-particle" : "", "parse-names" : false, "suffix" : "" }, { "dropping-particle" : "", "family" : "Stanley", "given" : "S. D.", "non-dropping-particle" : "", "parse-names" : false, "suffix" : "" } ], "container-title" : "Journal of Veterinary Pharmacology and Therapeutics", "id" : "ITEM-1", "issue" : "1", "issued" : { "date-parts" : [ [ "2011" ] ] }, "page" : "58-63", "title" : "Pharmacokinetics of yohimbine following intravenous administration to horses", "type" : "article-journal", "volume" : "34" }, "uris" : [ "http://www.mendeley.com/documents/?uuid=70cf13dc-bfaa-4fb4-a3a1-bfb670f17d8a" ] }, { "id" : "ITEM-2", "itemData" : { "DOI" : "10.1111/j.1365-2885.2010.01234.x", "ISSN" : "01407783", "PMID" : "20950351", "abstract" : "Yohimbine is an alpha 2 adrenergic receptor antagonist, which has been shown to counteract the CNS depressant effects of alpha 2 receptor agonists in a number of species. Recently, our laboratory identified yohimbine in the absence of detectable concentrations of an alpha 2 agonist in a regulatory sample collected from a horse racing in California. This coupled with anecdotal reports of CNS stimulation and documented reports of cardiovascular changes when administered in conjunction with an agonist led us to investigate the pharmacokinetics and pharmacodynamics of yohimbine when administered alone. Nine healthy adult horses received a single intravenous dose of 0.1, 0.2, and 0.4 mg/kg yohimbine. Blood samples were collected at time 0 (prior to drug administration) and at various times up to 24 h postdrug administration. Plasma samples were analyzed using liquid chromatography-mass spectrometry (LC-MS), and resulting data analyzed using both noncompartmental and compartmental analysis. Peak plasma concentrations were 106.0 \u00b1 28.9, 156.7 \u00b1 34.3, and 223.0 \u00b1 44.5 ng/mL for doses of 0.1, 0.2, and 0.4 mg/kg, respectively. Immediately following administration, two horses showed signs of sedation, one horse appeared excited, while the other six appeared behaviorally unaffected. Episodes of tachycardia were noted within minutes of administration for all horses at all doses; however, there was no correlation between behavioral responses and episodes of increased heart rate. Sixty-three percent of the horses (8, 6, and 4 of the 9 horses in the 0.1, 0.2, and 0.4 mg/kg dose groups, respectively) exhibited second-degree atrial-ventricular conduction blocks and bradycardia prior to drug administration that transiently improved or disappeared upon administration of yohimbine. Gastrointestinal sounds were transiently increased following all doses.", "author" : [ { "dropping-particle" : "", "family" : "Dimaio Knych", "given" : "H. K.", "non-dropping-particle" : "", "parse-names" : false, "suffix" : "" }, { "dropping-particle" : "", "family" : "Steffey", "given" : "E. P.", "non-dropping-particle" : "", "parse-names" : false, "suffix" : "" }, { "dropping-particle" : "", "family" : "Stanley", "given" : "S. D.", "non-dropping-particle" : "", "parse-names" : false, "suffix" : "" } ], "container-title" : "Journal of Veterinary Pharmacology and Therapeutics", "id" : "ITEM-2", "issue" : "4", "issued" : { "date-parts" : [ [ "2011" ] ] }, "page" : "359-366", "title" : "Pharmacokinetics and pharmacodynamics of three intravenous doses of yohimbine in the horse", "type" : "article-journal", "volume" : "34" }, "uris" : [ "http://www.mendeley.com/documents/?uuid=dde61d5f-908a-49f1-a98a-81342021b804" ] } ], "mendeley" : { "formattedCitation" : "(H. K. Dimaio Knych et al. 2011; H. K. Dimaio Knych, Steffey, and Stanley 2011)", "plainTextFormattedCitation" : "(H. K. Dimaio Knych et al. 2011; H. K. Dimaio Knych, Steffey, and Stanley 2011)", "previouslyFormattedCitation" : "(H. K. Dimaio Knych et al. 2011; H. K. Dimaio Knych, Steffey, and Stanley 2011)" }, "properties" : { "noteIndex" : 0 }, "schema" : "https://github.com/citation-style-language/schema/raw/master/csl-citation.json" }</w:instrText>
      </w:r>
      <w:r w:rsidR="00A2062B" w:rsidRPr="00A518CC">
        <w:rPr>
          <w:rFonts w:ascii="Times New Roman" w:hAnsi="Times New Roman"/>
          <w:sz w:val="24"/>
          <w:szCs w:val="24"/>
          <w:lang w:val="en-US"/>
        </w:rPr>
        <w:fldChar w:fldCharType="separate"/>
      </w:r>
      <w:r w:rsidRPr="00A518CC">
        <w:rPr>
          <w:rFonts w:ascii="Times New Roman" w:hAnsi="Times New Roman"/>
          <w:noProof/>
          <w:sz w:val="24"/>
          <w:szCs w:val="24"/>
          <w:lang w:val="en-US"/>
        </w:rPr>
        <w:t xml:space="preserve">(Di Maio Knych &amp; Stalney, 2011; Dimaio Knych </w:t>
      </w:r>
      <w:r w:rsidRPr="00A518CC">
        <w:rPr>
          <w:rFonts w:ascii="Times New Roman" w:hAnsi="Times New Roman"/>
          <w:i/>
          <w:noProof/>
          <w:sz w:val="24"/>
          <w:szCs w:val="24"/>
          <w:lang w:val="en-US"/>
        </w:rPr>
        <w:t xml:space="preserve">et al., </w:t>
      </w:r>
      <w:r w:rsidRPr="00A518CC">
        <w:rPr>
          <w:rFonts w:ascii="Times New Roman" w:hAnsi="Times New Roman"/>
          <w:noProof/>
          <w:sz w:val="24"/>
          <w:szCs w:val="24"/>
          <w:lang w:val="en-US"/>
        </w:rPr>
        <w:t>2011)</w:t>
      </w:r>
      <w:r w:rsidR="00A2062B" w:rsidRPr="00A518CC">
        <w:rPr>
          <w:rFonts w:ascii="Times New Roman" w:hAnsi="Times New Roman"/>
          <w:sz w:val="24"/>
          <w:szCs w:val="24"/>
          <w:lang w:val="en-US"/>
        </w:rPr>
        <w:fldChar w:fldCharType="end"/>
      </w:r>
      <w:r w:rsidRPr="00A518CC">
        <w:rPr>
          <w:rFonts w:ascii="Times New Roman" w:hAnsi="Times New Roman"/>
          <w:sz w:val="24"/>
          <w:szCs w:val="24"/>
          <w:lang w:val="en-US"/>
        </w:rPr>
        <w:t xml:space="preserve">. Similar effects were reported when administered alone, with maximal resolution of AV blocks occurring within 2 minutes of administration </w:t>
      </w:r>
      <w:r w:rsidR="00A2062B" w:rsidRPr="00A518CC">
        <w:rPr>
          <w:rFonts w:ascii="Times New Roman" w:hAnsi="Times New Roman"/>
          <w:sz w:val="24"/>
          <w:szCs w:val="24"/>
          <w:lang w:val="en-US"/>
        </w:rPr>
        <w:fldChar w:fldCharType="begin" w:fldLock="1"/>
      </w:r>
      <w:r w:rsidRPr="00A518CC">
        <w:rPr>
          <w:rFonts w:ascii="Times New Roman" w:hAnsi="Times New Roman"/>
          <w:sz w:val="24"/>
          <w:szCs w:val="24"/>
          <w:lang w:val="en-US"/>
        </w:rPr>
        <w:instrText>ADDIN CSL_CITATION { "citationItems" : [ { "id" : "ITEM-1", "itemData" : { "DOI" : "10.1111/j.1467-2995.2012.00776.x", "ISSN" : "14672987", "PMID" : "23035904", "abstract" : "OBJECTIVE: To describe selected pharmacodynamic effects of detomidine and yohimbine when administered alone and in sequence.\\n\\nSTUDY DESIGN: Randomized crossover design.\\n\\nANIMALS: Nine healthy adult horses aged 9 \u00b1 4 years and weighing 561 \u00b1 56 kg.\\n\\nMETHODS: Three dose regimens were employed in the current study. 1) 0.03 mg kg(-1) detomidine IV, 2) 0.2 mg kg(-1) yohimbine IV and 3) 0.03 mg kg(-1) detomidine IV followed 15 minutes later by 0.2 mg kg(-1) yohimbine IV. Each horse received all three treatments with a minimum of 1 week between treatments. Blood samples were obtained and plasma analyzed for detomidine and yohimbine concentrations by liquid chromatography-mass spectrometry. Behavioral effects, heart rate and rhythm, glucose, packed cell volume and plasma proteins were monitored.\\n\\nRESULTS: Yohimbine rapidly reversed the sedative effects of detomidine in the horse. Additionally, yohimbine effectively returned heart rate and the percent of atrio-ventricular conduction disturbances to pre-detomidine values when administered 15 minutes post-detomidine administration. Plasma glucose was significantly increased following detomidine administration. The detomidine induced hyperglycemia was effectively reduced by yohimbine administration. Effects on packed cell volume and plasma proteins were variable.\\n\\nCONCLUSIONS AND CLINICAL RELEVANCE: Intravenous administration of yohimbine effectively reversed detomidine induced sedation, bradycardia, atrio-ventricular heart block and hyperglycemia.", "author" : [ { "dropping-particle" : "", "family" : "Dimaio Knych", "given" : "Heather K.", "non-dropping-particle" : "", "parse-names" : false, "suffix" : "" }, { "dropping-particle" : "", "family" : "Covarrubias", "given" : "Vanessa", "non-dropping-particle" : "", "parse-names" : false, "suffix" : "" }, { "dropping-particle" : "", "family" : "Steffey", "given" : "Eugene P.", "non-dropping-particle" : "", "parse-names" : false, "suffix" : "" } ], "container-title" : "Veterinary Anaesthesia and Analgesia", "id" : "ITEM-1", "issue" : "6", "issued" : { "date-parts" : [ [ "2012" ] ] }, "page" : "574-583", "title" : "Effect of yohimbine on detomidine induced changes in behavior, cardiac and blood parameters in the horse", "type" : "article-journal", "volume" : "39" }, "uris" : [ "http://www.mendeley.com/documents/?uuid=22ec7d39-3121-498d-b24c-8a19caec533c" ] } ], "mendeley" : { "formattedCitation" : "(Heather K. Dimaio Knych, Covarrubias, and Steffey 2012)", "plainTextFormattedCitation" : "(Heather K. Dimaio Knych, Covarrubias, and Steffey 2012)", "previouslyFormattedCitation" : "(Heather K. Dimaio Knych, Covarrubias, and Steffey 2012)" }, "properties" : { "noteIndex" : 0 }, "schema" : "https://github.com/citation-style-language/schema/raw/master/csl-citation.json" }</w:instrText>
      </w:r>
      <w:r w:rsidR="00A2062B" w:rsidRPr="00A518CC">
        <w:rPr>
          <w:rFonts w:ascii="Times New Roman" w:hAnsi="Times New Roman"/>
          <w:sz w:val="24"/>
          <w:szCs w:val="24"/>
          <w:lang w:val="en-US"/>
        </w:rPr>
        <w:fldChar w:fldCharType="separate"/>
      </w:r>
      <w:r w:rsidRPr="00A518CC">
        <w:rPr>
          <w:rFonts w:ascii="Times New Roman" w:hAnsi="Times New Roman"/>
          <w:noProof/>
          <w:sz w:val="24"/>
          <w:szCs w:val="24"/>
          <w:lang w:val="en-US"/>
        </w:rPr>
        <w:t xml:space="preserve">(Dimaio Knych </w:t>
      </w:r>
      <w:r w:rsidRPr="00A518CC">
        <w:rPr>
          <w:rFonts w:ascii="Times New Roman" w:hAnsi="Times New Roman"/>
          <w:i/>
          <w:noProof/>
          <w:sz w:val="24"/>
          <w:szCs w:val="24"/>
          <w:lang w:val="en-US"/>
        </w:rPr>
        <w:t>et al.</w:t>
      </w:r>
      <w:r w:rsidRPr="00A518CC">
        <w:rPr>
          <w:rFonts w:ascii="Times New Roman" w:hAnsi="Times New Roman"/>
          <w:noProof/>
          <w:sz w:val="24"/>
          <w:szCs w:val="24"/>
          <w:lang w:val="en-US"/>
        </w:rPr>
        <w:t>, 2012)</w:t>
      </w:r>
      <w:r w:rsidR="00A2062B" w:rsidRPr="00A518CC">
        <w:rPr>
          <w:rFonts w:ascii="Times New Roman" w:hAnsi="Times New Roman"/>
          <w:sz w:val="24"/>
          <w:szCs w:val="24"/>
          <w:lang w:val="en-US"/>
        </w:rPr>
        <w:fldChar w:fldCharType="end"/>
      </w:r>
      <w:r w:rsidRPr="00A518CC">
        <w:rPr>
          <w:rFonts w:ascii="Times New Roman" w:hAnsi="Times New Roman"/>
          <w:sz w:val="24"/>
          <w:szCs w:val="24"/>
          <w:lang w:val="en-US"/>
        </w:rPr>
        <w:t>.</w:t>
      </w:r>
    </w:p>
    <w:p w:rsidR="00B41C1C" w:rsidRPr="00A518CC" w:rsidRDefault="00B41C1C" w:rsidP="00B41C1C">
      <w:pPr>
        <w:spacing w:line="360" w:lineRule="auto"/>
        <w:rPr>
          <w:rFonts w:ascii="Times New Roman" w:eastAsia="Times New Roman" w:hAnsi="Times New Roman"/>
          <w:sz w:val="24"/>
          <w:szCs w:val="24"/>
          <w:lang w:val="en-US"/>
        </w:rPr>
      </w:pPr>
      <w:r w:rsidRPr="00A518CC">
        <w:rPr>
          <w:rFonts w:ascii="Times New Roman" w:eastAsia="Times New Roman" w:hAnsi="Times New Roman"/>
          <w:sz w:val="24"/>
          <w:szCs w:val="24"/>
          <w:lang w:val="en-US"/>
        </w:rPr>
        <w:t>The clearance and t</w:t>
      </w:r>
      <w:r w:rsidRPr="00A518CC">
        <w:rPr>
          <w:rFonts w:ascii="Times New Roman" w:eastAsia="Times New Roman" w:hAnsi="Times New Roman"/>
          <w:sz w:val="24"/>
          <w:szCs w:val="24"/>
          <w:vertAlign w:val="subscript"/>
          <w:lang w:val="en-US"/>
        </w:rPr>
        <w:t>1/2el</w:t>
      </w:r>
      <w:r w:rsidRPr="00A518CC">
        <w:rPr>
          <w:rStyle w:val="Refdenotaalpie"/>
          <w:rFonts w:ascii="Times New Roman" w:eastAsia="Times New Roman" w:hAnsi="Times New Roman"/>
          <w:sz w:val="24"/>
          <w:szCs w:val="24"/>
        </w:rPr>
        <w:footnoteReference w:id="12"/>
      </w:r>
      <w:r w:rsidRPr="00A518CC">
        <w:rPr>
          <w:rFonts w:ascii="Times New Roman" w:eastAsia="Times New Roman" w:hAnsi="Times New Roman"/>
          <w:sz w:val="24"/>
          <w:szCs w:val="24"/>
          <w:lang w:val="en-US"/>
        </w:rPr>
        <w:t xml:space="preserve"> of YOH, following SL DET administration (22.9 mL minute</w:t>
      </w:r>
      <w:r w:rsidRPr="00A518CC">
        <w:rPr>
          <w:rFonts w:ascii="Times New Roman" w:eastAsia="Times New Roman" w:hAnsi="Times New Roman"/>
          <w:sz w:val="24"/>
          <w:szCs w:val="24"/>
          <w:vertAlign w:val="superscript"/>
          <w:lang w:val="en-US"/>
        </w:rPr>
        <w:t>-1</w:t>
      </w:r>
      <w:r w:rsidRPr="00A518CC">
        <w:rPr>
          <w:rFonts w:ascii="Times New Roman" w:eastAsia="Times New Roman" w:hAnsi="Times New Roman"/>
          <w:sz w:val="24"/>
          <w:szCs w:val="24"/>
          <w:lang w:val="en-US"/>
        </w:rPr>
        <w:t xml:space="preserve"> kg</w:t>
      </w:r>
      <w:r w:rsidRPr="00A518CC">
        <w:rPr>
          <w:rFonts w:ascii="Times New Roman" w:eastAsia="Times New Roman" w:hAnsi="Times New Roman"/>
          <w:sz w:val="24"/>
          <w:szCs w:val="24"/>
          <w:vertAlign w:val="superscript"/>
          <w:lang w:val="en-US"/>
        </w:rPr>
        <w:t>-1</w:t>
      </w:r>
      <w:r w:rsidRPr="00A518CC">
        <w:rPr>
          <w:rFonts w:ascii="Times New Roman" w:eastAsia="Times New Roman" w:hAnsi="Times New Roman"/>
          <w:sz w:val="24"/>
          <w:szCs w:val="24"/>
          <w:lang w:val="en-US"/>
        </w:rPr>
        <w:t>); 1.87 hours (t</w:t>
      </w:r>
      <w:r w:rsidRPr="00A518CC">
        <w:rPr>
          <w:rFonts w:ascii="Times New Roman" w:eastAsia="Times New Roman" w:hAnsi="Times New Roman"/>
          <w:sz w:val="24"/>
          <w:szCs w:val="24"/>
          <w:vertAlign w:val="subscript"/>
          <w:lang w:val="en-US"/>
        </w:rPr>
        <w:t>1/2el</w:t>
      </w:r>
      <w:r w:rsidRPr="00A518CC">
        <w:rPr>
          <w:rFonts w:ascii="Times New Roman" w:eastAsia="Times New Roman" w:hAnsi="Times New Roman"/>
          <w:sz w:val="24"/>
          <w:szCs w:val="24"/>
          <w:lang w:val="en-US"/>
        </w:rPr>
        <w:t xml:space="preserve">) reported on a study </w:t>
      </w:r>
      <w:r w:rsidR="00A2062B" w:rsidRPr="00A518CC">
        <w:rPr>
          <w:rFonts w:ascii="Times New Roman" w:eastAsia="Times New Roman" w:hAnsi="Times New Roman"/>
          <w:sz w:val="24"/>
          <w:szCs w:val="24"/>
        </w:rPr>
        <w:fldChar w:fldCharType="begin" w:fldLock="1"/>
      </w:r>
      <w:r w:rsidRPr="00A518CC">
        <w:rPr>
          <w:rFonts w:ascii="Times New Roman" w:eastAsia="Times New Roman" w:hAnsi="Times New Roman"/>
          <w:sz w:val="24"/>
          <w:szCs w:val="24"/>
          <w:lang w:val="en-US"/>
        </w:rPr>
        <w:instrText>ADDIN CSL_CITATION { "citationItems" : [ { "id" : "ITEM-1", "itemData" : { "DOI" : "10.1111/vaa.12081", "ISSN" : "14672987", "PMID" : "24134603", "abstract" : "OBJECTIVE: To describe the effects of alpha2 -adrenergic receptor antagonists on the pharmacodynamics of sublingual (SL) detomidine in the horse.\\n\\nSTUDY DESIGN: Randomized crossover design.\\n\\nANIMALS: Nine healthy adult horses with an average age of 7.6\u00a0\u00b1\u00a06.5\u00a0years.\\n\\nMETHODS: Four treatment groups were studied: 1) 0.04\u00a0mg\u00a0kg(-1) detomidine SL; 2) 0.04\u00a0mg\u00a0kg(-1) detomidine SL followed 1\u00a0hour later by 0.075\u00a0mg\u00a0kg(-1) yohimbine intravenously (IV); 3) 0.04\u00a0mg\u00a0kg(-1) detomidine SL followed 1\u00a0hour later by 4\u00a0mg\u00a0kg(-1) tolazoline IV; and 4) 0.04\u00a0mg\u00a0kg(-1) detomidine SL followed 1\u00a0hour later by 0.12\u00a0mg\u00a0kg(-1) atipamezole IV. Each horse received all treatments with a minimum of 1\u00a0week between treatments. Blood samples were obtained and plasma analyzed for yohimbine, atipamezole and tolazoline concentrations by liquid chromatography-mass spectrometry. Behavioral effects, heart rate and rhythm, glucose, packed cell volume (PCV) and plasma proteins were monitored.\\n\\nRESULTS: Chin-to-ground distance increased following administration of the antagonists, however, this effect was transient, with a return to pre-reversal values as early as 1\u00a0hour. Detomidine induced bradycardia and increased incidence of atrioventricular blocks were either transiently or incompletely antagonized by all antagonists. PCV and glucose concentrations increased with tolazoline administration, and atipamezole subjectively increased urination frequency but not volume.\\n\\nCONCLUSIONS AND CLINICAL RELEVANCE: At the doses administered in this study, the alpha2 -adrenergic antagonistic effects of tolazoline, yohimbine and atipamezole on cardiac and behavioral effects elicited by SL administration of detomidine are transient and incomplete.", "author" : [ { "dropping-particle" : "", "family" : "Knych", "given" : "Heather K.", "non-dropping-particle" : "", "parse-names" : false, "suffix" : "" }, { "dropping-particle" : "", "family" : "Stanley", "given" : "Scott D.", "non-dropping-particle" : "", "parse-names" : false, "suffix" : "" } ], "container-title" : "Veterinary Anaesthesia and Analgesia", "id" : "ITEM-1", "issue" : "1", "issued" : { "date-parts" : [ [ "2014" ] ] }, "page" : "36-47", "title" : "Effects of three antagonists on selected pharmacodynamic effects of sublingually administered detomidine in the horse", "type" : "article-journal", "volume" : "41" }, "uris" : [ "http://www.mendeley.com/documents/?uuid=b48e1ff8-e8d2-4ada-aeda-a9bd2c7cad80" ] } ], "mendeley" : { "formattedCitation" : "(Knych and Stanley 2014)", "plainTextFormattedCitation" : "(Knych and Stanley 2014)", "previouslyFormattedCitation" : "(Knych and Stanley 2014)" }, "properties" : { "noteIndex" : 0 }, "schema" : "https://github.com/citation-style-language/schema/raw/master/csl-citation.json" }</w:instrText>
      </w:r>
      <w:r w:rsidR="00A2062B" w:rsidRPr="00A518CC">
        <w:rPr>
          <w:rFonts w:ascii="Times New Roman" w:eastAsia="Times New Roman" w:hAnsi="Times New Roman"/>
          <w:sz w:val="24"/>
          <w:szCs w:val="24"/>
        </w:rPr>
        <w:fldChar w:fldCharType="separate"/>
      </w:r>
      <w:r w:rsidRPr="00A518CC">
        <w:rPr>
          <w:rFonts w:ascii="Times New Roman" w:eastAsia="Times New Roman" w:hAnsi="Times New Roman"/>
          <w:noProof/>
          <w:sz w:val="24"/>
          <w:szCs w:val="24"/>
          <w:lang w:val="en-US"/>
        </w:rPr>
        <w:t>(Knych &amp; Stanley 2014)</w:t>
      </w:r>
      <w:r w:rsidR="00A2062B" w:rsidRPr="00A518CC">
        <w:rPr>
          <w:rFonts w:ascii="Times New Roman" w:eastAsia="Times New Roman" w:hAnsi="Times New Roman"/>
          <w:sz w:val="24"/>
          <w:szCs w:val="24"/>
        </w:rPr>
        <w:fldChar w:fldCharType="end"/>
      </w:r>
      <w:r w:rsidRPr="00A518CC">
        <w:rPr>
          <w:rFonts w:ascii="Times New Roman" w:eastAsia="Times New Roman" w:hAnsi="Times New Roman"/>
          <w:sz w:val="24"/>
          <w:szCs w:val="24"/>
          <w:lang w:val="en-US"/>
        </w:rPr>
        <w:t xml:space="preserve"> differs from previous report of YOH disposition following IV DET administration (6.8 mL minute</w:t>
      </w:r>
      <w:r w:rsidRPr="00A518CC">
        <w:rPr>
          <w:rFonts w:ascii="Times New Roman" w:eastAsia="Times New Roman" w:hAnsi="Times New Roman"/>
          <w:sz w:val="24"/>
          <w:szCs w:val="24"/>
          <w:vertAlign w:val="superscript"/>
          <w:lang w:val="en-US"/>
        </w:rPr>
        <w:t>-1</w:t>
      </w:r>
      <w:r w:rsidRPr="00A518CC">
        <w:rPr>
          <w:rFonts w:ascii="Times New Roman" w:eastAsia="Times New Roman" w:hAnsi="Times New Roman"/>
          <w:sz w:val="24"/>
          <w:szCs w:val="24"/>
          <w:lang w:val="en-US"/>
        </w:rPr>
        <w:t xml:space="preserve"> kg</w:t>
      </w:r>
      <w:r w:rsidRPr="00A518CC">
        <w:rPr>
          <w:rFonts w:ascii="Times New Roman" w:eastAsia="Times New Roman" w:hAnsi="Times New Roman"/>
          <w:sz w:val="24"/>
          <w:szCs w:val="24"/>
          <w:vertAlign w:val="superscript"/>
          <w:lang w:val="en-US"/>
        </w:rPr>
        <w:t>-1</w:t>
      </w:r>
      <w:r w:rsidRPr="00A518CC">
        <w:rPr>
          <w:rFonts w:ascii="Times New Roman" w:eastAsia="Times New Roman" w:hAnsi="Times New Roman"/>
          <w:sz w:val="24"/>
          <w:szCs w:val="24"/>
          <w:lang w:val="en-US"/>
        </w:rPr>
        <w:t xml:space="preserve">); 4.4 </w:t>
      </w:r>
      <w:r w:rsidRPr="00A518CC">
        <w:rPr>
          <w:rFonts w:ascii="Times New Roman" w:eastAsia="Times New Roman" w:hAnsi="Times New Roman"/>
          <w:sz w:val="24"/>
          <w:szCs w:val="24"/>
          <w:lang w:val="en-US"/>
        </w:rPr>
        <w:lastRenderedPageBreak/>
        <w:t>hours (t</w:t>
      </w:r>
      <w:r w:rsidRPr="00A518CC">
        <w:rPr>
          <w:rFonts w:ascii="Times New Roman" w:eastAsia="Times New Roman" w:hAnsi="Times New Roman"/>
          <w:sz w:val="24"/>
          <w:szCs w:val="24"/>
          <w:vertAlign w:val="subscript"/>
          <w:lang w:val="en-US"/>
        </w:rPr>
        <w:t>1/2el</w:t>
      </w:r>
      <w:r w:rsidRPr="00A518CC">
        <w:rPr>
          <w:rFonts w:ascii="Times New Roman" w:eastAsia="Times New Roman" w:hAnsi="Times New Roman"/>
          <w:sz w:val="24"/>
          <w:szCs w:val="24"/>
          <w:lang w:val="en-US"/>
        </w:rPr>
        <w:t xml:space="preserve">) </w:t>
      </w:r>
      <w:r w:rsidR="00A2062B" w:rsidRPr="00A518CC">
        <w:rPr>
          <w:rFonts w:ascii="Times New Roman" w:eastAsia="Times New Roman" w:hAnsi="Times New Roman"/>
          <w:sz w:val="24"/>
          <w:szCs w:val="24"/>
        </w:rPr>
        <w:fldChar w:fldCharType="begin" w:fldLock="1"/>
      </w:r>
      <w:r w:rsidRPr="00A518CC">
        <w:rPr>
          <w:rFonts w:ascii="Times New Roman" w:eastAsia="Times New Roman" w:hAnsi="Times New Roman"/>
          <w:sz w:val="24"/>
          <w:szCs w:val="24"/>
          <w:lang w:val="en-US"/>
        </w:rPr>
        <w:instrText>ADDIN CSL_CITATION { "citationItems" : [ { "id" : "ITEM-1", "itemData" : { "DOI" : "10.1111/j.1467-2995.2011.00690.x", "ISSN" : "14672987", "PMID" : "22405129", "abstract" : "OBJECTIVE: To describe the pharmacokinetics of detomidine and yohimbine when administered in combination.\\n\\nSTUDY DESIGN: Randomized crossover design.\\n\\nANIMALS: Nine healthy adult horses aged 9 \u00b1 4 years and weighing of 561 \u00b1 56 kg.\\n\\nMETHODS: Three dose regimens were employed in the current study. 1) 0.03 mg kg(-1) detomidine IV (D), 2) 0.2 mg kg(-1) yohimbine IV (Y) and 3) 0.03 mg kg(-1) detomidine IV followed 15 minutes later by 0.2 mg kg(-1) yohimbine IV (DY). Each horse received all three dose regimens with a minimum of 1 week in between subsequent regimens. Blood samples were obtained and plasma analyzed for detomidine and yohimbine concentrations by liquid chromatography-mass spectrometry. Data were analyzed using both non-compartmental and compartmental analysis.\\n\\nRESULTS: The maximum measured detomidine concentrations were 76.0 and 129.9 ng mL(-1) for the D and DY treatments, respectively. Systemic clearance and volume of distribution of detomidine were not significantly different for either treatment. There was a significant increase in the maximum measured yohimbine plasma concentrations from Y (173.9 ng mL(-1)) to DY (289.8</w:instrText>
      </w:r>
      <w:r w:rsidRPr="00A518CC">
        <w:rPr>
          <w:rFonts w:ascii="Times New Roman" w:eastAsia="Times New Roman" w:hAnsi="Times New Roman"/>
          <w:sz w:val="24"/>
          <w:szCs w:val="24"/>
        </w:rPr>
        <w:instrText xml:space="preserve"> ng mL(-1)). Both the Cl and V(d) for yohimbine were significantly less (6.8 mL minute(-1) kg(-1) (Cl) and 1.7 L kg(-1) (V(d) )) for the DY as compared to the Y treatments (13.9 mL minute(-1) kg(-1) (Cl) and 2.7 L kg(-1) (V(d))). Plasma concentrations were below the limit of quantitation (0.05 and 0.5 ng mL(-1)) by 18 hours for both detomidine and yohimbine.\\n\\nCONCLUSION AND CLINICAL RELEVANCE: The Cl and V(d) of yohimbine were affected by prior administration of detomidine. The elimination half life of yohimbine remained unaffected when administered subsequent to detomidine. However, the increased plasma concentrations in the presence of detomidine has the potential to cause untoward effects and therefore further studies to assess the physiologic effects of this combination of drugs are warranted.", "author" : [ { "dropping-particle" : "", "family" : "Knych", "given" : "Heather K.", "non-dropping-particle" : "", "parse-names" : false, "suffix" : "" }, { "dropping-particle" : "", "family" : "Steffey", "given" : "Eugene P.", "non-dropping-particle" : "", "parse-names" : false, "suffix" : "" }, { "dropping-particle" : "", "family" : "Stanley", "given" : "Scott D.", "non-dropping-particle" : "", "parse-names" : false, "suffix" : "" } ], "container-title" : "Veterinary Anaesthesia and Analgesia", "id" : "ITEM-1", "issue" : "3", "issued" : { "date-parts" : [ [ "2012" ] ] }, "page" : "221-229", "title" : "The effects of yohimbine on the pharmacokinetic parameters of detomidine in the horse", "type" : "article-journal", "volume" : "39" }, "uris" : [ "http://www.mendeley.com/documents/?uuid=0bee472b-93d6-4056-b8e8-6c1df4527d01" ] } ], "mendeley" : { "formattedCitation" : "(Knych, Steffey, and Stanley 2012)", "plainTextFormattedCitation" : "(Knych, Steffey, and Stanley 2012)", "previouslyFormattedCitation" : "(Knych, Steffey, and Stanley 2012)" }, "properties" : { "noteIndex" : 0 }, "schema" : "https://github.com/citation-style-language/schema/raw/master/csl-citation.json" }</w:instrText>
      </w:r>
      <w:r w:rsidR="00A2062B" w:rsidRPr="00A518CC">
        <w:rPr>
          <w:rFonts w:ascii="Times New Roman" w:eastAsia="Times New Roman" w:hAnsi="Times New Roman"/>
          <w:sz w:val="24"/>
          <w:szCs w:val="24"/>
        </w:rPr>
        <w:fldChar w:fldCharType="separate"/>
      </w:r>
      <w:r w:rsidRPr="00A518CC">
        <w:rPr>
          <w:rFonts w:ascii="Times New Roman" w:eastAsia="Times New Roman" w:hAnsi="Times New Roman"/>
          <w:noProof/>
          <w:sz w:val="24"/>
          <w:szCs w:val="24"/>
        </w:rPr>
        <w:t xml:space="preserve">(Knych </w:t>
      </w:r>
      <w:r w:rsidRPr="00A518CC">
        <w:rPr>
          <w:rFonts w:ascii="Times New Roman" w:eastAsia="Times New Roman" w:hAnsi="Times New Roman"/>
          <w:i/>
          <w:noProof/>
          <w:sz w:val="24"/>
          <w:szCs w:val="24"/>
        </w:rPr>
        <w:t>et al</w:t>
      </w:r>
      <w:r w:rsidRPr="00A518CC">
        <w:rPr>
          <w:rFonts w:ascii="Times New Roman" w:eastAsia="Times New Roman" w:hAnsi="Times New Roman"/>
          <w:noProof/>
          <w:sz w:val="24"/>
          <w:szCs w:val="24"/>
        </w:rPr>
        <w:t>., 2012)</w:t>
      </w:r>
      <w:r w:rsidR="00A2062B" w:rsidRPr="00A518CC">
        <w:rPr>
          <w:rFonts w:ascii="Times New Roman" w:eastAsia="Times New Roman" w:hAnsi="Times New Roman"/>
          <w:sz w:val="24"/>
          <w:szCs w:val="24"/>
        </w:rPr>
        <w:fldChar w:fldCharType="end"/>
      </w:r>
      <w:r w:rsidRPr="00A518CC">
        <w:rPr>
          <w:rFonts w:ascii="Times New Roman" w:eastAsia="Times New Roman" w:hAnsi="Times New Roman"/>
          <w:sz w:val="24"/>
          <w:szCs w:val="24"/>
        </w:rPr>
        <w:t xml:space="preserve">. </w:t>
      </w:r>
      <w:r w:rsidR="00A2062B" w:rsidRPr="00A518CC">
        <w:rPr>
          <w:rFonts w:ascii="Times New Roman" w:eastAsia="Times New Roman" w:hAnsi="Times New Roman"/>
          <w:sz w:val="24"/>
          <w:szCs w:val="24"/>
        </w:rPr>
        <w:fldChar w:fldCharType="begin" w:fldLock="1"/>
      </w:r>
      <w:r w:rsidRPr="00A518CC">
        <w:rPr>
          <w:rFonts w:ascii="Times New Roman" w:eastAsia="Times New Roman" w:hAnsi="Times New Roman"/>
          <w:sz w:val="24"/>
          <w:szCs w:val="24"/>
        </w:rPr>
        <w:instrText>ADDIN CSL_CITATION { "citationItems" : [ { "id" : "ITEM-1", "itemData" : { "DOI" : "10.1111/vaa.12081", "ISSN" : "14672987", "PMID" : "24134603", "abstract" : "OBJECTIVE: To describe the effects of alpha2 -adrenergic receptor antagonists on the pharmacodynamics of sublingual (SL) detomidine in the horse.\\n\\nSTUDY DESIGN: Randomized crossover design.\\n\\nANIMALS: Nine healthy adult horses with an average age of 7.6\u00a0\u00b1\u00a06.5\u00a0years.\\n\\nMETHODS: Four treatment groups were studied: 1) 0.04\u00a0mg\u00a0kg(-1) detomidine SL; 2) 0.04\u00a0mg\u00a0kg(-1) detomidine SL followed 1\u00a0hour later by 0.075\u00a0mg\u00a0kg(-1) yohimbine intravenously (IV); 3) 0.04\u00a0mg\u00a0kg(-1) detomidine SL followed 1\u00a0hour later by 4\u00a0mg\u00a0kg(-1) tolazoline IV; and 4) 0.04\u00a0mg\u00a0kg(-1) detomidine SL followed 1\u00a0hour later by 0.12\u00a0mg\u00a0kg(-1) atipamezole IV. Each horse received all treatments with a minimum of 1\u00a0week between treatments. Blood samples were obtained and plasma analyzed for yohimbine, atipamezole and tolazoline concentrations by liquid chromatography-mass spectrometry. Behavioral effects, heart rate and rhythm, glucose, packed cell volume (PCV) and plasma proteins were monitored.\\n\\nRESULTS: Chin-to-ground distance increased following administration of the antagonists, however, this effect was transient, with a return to pre-reversal values as early as 1\u00a0hour. Detomidine induced bradycardia and increased incidence of atrioventricular blocks were either transiently or incompletely ant</w:instrText>
      </w:r>
      <w:r w:rsidRPr="00A518CC">
        <w:rPr>
          <w:rFonts w:ascii="Times New Roman" w:eastAsia="Times New Roman" w:hAnsi="Times New Roman"/>
          <w:sz w:val="24"/>
          <w:szCs w:val="24"/>
          <w:lang w:val="en-US"/>
        </w:rPr>
        <w:instrText>agonized by all antagonists. PCV and glucose concentrations increased with tolazoline administration, and atipamezole subjectively increased urination frequency but not volume.\\n\\nCONCLUSIONS AND CLINICAL RELEVANCE: At the doses administered in this study, the alpha2 -adrenergic antagonistic effects of tolazoline, yohimbine and atipamezole on cardiac and behavioral effects elicited by SL administration of detomidine are transient and incomplete.", "author" : [ { "dropping-particle" : "", "family" : "Knych", "given" : "Heather K.", "non-dropping-particle" : "", "parse-names" : false, "suffix" : "" }, { "dropping-particle" : "", "family" : "Stanley", "given" : "Scott D.", "non-dropping-particle" : "", "parse-names" : false, "suffix" : "" } ], "container-title" : "Veterinary Anaesthesia and Analgesia", "id" : "ITEM-1", "issue" : "1", "issued" : { "date-parts" : [ [ "2014" ] ] }, "page" : "36-47", "title" : "Effects of three antagonists on selected pharmacodynamic effects of sublingually administered detomidine in the horse", "type" : "article-journal", "volume" : "41" }, "uris" : [ "http://www.mendeley.com/documents/?uuid=b48e1ff8-e8d2-4ada-aeda-a9bd2c7cad80" ] } ], "mendeley" : { "formattedCitation" : "(Knych and Stanley 2014)", "plainTextFormattedCitation" : "(Knych and Stanley 2014)", "previouslyFormattedCitation" : "(Knych and Stanley 2014)" }, "properties" : { "noteIndex" : 0 }, "schema" : "https://github.com/citation-style-language/schema/raw/master/csl-citation.json" }</w:instrText>
      </w:r>
      <w:r w:rsidR="00A2062B" w:rsidRPr="00A518CC">
        <w:rPr>
          <w:rFonts w:ascii="Times New Roman" w:eastAsia="Times New Roman" w:hAnsi="Times New Roman"/>
          <w:sz w:val="24"/>
          <w:szCs w:val="24"/>
        </w:rPr>
        <w:fldChar w:fldCharType="separate"/>
      </w:r>
      <w:r w:rsidRPr="00A518CC">
        <w:rPr>
          <w:rFonts w:ascii="Times New Roman" w:eastAsia="Times New Roman" w:hAnsi="Times New Roman"/>
          <w:noProof/>
          <w:sz w:val="24"/>
          <w:szCs w:val="24"/>
          <w:lang w:val="en-US"/>
        </w:rPr>
        <w:t>Knych &amp; Stanley (2014)</w:t>
      </w:r>
      <w:r w:rsidR="00A2062B" w:rsidRPr="00A518CC">
        <w:rPr>
          <w:rFonts w:ascii="Times New Roman" w:eastAsia="Times New Roman" w:hAnsi="Times New Roman"/>
          <w:sz w:val="24"/>
          <w:szCs w:val="24"/>
        </w:rPr>
        <w:fldChar w:fldCharType="end"/>
      </w:r>
      <w:r w:rsidRPr="00A518CC">
        <w:rPr>
          <w:rFonts w:ascii="Times New Roman" w:eastAsia="Times New Roman" w:hAnsi="Times New Roman"/>
          <w:sz w:val="24"/>
          <w:szCs w:val="24"/>
          <w:lang w:val="en-US"/>
        </w:rPr>
        <w:t xml:space="preserve"> reported total YOH plasma clearance ranged from 18.6 to 41.2 mL minute</w:t>
      </w:r>
      <w:r w:rsidRPr="00A518CC">
        <w:rPr>
          <w:rFonts w:ascii="Times New Roman" w:eastAsia="Times New Roman" w:hAnsi="Times New Roman"/>
          <w:sz w:val="24"/>
          <w:szCs w:val="24"/>
          <w:vertAlign w:val="superscript"/>
          <w:lang w:val="en-US"/>
        </w:rPr>
        <w:t>-1</w:t>
      </w:r>
      <w:r w:rsidRPr="00A518CC">
        <w:rPr>
          <w:rFonts w:ascii="Times New Roman" w:eastAsia="Times New Roman" w:hAnsi="Times New Roman"/>
          <w:sz w:val="24"/>
          <w:szCs w:val="24"/>
          <w:lang w:val="en-US"/>
        </w:rPr>
        <w:t xml:space="preserve"> kg</w:t>
      </w:r>
      <w:r w:rsidRPr="00A518CC">
        <w:rPr>
          <w:rFonts w:ascii="Times New Roman" w:eastAsia="Times New Roman" w:hAnsi="Times New Roman"/>
          <w:sz w:val="24"/>
          <w:szCs w:val="24"/>
          <w:vertAlign w:val="superscript"/>
          <w:lang w:val="en-US"/>
        </w:rPr>
        <w:t>-1</w:t>
      </w:r>
      <w:r w:rsidRPr="00A518CC">
        <w:rPr>
          <w:rFonts w:ascii="Times New Roman" w:eastAsia="Times New Roman" w:hAnsi="Times New Roman"/>
          <w:sz w:val="24"/>
          <w:szCs w:val="24"/>
          <w:lang w:val="en-US"/>
        </w:rPr>
        <w:t xml:space="preserve">, indicating that it is a high hepatic extraction ratio drug with extra hepatic metabolism. </w:t>
      </w:r>
      <w:r w:rsidRPr="00A518CC">
        <w:rPr>
          <w:rFonts w:ascii="Times New Roman" w:eastAsia="Times New Roman" w:hAnsi="Times New Roman"/>
          <w:sz w:val="24"/>
          <w:szCs w:val="24"/>
        </w:rPr>
        <w:t xml:space="preserve">Similar findings were reported in horses </w:t>
      </w:r>
      <w:r w:rsidR="00A2062B" w:rsidRPr="00A518CC">
        <w:rPr>
          <w:rFonts w:ascii="Times New Roman" w:eastAsia="Times New Roman" w:hAnsi="Times New Roman"/>
          <w:sz w:val="24"/>
          <w:szCs w:val="24"/>
        </w:rPr>
        <w:fldChar w:fldCharType="begin" w:fldLock="1"/>
      </w:r>
      <w:r w:rsidRPr="00A518CC">
        <w:rPr>
          <w:rFonts w:ascii="Times New Roman" w:eastAsia="Times New Roman" w:hAnsi="Times New Roman"/>
          <w:sz w:val="24"/>
          <w:szCs w:val="24"/>
        </w:rPr>
        <w:instrText>ADDIN CSL_CITATION { "citationItems" : [ { "id" : "ITEM-1", "itemData" : { "DOI" : "10.2460/ajvr.72.10.1378", "ISSN" : "00029645", "PMID" : "21962281", "abstract" : "OBJECTIVE: To characterize pharmacokinetics and pharmacodynamics of detomidine gel administered sublingually in accordance with label instructions to establish appropriate withdrawal guidelines for horses before competition. ANIMALS: 12 adult racehorses. PROCEDURES: Horses received a single sublingual administration of 0.04 mg of detomidine/kg. Blood samples were collected before and up to 72 hours after drug administration. Urine samples were collected for 5 days after detomidine administration. Plasma and urine samples were analyzed via liquid chromatography-mass spectrometry, and resulting data were analyzed by use of noncompartmental analysis. Chin-to-ground distance, heart rate and rhythm, glucose concentration, PCV, and plasma protein concentration were also assessed following detomidine administration. RESULTS: Mean \u00b1 SD terminal elimination half-life of detomidine was 1.5 \u00b1 1 hours. Metabolite concentrations were below the limit of detection (0.02, 0.1, and 0.5 ng/mL for detomidine, carboxydetomidine, and hydroxydetomidine, respectively) in plasma by 24 hours. Concentrations of detomidine and its metabolites were below the limit of detection (0.05 ng/mL for detomidine and 0.10 ng/mL for carboxydetomidine and hydroxydetomidine) in urine by 3 days. All horses had various degrees of sedation after detomidine administration. Time of onset was \u2264 40 minutes, and duration of sedation was approximately 2 hours. Significant decreases, relative to values at time 0, were detected for chin-to-ground distance and heart rate. There was an increased incidence and exacerbation of preexisting atrioventricular blocks after detomidine administration. CONCLUSIONS AND CLINICAL RELEVANCE: A 48-hour and 3-day withdrawal period for detection in plasma and urine samples, respectively, should be adopted for sublingual administration of detomidine gel.", "author" : [ { "dropping-particle" : "", "family" : "Maio Knych", "given" : "Heather K.", "non-dropping-particle" : "di", "parse-names" : false, "suffix" : "" }, { "dropping-particle" : "", "family" : "Stanley", "given" : "Scott D.", "non-dropping-particle" : "", "parse-names" : false, "suffix" : "" } ], "container-title" : "American Journal of Veterinary Research", "id" : "ITEM-1", "issue" : "10", "issued" : { "date-parts" : [ [ "2011" ] ] }, "page" : "1378-1385", "title" : "Pharmacokinetics and pharmacodynamics of detomidine following sublingual administration to horses", "type" : "article-journal", "volume" : "72" }, "uris" : [ "http://www.mendeley.com/documents/?uuid=e5f10679-ce62-4a44-a1cc-fd136dd0b220" ] }, { "id" : "ITEM-2", "itemData" : { "DOI" : "10.1111/j.1467-2995.2011.00690.x", "ISSN" : "14672987", "PMID" : "22405129", "abstract" : "OBJECTIVE: To describe the pharmacokinetics of detomidine and yohimbine when administered in combination.\\n\\nSTUDY DESIGN: Randomized crossover design.\\n\\nANIMALS: Nine healthy adult horses aged 9 \u00b1 4 years and weighing of 561 \u00b1 56 kg.\\n\\nMETHODS: Three dose regimens were employed in the current study. 1) 0.03 mg kg(-1) detomidine IV (D), 2) 0.2 mg kg(-1) yohimbine IV (Y) and 3) 0.03 mg kg(-1) detomidine IV followed 15 minutes later by 0.2 mg kg(-1) yohimbine IV (DY). Each horse received all three dose regimens with a minimum of 1 week in between subsequent regimens. Blood samples were obtained and plasma analyzed for detomidine and yohimbine concentrations by liquid chromatography-mass spectrometry. Data were analyzed using both non-compartmental and compartmental analysis.\\n\\nRESULTS: The maximum measured detomidine concentrations were 76.0 and 129.9 ng mL(-1) for the D and DY treatments, respectively. Systemic clearance and volume of distribution of detomidine were not significantly different for either treatment. There was a significant increase in the maximum measured yohimbine plasma concentrations from Y (173.9 ng mL(-1)) to DY (289.8 ng mL(-1)). Both the Cl and V(d) for yohimbine were significantly less (6.8 mL minute(-1) kg(-1) (Cl) and 1.7 L kg(-1) (V(d) )) for the DY as compared to the Y treatments (13.9 mL minute(-1) kg(-1) (Cl) and 2.7 L kg(-1) (V(d))). Plasma concentrations were below the limit of quantitation (0.05 and 0.5 ng mL(-1)) by 18 hours for both detomidine and yohimbine.\\n\\nCONCLUSION AND CLINICAL RELEVANCE: The Cl and V(d) of yohimbine were affected by prior administration of detomidine. The elimination half life of yohimbine remained unaffected when administered subsequent to detomidine. However, the i</w:instrText>
      </w:r>
      <w:r w:rsidRPr="00A518CC">
        <w:rPr>
          <w:rFonts w:ascii="Times New Roman" w:eastAsia="Times New Roman" w:hAnsi="Times New Roman"/>
          <w:sz w:val="24"/>
          <w:szCs w:val="24"/>
          <w:lang w:val="en-US"/>
        </w:rPr>
        <w:instrText>ncreased plasma concentrations in the presence of detomidine has the potential to cause untoward effects and therefore further studies to assess the physiologic effects of this combination of drugs are warranted.", "author" : [ { "dropping-particle" : "", "family" : "Knych", "given" : "Heather K.", "non-dropping-particle" : "", "parse-names" : false, "suffix" : "" }, { "dropping-particle" : "", "family" : "Steffey", "given" : "Eugene P.", "non-dropping-particle" : "", "parse-names" : false, "suffix" : "" }, { "dropping-particle" : "", "family" : "Stanley", "given" : "Scott D.", "non-dropping-particle" : "", "parse-names" : false, "suffix" : "" } ], "container-title" : "Veterinary Anaesthesia and Analgesia", "id" : "ITEM-2", "issue" : "3", "issued" : { "date-parts" : [ [ "2012" ] ] }, "page" : "221-229", "title" : "The effects of yohimbine on the pharmacokinetic parameters of detomidine in the horse", "type" : "article-journal", "volume" : "39" }, "uris" : [ "http://www.mendeley.com/documents/?uuid=0bee472b-93d6-4056-b8e8-6c1df4527d01" ] } ], "mendeley" : { "formattedCitation" : "(di Maio Knych and Stanley 2011; Knych, Steffey, and Stanley 2012)", "plainTextFormattedCitation" : "(di Maio Knych and Stanley 2011; Knych, Steffey, and Stanley 2012)", "previouslyFormattedCitation" : "(di Maio Knych and Stanley 2011; Knych, Steffey, and Stanley 2012)" }, "properties" : { "noteIndex" : 0 }, "schema" : "https://github.com/citation-style-language/schema/raw/master/csl-citation.json" }</w:instrText>
      </w:r>
      <w:r w:rsidR="00A2062B" w:rsidRPr="00A518CC">
        <w:rPr>
          <w:rFonts w:ascii="Times New Roman" w:eastAsia="Times New Roman" w:hAnsi="Times New Roman"/>
          <w:sz w:val="24"/>
          <w:szCs w:val="24"/>
        </w:rPr>
        <w:fldChar w:fldCharType="separate"/>
      </w:r>
      <w:r w:rsidRPr="00A518CC">
        <w:rPr>
          <w:rFonts w:ascii="Times New Roman" w:eastAsia="Times New Roman" w:hAnsi="Times New Roman"/>
          <w:noProof/>
          <w:sz w:val="24"/>
          <w:szCs w:val="24"/>
          <w:lang w:val="en-US"/>
        </w:rPr>
        <w:t xml:space="preserve">(di Maio Knych &amp; Stanley 2011; Knych </w:t>
      </w:r>
      <w:r w:rsidRPr="00A518CC">
        <w:rPr>
          <w:rFonts w:ascii="Times New Roman" w:eastAsia="Times New Roman" w:hAnsi="Times New Roman"/>
          <w:i/>
          <w:noProof/>
          <w:sz w:val="24"/>
          <w:szCs w:val="24"/>
          <w:lang w:val="en-US"/>
        </w:rPr>
        <w:t>et al</w:t>
      </w:r>
      <w:r w:rsidRPr="00A518CC">
        <w:rPr>
          <w:rFonts w:ascii="Times New Roman" w:eastAsia="Times New Roman" w:hAnsi="Times New Roman"/>
          <w:noProof/>
          <w:sz w:val="24"/>
          <w:szCs w:val="24"/>
          <w:lang w:val="en-US"/>
        </w:rPr>
        <w:t>., 2012)</w:t>
      </w:r>
      <w:r w:rsidR="00A2062B" w:rsidRPr="00A518CC">
        <w:rPr>
          <w:rFonts w:ascii="Times New Roman" w:eastAsia="Times New Roman" w:hAnsi="Times New Roman"/>
          <w:sz w:val="24"/>
          <w:szCs w:val="24"/>
        </w:rPr>
        <w:fldChar w:fldCharType="end"/>
      </w:r>
      <w:r w:rsidRPr="00A518CC">
        <w:rPr>
          <w:rFonts w:ascii="Times New Roman" w:eastAsia="Times New Roman" w:hAnsi="Times New Roman"/>
          <w:sz w:val="24"/>
          <w:szCs w:val="24"/>
          <w:lang w:val="en-US"/>
        </w:rPr>
        <w:t xml:space="preserve">. </w:t>
      </w:r>
    </w:p>
    <w:p w:rsidR="00B41C1C" w:rsidRPr="00A518CC" w:rsidRDefault="00B41C1C" w:rsidP="00B41C1C">
      <w:pPr>
        <w:spacing w:line="360" w:lineRule="auto"/>
        <w:rPr>
          <w:rFonts w:ascii="Times New Roman" w:eastAsia="Times New Roman" w:hAnsi="Times New Roman"/>
          <w:sz w:val="24"/>
          <w:szCs w:val="24"/>
          <w:lang w:val="en-US"/>
        </w:rPr>
      </w:pPr>
      <w:r w:rsidRPr="00A518CC">
        <w:rPr>
          <w:rFonts w:ascii="Times New Roman" w:hAnsi="Times New Roman"/>
          <w:sz w:val="24"/>
          <w:szCs w:val="24"/>
          <w:lang w:val="en-US"/>
        </w:rPr>
        <w:t>DET IV administration in horses produced decreased in heart rate of 15 bpm, this maximal change was observed at 2 min post drug administration and it’s likely attributable to large concentrations of drug delivered to the heart.</w:t>
      </w:r>
      <w:r w:rsidRPr="00A518CC">
        <w:rPr>
          <w:rFonts w:ascii="Times New Roman" w:eastAsia="Times New Roman" w:hAnsi="Times New Roman"/>
          <w:sz w:val="24"/>
          <w:szCs w:val="24"/>
          <w:lang w:val="en-US"/>
        </w:rPr>
        <w:t xml:space="preserve"> </w:t>
      </w:r>
      <w:r w:rsidRPr="00A518CC">
        <w:rPr>
          <w:rFonts w:ascii="Times New Roman" w:hAnsi="Times New Roman"/>
          <w:sz w:val="24"/>
          <w:szCs w:val="24"/>
          <w:lang w:val="en-US"/>
        </w:rPr>
        <w:t xml:space="preserve">The heart rate increased 16 bpm in horses receiving YOH subsequent to DET </w:t>
      </w:r>
      <w:r w:rsidR="00A2062B" w:rsidRPr="00A518CC">
        <w:rPr>
          <w:rFonts w:ascii="Times New Roman" w:hAnsi="Times New Roman"/>
          <w:sz w:val="24"/>
          <w:szCs w:val="24"/>
          <w:lang w:val="en-US"/>
        </w:rPr>
        <w:fldChar w:fldCharType="begin" w:fldLock="1"/>
      </w:r>
      <w:r w:rsidRPr="00A518CC">
        <w:rPr>
          <w:rFonts w:ascii="Times New Roman" w:hAnsi="Times New Roman"/>
          <w:sz w:val="24"/>
          <w:szCs w:val="24"/>
          <w:lang w:val="en-US"/>
        </w:rPr>
        <w:instrText>ADDIN CSL_CITATION { "citationItems" : [ { "id" : "ITEM-1", "itemData" : { "DOI" : "10.1111/j.1467-2995.2012.00776.x", "ISSN" : "14672987", "PMID" : "23035904", "abstract" : "OBJECTIVE: To describe selected pharmacodynamic effects of detomidine and yohimbine when administered alone and in sequence.\\n\\nSTUDY DESIGN: Randomized crossover design.\\n\\nANIMALS: Nine healthy adult horses aged 9 \u00b1 4 years and weighing 561 \u00b1 56 kg.\\n\\nMETHODS: Three dose regimens were employed in the current study. 1) 0.03 mg kg(-1) detomidine IV, 2) 0.2 mg kg(-1) yohimbine IV and 3) 0.03 mg kg(-1) detomidine IV followed 15 minutes later by 0.2 mg kg(-1) yohimbine IV. Each horse received all three treatments with a minimum of 1 week between treatments. Blood samples were obtained and plasma analyzed for detomidine and yohimbine concentrations by liquid chromatography-mass spectrometry. Behavioral effects, heart rate and rhythm, glucose, packed cell volume and plasma proteins were monitored.\\n\\nRESULTS: Yohimbine rapidly reversed the sedative effects of detomidine in the horse. Additionally, yohimbine effectively returned heart rate and the percent of atrio-ventricular conduction disturbances to pre-detomidine values when administered 15 minutes post-detomidine administration. Plasma glucose was significantly increased following detomidine administration. The detomidine induced hyperglycemia was effectively reduced by yohimbine administration. Effects on packed cell volume and plasma proteins were variable.\\n\\nCONCLUSIONS AND CLINICAL RELEVANCE: Intravenous administration of yohimbine effectively reversed detomidine induced sedation, bradycardia, atrio-ventricular heart block and hyperglycemia.", "author" : [ { "dropping-particle" : "", "family" : "Dimaio Knych", "given" : "Heather K.", "non-dropping-particle" : "", "parse-names" : false, "suffix" : "" }, { "dropping-particle" : "", "family" : "Covarrubias", "given" : "Vanessa", "non-dropping-particle" : "", "parse-names" : false, "suffix" : "" }, { "dropping-particle" : "", "family" : "Steffey", "given" : "Eugene P.", "non-dropping-particle" : "", "parse-names" : false, "suffix" : "" } ], "container-title" : "Veterinary Anaesthesia and Analgesia", "id" : "ITEM-1", "issue" : "6", "issued" : { "date-parts" : [ [ "2012" ] ] }, "page" : "574-583", "title" : "Effect of yohimbine on detomidine induced changes in behavior, cardiac and blood parameters in the horse", "type" : "article-journal", "volume" : "39" }, "uris" : [ "http://www.mendeley.com/documents/?uuid=22ec7d39-3121-498d-b24c-8a19caec533c" ] } ], "mendeley" : { "formattedCitation" : "(Heather K. Dimaio Knych, Covarrubias, and Steffey 2012)", "plainTextFormattedCitation" : "(Heather K. Dimaio Knych, Covarrubias, and Steffey 2012)", "previouslyFormattedCitation" : "(Heather K. Dimaio Knych, Covarrubias, and Steffey 2012)" }, "properties" : { "noteIndex" : 0 }, "schema" : "https://github.com/citation-style-language/schema/raw/master/csl-citation.json" }</w:instrText>
      </w:r>
      <w:r w:rsidR="00A2062B" w:rsidRPr="00A518CC">
        <w:rPr>
          <w:rFonts w:ascii="Times New Roman" w:hAnsi="Times New Roman"/>
          <w:sz w:val="24"/>
          <w:szCs w:val="24"/>
          <w:lang w:val="en-US"/>
        </w:rPr>
        <w:fldChar w:fldCharType="separate"/>
      </w:r>
      <w:r w:rsidRPr="00A518CC">
        <w:rPr>
          <w:rFonts w:ascii="Times New Roman" w:hAnsi="Times New Roman"/>
          <w:noProof/>
          <w:sz w:val="24"/>
          <w:szCs w:val="24"/>
          <w:lang w:val="en-US"/>
        </w:rPr>
        <w:t xml:space="preserve">(Dimaio Knych </w:t>
      </w:r>
      <w:r w:rsidRPr="00A518CC">
        <w:rPr>
          <w:rFonts w:ascii="Times New Roman" w:hAnsi="Times New Roman"/>
          <w:i/>
          <w:noProof/>
          <w:sz w:val="24"/>
          <w:szCs w:val="24"/>
          <w:lang w:val="en-US"/>
        </w:rPr>
        <w:t>et al.</w:t>
      </w:r>
      <w:r w:rsidRPr="00A518CC">
        <w:rPr>
          <w:rFonts w:ascii="Times New Roman" w:hAnsi="Times New Roman"/>
          <w:noProof/>
          <w:sz w:val="24"/>
          <w:szCs w:val="24"/>
          <w:lang w:val="en-US"/>
        </w:rPr>
        <w:t>, 2012)</w:t>
      </w:r>
      <w:r w:rsidR="00A2062B" w:rsidRPr="00A518CC">
        <w:rPr>
          <w:rFonts w:ascii="Times New Roman" w:hAnsi="Times New Roman"/>
          <w:sz w:val="24"/>
          <w:szCs w:val="24"/>
          <w:lang w:val="en-US"/>
        </w:rPr>
        <w:fldChar w:fldCharType="end"/>
      </w:r>
      <w:r w:rsidRPr="00A518CC">
        <w:rPr>
          <w:rFonts w:ascii="Times New Roman" w:hAnsi="Times New Roman"/>
          <w:sz w:val="24"/>
          <w:szCs w:val="24"/>
          <w:lang w:val="en-US"/>
        </w:rPr>
        <w:t xml:space="preserve">. This change was slightly more rapid, of 2 min post YOH administration than that observed when YOH was administered alone. Antagonism of the DET induced cardiac effects was most pronounced with YOH and tolazoline and least with atipamezole </w:t>
      </w:r>
      <w:r w:rsidR="00A2062B" w:rsidRPr="00A518CC">
        <w:rPr>
          <w:rFonts w:ascii="Times New Roman" w:hAnsi="Times New Roman"/>
          <w:sz w:val="24"/>
          <w:szCs w:val="24"/>
          <w:lang w:val="en-US"/>
        </w:rPr>
        <w:fldChar w:fldCharType="begin" w:fldLock="1"/>
      </w:r>
      <w:r w:rsidRPr="00A518CC">
        <w:rPr>
          <w:rFonts w:ascii="Times New Roman" w:hAnsi="Times New Roman"/>
          <w:sz w:val="24"/>
          <w:szCs w:val="24"/>
          <w:lang w:val="en-US"/>
        </w:rPr>
        <w:instrText>ADDIN CSL_CITATION { "citationItems" : [ { "id" : "ITEM-1", "itemData" : { "DOI" : "10.1111/vaa.12081", "ISSN" : "14672987", "PMID" : "24134603", "abstract" : "OBJECTIVE: To describe the effects of alpha2 -adrenergic receptor antagonists on the pharmacodynamics of sublingual (SL) detomidine in the horse.\\n\\nSTUDY DESIGN: Randomized crossover design.\\n\\nANIMALS: Nine healthy adult horses with an average age of 7.6\u00a0\u00b1\u00a06.5\u00a0years.\\n\\nMETHODS: Four treatment groups were studied: 1) 0.04\u00a0mg\u00a0kg(-1) detomidine SL; 2) 0.04\u00a0mg\u00a0kg(-1) detomidine SL followed 1\u00a0hour later by 0.075\u00a0mg\u00a0kg(-1) yohimbine intravenously (IV); 3) 0.04\u00a0mg\u00a0kg(-1) detomidine SL followed 1\u00a0hour later by 4\u00a0mg\u00a0kg(-1) tolazoline IV; and 4) 0.04\u00a0mg\u00a0kg(-1) detomidine SL followed 1\u00a0hour later by 0.12\u00a0mg\u00a0kg(-1) atipamezole IV. Each horse received all treatments with a minimum of 1\u00a0week between treatments. Blood samples were obtained and plasma analyzed for yohimbine, atipamezole and tolazoline concentrations by liquid chromatography-mass spectrometry. Behavioral effects, heart rate and rhythm, glucose, packed cell volume (PCV) and plasma proteins were monitored.\\n\\nRESULTS: Chin-to-ground distance increased following administration of the antagonists, however, this effect was transient, with a return to pre-reversal values as early as 1\u00a0hour. Detomidine induced bradycardia and increased incidence of atrioventricular blocks were either transiently or incompletely antagonized by all antagonists. PCV and glucose concentrations increased with tolazoline administration, and atipamezole subjectively increased urination frequency but not volume.\\n\\nCONCLUSIONS AND CLINICAL RELEVANCE: At the doses administered in this study, the alpha2 -adrenergic antagonistic effects of tolazoline, yohimbine and atipamezole on cardiac and behavioral effects elicited by SL administration of detomidine are transient and incomplete.", "author" : [ { "dropping-particle" : "", "family" : "Knych", "given" : "Heather K.", "non-dropping-particle" : "", "parse-names" : false, "suffix" : "" }, { "dropping-particle" : "", "family" : "Stanley", "given" : "Scott D.", "non-dropping-particle" : "", "parse-names" : false, "suffix" : "" } ], "container-title" : "Veterinary Anaesthesia and Analgesia", "id" : "ITEM-1", "issue" : "1", "issued" : { "date-parts" : [ [ "2014" ] ] }, "page" : "36-47", "title" : "Effects of three antagonists on selected pharmacodynamic effects of sublingually administered detomidine in the horse", "type" : "article-journal", "volume" : "41" }, "uris" : [ "http://www.mendeley.com/documents/?uuid=b48e1ff8-e8d2-4ada-aeda-a9bd2c7cad80" ] } ], "mendeley" : { "formattedCitation" : "(Knych and Stanley 2014)", "plainTextFormattedCitation" : "(Knych and Stanley 2014)", "previouslyFormattedCitation" : "(Knych and Stanley 2014)" }, "properties" : { "noteIndex" : 0 }, "schema" : "https://github.com/citation-style-language/schema/raw/master/csl-citation.json" }</w:instrText>
      </w:r>
      <w:r w:rsidR="00A2062B" w:rsidRPr="00A518CC">
        <w:rPr>
          <w:rFonts w:ascii="Times New Roman" w:hAnsi="Times New Roman"/>
          <w:sz w:val="24"/>
          <w:szCs w:val="24"/>
          <w:lang w:val="en-US"/>
        </w:rPr>
        <w:fldChar w:fldCharType="separate"/>
      </w:r>
      <w:r w:rsidRPr="00A518CC">
        <w:rPr>
          <w:rFonts w:ascii="Times New Roman" w:hAnsi="Times New Roman"/>
          <w:noProof/>
          <w:sz w:val="24"/>
          <w:szCs w:val="24"/>
          <w:lang w:val="en-US"/>
        </w:rPr>
        <w:t>(Knych &amp; Stanley 2014)</w:t>
      </w:r>
      <w:r w:rsidR="00A2062B" w:rsidRPr="00A518CC">
        <w:rPr>
          <w:rFonts w:ascii="Times New Roman" w:hAnsi="Times New Roman"/>
          <w:sz w:val="24"/>
          <w:szCs w:val="24"/>
          <w:lang w:val="en-US"/>
        </w:rPr>
        <w:fldChar w:fldCharType="end"/>
      </w:r>
      <w:r w:rsidRPr="00A518CC">
        <w:rPr>
          <w:rFonts w:ascii="Times New Roman" w:hAnsi="Times New Roman"/>
          <w:sz w:val="24"/>
          <w:szCs w:val="24"/>
          <w:lang w:val="en-US"/>
        </w:rPr>
        <w:t xml:space="preserve">. In addition to their effects on heart rate, administration of DET has been associated with AV conductions blocks an increased incidence of AV blocks </w:t>
      </w:r>
      <w:r w:rsidR="00A2062B" w:rsidRPr="00A518CC">
        <w:rPr>
          <w:rFonts w:ascii="Times New Roman" w:hAnsi="Times New Roman"/>
          <w:sz w:val="24"/>
          <w:szCs w:val="24"/>
          <w:lang w:val="en-US"/>
        </w:rPr>
        <w:fldChar w:fldCharType="begin" w:fldLock="1"/>
      </w:r>
      <w:r w:rsidRPr="00A518CC">
        <w:rPr>
          <w:rFonts w:ascii="Times New Roman" w:hAnsi="Times New Roman"/>
          <w:sz w:val="24"/>
          <w:szCs w:val="24"/>
          <w:lang w:val="en-US"/>
        </w:rPr>
        <w:instrText>ADDIN CSL_CITATION { "citationItems" : [ { "id" : "ITEM-1", "itemData" : { "DOI" : "10.1111/j.1467-2995.2012.00776.x", "ISSN" : "14672987", "PMID" : "23035904", "abstract" : "OBJECTIVE: To describe selected pharmacodynamic effects of detomidine and yohimbine when administered alone and in sequence.\\n\\nSTUDY DESIGN: Randomized crossover design.\\n\\nANIMALS: Nine healthy adult horses aged 9 \u00b1 4 years and weighing 561 \u00b1 56 kg.\\n\\nMETHODS: Three dose regimens were employed in the current study. 1) 0.03 mg kg(-1) detomidine IV, 2) 0.2 mg kg(-1) yohimbine IV and 3) 0.03 mg kg(-1) detomidine IV followed 15 minutes later by 0.2 mg kg(-1) yohimbine IV. Each horse received all three treatments with a minimum of 1 week between treatments. Blood samples were obtained and plasma analyzed for detomidine and yohimbine concentrations by liquid chromatography-mass spectrometry. Behavioral effects, heart rate and rhythm, glucose, packed cell volume and plasma proteins were monitored.\\n\\nRESULTS: Yohimbine rapidly reversed the sedative effects of detomidine in the horse. Additionally, yohimbine effectively returned heart rate and the percent of atrio-ventricular conduction disturbances to pre-detomidine values when administered 15 minutes post-detomidine administration. Plasma glucose was significantly increased following detomidine administration. The detomidine induced hyperglycemia was effectively reduced by yohimbine administration. Effects on packed cell volume and plasma proteins were variable.\\n\\nCONCLUSIONS AND CLINICAL RELEVANCE: Intravenous administration of yohimbine effectively reversed detomidine induced sedation, bradycardia, atrio-ventricular heart block and hyperglycemia.", "author" : [ { "dropping-particle" : "", "family" : "Dimaio Knych", "given" : "Heather K.", "non-dropping-particle" : "", "parse-names" : false, "suffix" : "" }, { "dropping-particle" : "", "family" : "Covarrubias", "given" : "Vanessa", "non-dropping-particle" : "", "parse-names" : false, "suffix" : "" }, { "dropping-particle" : "", "family" : "Steffey", "given" : "Eugene P.", "non-dropping-particle" : "", "parse-names" : false, "suffix" : "" } ], "container-title" : "Veterinary Anaesthesia and Analgesia", "id" : "ITEM-1", "issue" : "6", "issued" : { "date-parts" : [ [ "2012" ] ] }, "page" : "574-583", "title" : "Effect of yohimbine on detomidine induced changes in behavior, cardiac and blood parameters in the horse", "type" : "article-journal", "volume" : "39" }, "uris" : [ "http://www.mendeley.com/documents/?uuid=22ec7d39-3121-498d-b24c-8a19caec533c" ] } ], "mendeley" : { "formattedCitation" : "(Heather K. Dimaio Knych, Covarrubias, and Steffey 2012)", "plainTextFormattedCitation" : "(Heather K. Dimaio Knych, Covarrubias, and Steffey 2012)", "previouslyFormattedCitation" : "(Heather K. Dimaio Knych, Covarrubias, and Steffey 2012)" }, "properties" : { "noteIndex" : 0 }, "schema" : "https://github.com/citation-style-language/schema/raw/master/csl-citation.json" }</w:instrText>
      </w:r>
      <w:r w:rsidR="00A2062B" w:rsidRPr="00A518CC">
        <w:rPr>
          <w:rFonts w:ascii="Times New Roman" w:hAnsi="Times New Roman"/>
          <w:sz w:val="24"/>
          <w:szCs w:val="24"/>
          <w:lang w:val="en-US"/>
        </w:rPr>
        <w:fldChar w:fldCharType="separate"/>
      </w:r>
      <w:r w:rsidRPr="00A518CC">
        <w:rPr>
          <w:rFonts w:ascii="Times New Roman" w:hAnsi="Times New Roman"/>
          <w:noProof/>
          <w:sz w:val="24"/>
          <w:szCs w:val="24"/>
          <w:lang w:val="en-US"/>
        </w:rPr>
        <w:t xml:space="preserve">(Dimaio Knych </w:t>
      </w:r>
      <w:r w:rsidRPr="00A518CC">
        <w:rPr>
          <w:rFonts w:ascii="Times New Roman" w:hAnsi="Times New Roman"/>
          <w:i/>
          <w:noProof/>
          <w:sz w:val="24"/>
          <w:szCs w:val="24"/>
          <w:lang w:val="en-US"/>
        </w:rPr>
        <w:t>et al.</w:t>
      </w:r>
      <w:r w:rsidRPr="00A518CC">
        <w:rPr>
          <w:rFonts w:ascii="Times New Roman" w:hAnsi="Times New Roman"/>
          <w:noProof/>
          <w:sz w:val="24"/>
          <w:szCs w:val="24"/>
          <w:lang w:val="en-US"/>
        </w:rPr>
        <w:t>, 2012</w:t>
      </w:r>
      <w:r w:rsidR="00A2062B" w:rsidRPr="00A518CC">
        <w:rPr>
          <w:rFonts w:ascii="Times New Roman" w:hAnsi="Times New Roman"/>
          <w:sz w:val="24"/>
          <w:szCs w:val="24"/>
          <w:lang w:val="en-US"/>
        </w:rPr>
        <w:fldChar w:fldCharType="end"/>
      </w:r>
      <w:r w:rsidRPr="00A518CC">
        <w:rPr>
          <w:rFonts w:ascii="Times New Roman" w:hAnsi="Times New Roman"/>
          <w:sz w:val="24"/>
          <w:szCs w:val="24"/>
          <w:lang w:val="en-US"/>
        </w:rPr>
        <w:t xml:space="preserve">) following enteral administration. They reported 48% of the AV signals were blocked following DET administration alone, with the maximal number of conduction blocks occurring by 5 min post-DET administration. The bradycardia and the conduction disturbances may be due to a centrally mediated decrease in peripheral sympathetic tone, presynaptic inhibition of norepinephrine release from fibers innervating the heart or enhancement of vagal reflexes. </w:t>
      </w:r>
      <w:r w:rsidR="00A2062B" w:rsidRPr="00A518CC">
        <w:rPr>
          <w:rFonts w:ascii="Times New Roman" w:hAnsi="Times New Roman"/>
          <w:sz w:val="24"/>
          <w:szCs w:val="24"/>
          <w:lang w:val="en-US"/>
        </w:rPr>
        <w:fldChar w:fldCharType="begin" w:fldLock="1"/>
      </w:r>
      <w:r w:rsidRPr="00A518CC">
        <w:rPr>
          <w:rFonts w:ascii="Times New Roman" w:hAnsi="Times New Roman"/>
          <w:sz w:val="24"/>
          <w:szCs w:val="24"/>
          <w:lang w:val="en-US"/>
        </w:rPr>
        <w:instrText>ADDIN CSL_CITATION { "citationItems" : [ { "id" : "ITEM-1", "itemData" : { "DOI" : "10.1111/j.1467-2995.2012.00776.x", "ISSN" : "14672987", "PMID" : "23035904", "abstract" : "OBJECTIVE: To describe selected pharmacodynamic effects of detomidine and yohimbine when administered alone and in sequence.\\n\\nSTUDY DESIGN: Randomized crossover design.\\n\\nANIMALS: Nine healthy adult horses aged 9 \u00b1 4 years and weighing 561 \u00b1 56 kg.\\n\\nMETHODS: Three dose regimens were employed in the current study. 1) 0.03 mg kg(-1) detomidine IV, 2) 0.2 mg kg(-1) yohimbine IV and 3) 0.03 mg kg(-1) detomidine IV followed 15 minutes later by 0.2 mg kg(-1) yohimbine IV. Each horse received all three treatments with a minimum of 1 week between treatments. Blood samples were obtained and plasma analyzed for detomidine and yohimbine concentrations by liquid chromatography-mass spectrometry. Behavioral effects, heart rate and rhythm, glucose, packed cell volume and plasma proteins were monitored.\\n\\nRESULTS: Yohimbine rapidly reversed the sedative effects of detomidine in the horse. Additionally, yohimbine effectively returned heart rate and the percent of atrio-ventricular conduction disturbances to pre-detomidine values when administered 15 minutes post-detomidine administration. Plasma glucose was significantly increased following detomidine administration. The detomidine induced hyperglycemia was effectively reduced by yohimbine administration. Effects on packed cell volume and plasma proteins were variable.\\n\\nCONCLUSIONS AND CLINICAL RELEVANCE: Intravenous administration of yohimbine effectively reversed detomidine induced sedation, bradycardia, atrio-ventricular heart block and hyperglycemia.", "author" : [ { "dropping-particle" : "", "family" : "Dimaio Knych", "given" : "Heather K.", "non-dropping-particle" : "", "parse-names" : false, "suffix" : "" }, { "dropping-particle" : "", "family" : "Covarrubias", "given" : "Vanessa", "non-dropping-particle" : "", "parse-names" : false, "suffix" : "" }, { "dropping-particle" : "", "family" : "Steffey", "given" : "Eugene P.", "non-dropping-particle" : "", "parse-names" : false, "suffix" : "" } ], "container-title" : "Veterinary Anaesthesia and Analgesia", "id" : "ITEM-1", "issue" : "6", "issued" : { "date-parts" : [ [ "2012" ] ] }, "page" : "574-583", "title" : "Effect of yohimbine on detomidine induced changes in behavior, cardiac and blood parameters in the horse", "type" : "article-journal", "volume" : "39" }, "uris" : [ "http://www.mendeley.com/documents/?uuid=22ec7d39-3121-498d-b24c-8a19caec533c" ] } ], "mendeley" : { "formattedCitation" : "(Heather K. Dimaio Knych, Covarrubias, and Steffey 2012)", "plainTextFormattedCitation" : "(Heather K. Dimaio Knych, Covarrubias, and Steffey 2012)", "previouslyFormattedCitation" : "(Heather K. Dimaio Knych, Covarrubias, and Steffey 2012)" }, "properties" : { "noteIndex" : 0 }, "schema" : "https://github.com/citation-style-language/schema/raw/master/csl-citation.json" }</w:instrText>
      </w:r>
      <w:r w:rsidR="00A2062B" w:rsidRPr="00A518CC">
        <w:rPr>
          <w:rFonts w:ascii="Times New Roman" w:hAnsi="Times New Roman"/>
          <w:sz w:val="24"/>
          <w:szCs w:val="24"/>
          <w:lang w:val="en-US"/>
        </w:rPr>
        <w:fldChar w:fldCharType="separate"/>
      </w:r>
      <w:r w:rsidRPr="00A518CC">
        <w:rPr>
          <w:rFonts w:ascii="Times New Roman" w:hAnsi="Times New Roman"/>
          <w:noProof/>
          <w:sz w:val="24"/>
          <w:szCs w:val="24"/>
          <w:lang w:val="en-US"/>
        </w:rPr>
        <w:t xml:space="preserve">Dimaio Knych </w:t>
      </w:r>
      <w:r w:rsidRPr="00A518CC">
        <w:rPr>
          <w:rFonts w:ascii="Times New Roman" w:hAnsi="Times New Roman"/>
          <w:i/>
          <w:noProof/>
          <w:sz w:val="24"/>
          <w:szCs w:val="24"/>
          <w:lang w:val="en-US"/>
        </w:rPr>
        <w:t>et al.</w:t>
      </w:r>
      <w:r w:rsidRPr="00A518CC">
        <w:rPr>
          <w:rFonts w:ascii="Times New Roman" w:hAnsi="Times New Roman"/>
          <w:noProof/>
          <w:sz w:val="24"/>
          <w:szCs w:val="24"/>
          <w:lang w:val="en-US"/>
        </w:rPr>
        <w:t xml:space="preserve"> (2012)</w:t>
      </w:r>
      <w:r w:rsidR="00A2062B" w:rsidRPr="00A518CC">
        <w:rPr>
          <w:rFonts w:ascii="Times New Roman" w:hAnsi="Times New Roman"/>
          <w:sz w:val="24"/>
          <w:szCs w:val="24"/>
          <w:lang w:val="en-US"/>
        </w:rPr>
        <w:fldChar w:fldCharType="end"/>
      </w:r>
      <w:r w:rsidRPr="00A518CC">
        <w:rPr>
          <w:rFonts w:ascii="Times New Roman" w:hAnsi="Times New Roman"/>
          <w:sz w:val="24"/>
          <w:szCs w:val="24"/>
          <w:lang w:val="en-US"/>
        </w:rPr>
        <w:t xml:space="preserve"> noted that DET induced conduction blocks immediately post YOH administration. The percentage of AV conduction disturbances returned to pre-DET values within 2 min of YOH administration.</w:t>
      </w:r>
    </w:p>
    <w:p w:rsidR="00B41C1C" w:rsidRPr="00A518CC" w:rsidRDefault="00B41C1C" w:rsidP="00B41C1C">
      <w:pPr>
        <w:spacing w:line="360" w:lineRule="auto"/>
        <w:rPr>
          <w:rFonts w:ascii="Times New Roman" w:hAnsi="Times New Roman"/>
          <w:sz w:val="24"/>
          <w:szCs w:val="24"/>
          <w:lang w:val="en-US"/>
        </w:rPr>
      </w:pPr>
      <w:r w:rsidRPr="00A518CC">
        <w:rPr>
          <w:rFonts w:ascii="Times New Roman" w:hAnsi="Times New Roman"/>
          <w:sz w:val="24"/>
          <w:szCs w:val="24"/>
          <w:lang w:val="en-US"/>
        </w:rPr>
        <w:t xml:space="preserve">DET administration following subsequent administration of YOH generates differences in behavior, including a return towards baseline chin-to-ground distances, were observed within 3–5 min of YOH administration. This initial period of arousal was followed by 10 min of sedation. While the animals were obviously sedate, signs were less pronounced than those observed upon initial administration of DET </w:t>
      </w:r>
      <w:r w:rsidR="00A2062B" w:rsidRPr="00A518CC">
        <w:rPr>
          <w:rFonts w:ascii="Times New Roman" w:hAnsi="Times New Roman"/>
          <w:sz w:val="24"/>
          <w:szCs w:val="24"/>
          <w:lang w:val="en-US"/>
        </w:rPr>
        <w:fldChar w:fldCharType="begin" w:fldLock="1"/>
      </w:r>
      <w:r w:rsidRPr="00A518CC">
        <w:rPr>
          <w:rFonts w:ascii="Times New Roman" w:hAnsi="Times New Roman"/>
          <w:sz w:val="24"/>
          <w:szCs w:val="24"/>
          <w:lang w:val="en-US"/>
        </w:rPr>
        <w:instrText>ADDIN CSL_CITATION { "citationItems" : [ { "id" : "ITEM-1", "itemData" : { "DOI" : "10.1111/j.1467-2995.2012.00776.x", "ISSN" : "14672987", "PMID" : "23035904", "abstract" : "OBJECTIVE: To describe selected pharmacodynamic effects of detomidine and yohimbine when administered alone and in sequence.\\n\\nSTUDY DESIGN: Randomized crossover design.\\n\\nANIMALS: Nine healthy adult horses aged 9 \u00b1 4 years and weighing 561 \u00b1 56 kg.\\n\\nMETHODS: Three dose regimens were employed in the current study. 1) 0.03 mg kg(-1) detomidine IV, 2) 0.2 mg kg(-1) yohimbine IV and 3) 0.03 mg kg(-1) detomidine IV followed 15 minutes later by 0.2 mg kg(-1) yohimbine IV. Each horse received all three treatments with a minimum of 1 week between treatments. Blood samples were obtained and plasma analyzed for detomidine and yohimbine concentrations by liquid chromatography-mass spectrometry. Behavioral effects, heart rate and rhythm, glucose, packed cell volume and plasma proteins were monitored.\\n\\nRESULTS: Yohimbine rapidly reversed the sedative effects of detomidine in the horse. Additionally, yohimbine effectively returned heart rate and the percent of atrio-ventricular conduction disturbances to pre-detomidine values when administered 15 minutes post-detomidine administration. Plasma glucose was significantly increased following detomidine administration. The detomidine induced hyperglycemia was effectively reduced by yohimbine administration. Effects on packed cell volume and plasma proteins were variable.\\n\\nCONCLUSIONS AND CLINICAL RELEVANCE: Intravenous administration of yohimbine effectively reversed detomidine induced sedation, bradycardia, atrio-ventricular heart block and hyperglycemia.", "author" : [ { "dropping-particle" : "", "family" : "Dimaio Knych", "given" : "Heather K.", "non-dropping-particle" : "", "parse-names" : false, "suffix" : "" }, { "dropping-particle" : "", "family" : "Covarrubias", "given" : "Vanessa", "non-dropping-particle" : "", "parse-names" : false, "suffix" : "" }, { "dropping-particle" : "", "family" : "Steffey", "given" : "Eugene P.", "non-dropping-particle" : "", "parse-names" : false, "suffix" : "" } ], "container-title" : "Veterinary Anaesthesia and Analgesia", "id" : "ITEM-1", "issue" : "6", "issued" : { "date-parts" : [ [ "2012" ] ] }, "page" : "574-583", "title" : "Effect of yohimbine on detomidine induced changes in behavior, cardiac and blood parameters in the horse", "type" : "article-journal", "volume" : "39" }, "uris" : [ "http://www.mendeley.com/documents/?uuid=22ec7d39-3121-498d-b24c-8a19caec533c" ] } ], "mendeley" : { "formattedCitation" : "(Heather K. Dimaio Knych, Covarrubias, and Steffey 2012)", "plainTextFormattedCitation" : "(Heather K. Dimaio Knych, Covarrubias, and Steffey 2012)", "previouslyFormattedCitation" : "(Heather K. Dimaio Knych, Covarrubias, and Steffey 2012)" }, "properties" : { "noteIndex" : 0 }, "schema" : "https://github.com/citation-style-language/schema/raw/master/csl-citation.json" }</w:instrText>
      </w:r>
      <w:r w:rsidR="00A2062B" w:rsidRPr="00A518CC">
        <w:rPr>
          <w:rFonts w:ascii="Times New Roman" w:hAnsi="Times New Roman"/>
          <w:sz w:val="24"/>
          <w:szCs w:val="24"/>
          <w:lang w:val="en-US"/>
        </w:rPr>
        <w:fldChar w:fldCharType="separate"/>
      </w:r>
      <w:r w:rsidRPr="00A518CC">
        <w:rPr>
          <w:rFonts w:ascii="Times New Roman" w:hAnsi="Times New Roman"/>
          <w:noProof/>
          <w:sz w:val="24"/>
          <w:szCs w:val="24"/>
          <w:lang w:val="en-US"/>
        </w:rPr>
        <w:t>(</w:t>
      </w:r>
      <w:r w:rsidR="00A2062B" w:rsidRPr="00A518CC">
        <w:rPr>
          <w:rFonts w:ascii="Times New Roman" w:hAnsi="Times New Roman"/>
          <w:sz w:val="24"/>
          <w:szCs w:val="24"/>
          <w:lang w:val="en-US"/>
        </w:rPr>
        <w:fldChar w:fldCharType="begin" w:fldLock="1"/>
      </w:r>
      <w:r w:rsidRPr="00A518CC">
        <w:rPr>
          <w:rFonts w:ascii="Times New Roman" w:hAnsi="Times New Roman"/>
          <w:sz w:val="24"/>
          <w:szCs w:val="24"/>
          <w:lang w:val="en-US"/>
        </w:rPr>
        <w:instrText>ADDIN CSL_CITATION { "citationItems" : [ { "id" : "ITEM-1", "itemData" : { "DOI" : "10.1111/j.1467-2995.2012.00776.x", "ISSN" : "14672987", "PMID" : "23035904", "abstract" : "OBJECTIVE: To describe selected pharmacodynamic effects of detomidine and yohimbine when administered alone and in sequence.\\n\\nSTUDY DESIGN: Randomized crossover design.\\n\\nANIMALS: Nine healthy adult horses aged 9 \u00b1 4 years and weighing 561 \u00b1 56 kg.\\n\\nMETHODS: Three dose regimens were employed in the current study. 1) 0.03 mg kg(-1) detomidine IV, 2) 0.2 mg kg(-1) yohimbine IV and 3) 0.03 mg kg(-1) detomidine IV followed 15 minutes later by 0.2 mg kg(-1) yohimbine IV. Each horse received all three treatments with a minimum of 1 week between treatments. Blood samples were obtained and plasma analyzed for detomidine and yohimbine concentrations by liquid chromatography-mass spectrometry. Behavioral effects, heart rate and rhythm, glucose, packed cell volume and plasma proteins were monitored.\\n\\nRESULTS: Yohimbine rapidly reversed the sedative effects of detomidine in the horse. Additionally, yohimbine effectively returned heart rate and the percent of atrio-ventricular conduction disturbances to pre-detomidine values when administered 15 minutes post-detomidine administration. Plasma glucose was significantly increased following detomidine administration. The detomidine induced hyperglycemia was effectively reduced by yohimbine administration. Effects on packed cell volume and plasma proteins were variable.\\n\\nCONCLUSIONS AND CLINICAL RELEVANCE: Intravenous administration of yohimbine effectively reversed detomidine induced sedation, bradycardia, atrio-ventricular heart block and hyperglycemia.", "author" : [ { "dropping-particle" : "", "family" : "Dimaio Knych", "given" : "Heather K.", "non-dropping-particle" : "", "parse-names" : false, "suffix" : "" }, { "dropping-particle" : "", "family" : "Covarrubias", "given" : "Vanessa", "non-dropping-particle" : "", "parse-names" : false, "suffix" : "" }, { "dropping-particle" : "", "family" : "Steffey", "given" : "Eugene P.", "non-dropping-particle" : "", "parse-names" : false, "suffix" : "" } ], "container-title" : "Veterinary Anaesthesia and Analgesia", "id" : "ITEM-1", "issue" : "6", "issued" : { "date-parts" : [ [ "2012" ] ] }, "page" : "574-583", "title" : "Effect of yohimbine on detomidine induced changes in behavior, cardiac and blood parameters in the horse", "type" : "article-journal", "volume" : "39" }, "uris" : [ "http://www.mendeley.com/documents/?uuid=22ec7d39-3121-498d-b24c-8a19caec533c" ] } ], "mendeley" : { "formattedCitation" : "(Heather K. Dimaio Knych, Covarrubias, and Steffey 2012)", "plainTextFormattedCitation" : "(Heather K. Dimaio Knych, Covarrubias, and Steffey 2012)", "previouslyFormattedCitation" : "(Heather K. Dimaio Knych, Covarrubias, and Steffey 2012)" }, "properties" : { "noteIndex" : 0 }, "schema" : "https://github.com/citation-style-language/schema/raw/master/csl-citation.json" }</w:instrText>
      </w:r>
      <w:r w:rsidR="00A2062B" w:rsidRPr="00A518CC">
        <w:rPr>
          <w:rFonts w:ascii="Times New Roman" w:hAnsi="Times New Roman"/>
          <w:sz w:val="24"/>
          <w:szCs w:val="24"/>
          <w:lang w:val="en-US"/>
        </w:rPr>
        <w:fldChar w:fldCharType="separate"/>
      </w:r>
      <w:r w:rsidRPr="00A518CC">
        <w:rPr>
          <w:rFonts w:ascii="Times New Roman" w:hAnsi="Times New Roman"/>
          <w:noProof/>
          <w:sz w:val="24"/>
          <w:szCs w:val="24"/>
          <w:lang w:val="en-US"/>
        </w:rPr>
        <w:t xml:space="preserve">(Dimaio Knych </w:t>
      </w:r>
      <w:r w:rsidRPr="00A518CC">
        <w:rPr>
          <w:rFonts w:ascii="Times New Roman" w:hAnsi="Times New Roman"/>
          <w:i/>
          <w:noProof/>
          <w:sz w:val="24"/>
          <w:szCs w:val="24"/>
          <w:lang w:val="en-US"/>
        </w:rPr>
        <w:t>et al.</w:t>
      </w:r>
      <w:r w:rsidRPr="00A518CC">
        <w:rPr>
          <w:rFonts w:ascii="Times New Roman" w:hAnsi="Times New Roman"/>
          <w:noProof/>
          <w:sz w:val="24"/>
          <w:szCs w:val="24"/>
          <w:lang w:val="en-US"/>
        </w:rPr>
        <w:t>, 2012</w:t>
      </w:r>
      <w:r w:rsidR="00A2062B" w:rsidRPr="00A518CC">
        <w:rPr>
          <w:rFonts w:ascii="Times New Roman" w:hAnsi="Times New Roman"/>
          <w:sz w:val="24"/>
          <w:szCs w:val="24"/>
          <w:lang w:val="en-US"/>
        </w:rPr>
        <w:fldChar w:fldCharType="end"/>
      </w:r>
      <w:r w:rsidRPr="00A518CC">
        <w:rPr>
          <w:rFonts w:ascii="Times New Roman" w:hAnsi="Times New Roman"/>
          <w:noProof/>
          <w:sz w:val="24"/>
          <w:szCs w:val="24"/>
          <w:lang w:val="en-US"/>
        </w:rPr>
        <w:t>)</w:t>
      </w:r>
      <w:r w:rsidR="00A2062B" w:rsidRPr="00A518CC">
        <w:rPr>
          <w:rFonts w:ascii="Times New Roman" w:hAnsi="Times New Roman"/>
          <w:sz w:val="24"/>
          <w:szCs w:val="24"/>
          <w:lang w:val="en-US"/>
        </w:rPr>
        <w:fldChar w:fldCharType="end"/>
      </w:r>
      <w:r w:rsidRPr="00A518CC">
        <w:rPr>
          <w:rFonts w:ascii="Times New Roman" w:hAnsi="Times New Roman"/>
          <w:sz w:val="24"/>
          <w:szCs w:val="24"/>
          <w:lang w:val="en-US"/>
        </w:rPr>
        <w:t xml:space="preserve">. Horses treated with YOH showed signs of alertness within 5 min followed by a return to sedation </w:t>
      </w:r>
      <w:r w:rsidR="00A2062B" w:rsidRPr="00A518CC">
        <w:rPr>
          <w:rFonts w:ascii="Times New Roman" w:hAnsi="Times New Roman"/>
          <w:sz w:val="24"/>
          <w:szCs w:val="24"/>
          <w:lang w:val="en-US"/>
        </w:rPr>
        <w:fldChar w:fldCharType="begin" w:fldLock="1"/>
      </w:r>
      <w:r w:rsidRPr="00A518CC">
        <w:rPr>
          <w:rFonts w:ascii="Times New Roman" w:hAnsi="Times New Roman"/>
          <w:sz w:val="24"/>
          <w:szCs w:val="24"/>
          <w:lang w:val="en-US"/>
        </w:rPr>
        <w:instrText>ADDIN CSL_CITATION { "citationItems" : [ { "id" : "ITEM-1", "itemData" : { "DOI" : "10.1111/vaa.12081", "ISSN" : "14672987", "PMID" : "24134603", "abstract" : "OBJECTIVE: To describe the effects of alpha2 -adrenergic receptor antagonists on the pharmacodynamics of sublingual (SL) detomidine in the horse.\\n\\nSTUDY DESIGN: Randomized crossover design.\\n\\nANIMALS: Nine healthy adult horses with an average age of 7.6\u00a0\u00b1\u00a06.5\u00a0years.\\n\\nMETHODS: Four treatment groups were studied: 1) 0.04\u00a0mg\u00a0kg(-1) detomidine SL; 2) 0.04\u00a0mg\u00a0kg(-1) detomidine SL followed 1\u00a0hour later by 0.075\u00a0mg\u00a0kg(-1) yohimbine intravenously (IV); 3) 0.04\u00a0mg\u00a0kg(-1) detomidine SL followed 1\u00a0hour later by 4\u00a0mg\u00a0kg(-1) tolazoline IV; and 4) 0.04\u00a0mg\u00a0kg(-1) detomidine SL followed 1\u00a0hour later by 0.12\u00a0mg\u00a0kg(-1) atipamezole IV. Each horse received all treatments with a minimum of 1\u00a0week between treatments. Blood samples were obtained and plasma analyzed for yohimbine, atipamezole and tolazoline concentrations by liquid chromatography-mass spectrometry. Behavioral effects, heart rate and rhythm, glucose, packed cell volume (PCV) and plasma proteins were monitored.\\n\\nRESULTS: Chin-to-ground distance increased following administration of the antagonists, however, this effect was transient, with a return to pre-reversal values as early as 1\u00a0hour. Detomidine induced bradycardia and increased incidence of atrioventricular blocks were either transiently or incompletely antagonized by all antagonists. PCV and glucose concentrations increased with tolazoline administration, and atipamezole subjectively increased urination frequency but not volume.\\n\\nCONCLUSIONS AND CLINICAL RELEVANCE: At the doses administered in this study, the alpha2 -adrenergic antagonistic effects of tolazoline, yohimbine and atipamezole on cardiac and behavioral effects elicited by SL administration of detomidine are transient and incomplete.", "author" : [ { "dropping-particle" : "", "family" : "Knych", "given" : "Heather K.", "non-dropping-particle" : "", "parse-names" : false, "suffix" : "" }, { "dropping-particle" : "", "family" : "Stanley", "given" : "Scott D.", "non-dropping-particle" : "", "parse-names" : false, "suffix" : "" } ], "container-title" : "Veterinary Anaesthesia and Analgesia", "id" : "ITEM-1", "issue" : "1", "issued" : { "date-parts" : [ [ "2014" ] ] }, "page" : "36-47", "title" : "Effects of three antagonists on selected pharmacodynamic effects of sublingually administered detomidine in the horse", "type" : "article-journal", "volume" : "41" }, "uris" : [ "http://www.mendeley.com/documents/?uuid=b48e1ff8-e8d2-4ada-aeda-a9bd2c7cad80" ] } ], "mendeley" : { "formattedCitation" : "(Knych and Stanley 2014)", "plainTextFormattedCitation" : "(Knych and Stanley 2014)", "previouslyFormattedCitation" : "(Knych and Stanley 2014)" }, "properties" : { "noteIndex" : 0 }, "schema" : "https://github.com/citation-style-language/schema/raw/master/csl-citation.json" }</w:instrText>
      </w:r>
      <w:r w:rsidR="00A2062B" w:rsidRPr="00A518CC">
        <w:rPr>
          <w:rFonts w:ascii="Times New Roman" w:hAnsi="Times New Roman"/>
          <w:sz w:val="24"/>
          <w:szCs w:val="24"/>
          <w:lang w:val="en-US"/>
        </w:rPr>
        <w:fldChar w:fldCharType="separate"/>
      </w:r>
      <w:r w:rsidRPr="00A518CC">
        <w:rPr>
          <w:rFonts w:ascii="Times New Roman" w:hAnsi="Times New Roman"/>
          <w:noProof/>
          <w:sz w:val="24"/>
          <w:szCs w:val="24"/>
          <w:lang w:val="en-US"/>
        </w:rPr>
        <w:t>(Knych &amp; Stanley 2014)</w:t>
      </w:r>
      <w:r w:rsidR="00A2062B" w:rsidRPr="00A518CC">
        <w:rPr>
          <w:rFonts w:ascii="Times New Roman" w:hAnsi="Times New Roman"/>
          <w:sz w:val="24"/>
          <w:szCs w:val="24"/>
          <w:lang w:val="en-US"/>
        </w:rPr>
        <w:fldChar w:fldCharType="end"/>
      </w:r>
      <w:r w:rsidRPr="00A518CC">
        <w:rPr>
          <w:rFonts w:ascii="Times New Roman" w:hAnsi="Times New Roman"/>
          <w:sz w:val="24"/>
          <w:szCs w:val="24"/>
          <w:lang w:val="en-US"/>
        </w:rPr>
        <w:t xml:space="preserve">. </w:t>
      </w:r>
    </w:p>
    <w:p w:rsidR="00B41C1C" w:rsidRPr="00A518CC" w:rsidRDefault="00B41C1C" w:rsidP="00B41C1C">
      <w:pPr>
        <w:spacing w:line="360" w:lineRule="auto"/>
        <w:rPr>
          <w:rFonts w:ascii="Times New Roman" w:hAnsi="Times New Roman"/>
          <w:sz w:val="24"/>
          <w:szCs w:val="24"/>
          <w:lang w:val="en-US"/>
        </w:rPr>
      </w:pPr>
      <w:r w:rsidRPr="00A518CC">
        <w:rPr>
          <w:rFonts w:ascii="Times New Roman" w:hAnsi="Times New Roman"/>
          <w:sz w:val="24"/>
          <w:szCs w:val="24"/>
          <w:lang w:val="en-US"/>
        </w:rPr>
        <w:t xml:space="preserve">Following administration of DET increased in plasma glucose concentrations, this </w:t>
      </w:r>
      <w:r w:rsidRPr="00A518CC">
        <w:rPr>
          <w:rFonts w:ascii="Times New Roman" w:eastAsia="Times New Roman" w:hAnsi="Times New Roman"/>
          <w:sz w:val="24"/>
          <w:szCs w:val="24"/>
          <w:lang w:val="en-US"/>
        </w:rPr>
        <w:t xml:space="preserve">decreased towards baseline much faster in groups that received YOH subsequent to DET as compared to horses that did not receive the </w:t>
      </w:r>
      <w:r w:rsidRPr="00A518CC">
        <w:rPr>
          <w:rFonts w:ascii="Times New Roman" w:hAnsi="Times New Roman"/>
          <w:sz w:val="24"/>
          <w:szCs w:val="24"/>
          <w:lang w:val="en-US"/>
        </w:rPr>
        <w:t>alpha-2 adrenergic receptor antagonists</w:t>
      </w:r>
      <w:r w:rsidRPr="00A518CC">
        <w:rPr>
          <w:rFonts w:ascii="Times New Roman" w:eastAsia="Times New Roman" w:hAnsi="Times New Roman"/>
          <w:sz w:val="24"/>
          <w:szCs w:val="24"/>
          <w:lang w:val="en-US"/>
        </w:rPr>
        <w:t xml:space="preserve">. It is </w:t>
      </w:r>
      <w:r w:rsidRPr="00A518CC">
        <w:rPr>
          <w:rFonts w:ascii="Times New Roman" w:eastAsia="Times New Roman" w:hAnsi="Times New Roman"/>
          <w:sz w:val="24"/>
          <w:szCs w:val="24"/>
          <w:lang w:val="en-US"/>
        </w:rPr>
        <w:lastRenderedPageBreak/>
        <w:t xml:space="preserve">possible that the faster return to baseline glucose concentrations is due to displacement of DET from receptors. This is further supported by the lack of effect of YOH on plasma glucose concentrations </w:t>
      </w:r>
      <w:r w:rsidR="00A2062B" w:rsidRPr="00A518CC">
        <w:rPr>
          <w:rFonts w:ascii="Times New Roman" w:eastAsia="Times New Roman" w:hAnsi="Times New Roman"/>
          <w:sz w:val="24"/>
          <w:szCs w:val="24"/>
        </w:rPr>
        <w:fldChar w:fldCharType="begin" w:fldLock="1"/>
      </w:r>
      <w:r w:rsidRPr="00A518CC">
        <w:rPr>
          <w:rFonts w:ascii="Times New Roman" w:eastAsia="Times New Roman" w:hAnsi="Times New Roman"/>
          <w:sz w:val="24"/>
          <w:szCs w:val="24"/>
          <w:lang w:val="en-US"/>
        </w:rPr>
        <w:instrText>ADDIN CSL_CITATION { "citationItems" : [ { "id" : "ITEM-1", "itemData" : { "DOI" : "10.1111/j.1365-2885.2010.01234.x", "ISSN" : "01407783", "PMID" : "20950351", "abstract" : "Yohimbine is an alpha 2 adrenergic receptor antagonist, which has been shown to counteract the CNS depressant effects of alpha 2 receptor agonists in a number of species. Recently, our laboratory identified yohimbine in the absence of detectable concentrations of an alpha 2 agonist in a regulatory sample collected from a horse racing in California. This coupled with anecdotal reports of CNS stimulation and documented reports of cardiovascular changes when administered in conjunction with an agonist led us to investigate the pharmacokinetics and pharmacodynamics of yohimbine when administered alone. Nine healthy adult horses received a single intravenous dose of 0.1, 0.2, and 0.4 mg/kg yohimbine. Blood samples were collected at time 0 (prior to drug administration) and at various times up to 24 h postdrug administration. Plasma samples were analyzed using liquid chromatography-mass spectrometry (LC-MS), and resulting data analyzed using both noncompartmental and compartmental analysis. Peak plasma concentrations were 106.0 \u00b1 28.9, 156.7 \u00b1 34.3, and 223.0 \u00b1 44.5 ng/mL for doses of 0.1, 0.2, and 0.4 mg/kg, respectively. Immediately following administration, two horses showed signs of sedation, one horse appeared excited, while the other six appeared behaviorally unaffected. Episodes of tachycardia were noted within minutes of administration for all horses at all doses; however, there was no correlation between behavioral responses and episodes of increased heart rate. Sixty-three percent of the horses (8, 6, and 4 of the 9 horses in the 0.1, 0.2, and 0.4 mg/kg dose groups, respectively) exhibited second-degree atrial-ventricular conduction blocks and bradycardia prior to drug administration that transiently improved or disappeared upon administration of yohimbine. Gastrointestinal sounds were transiently increased following all doses.", "author" : [ { "dropping-particle" : "", "family" : "Dimaio Knych", "given" : "H. K.", "non-dropping-particle" : "", "parse-names" : false, "suffix" : "" }, { "dropping-particle" : "", "family" : "Steffey", "given" : "E. P.", "non-dropping-particle" : "", "parse-names" : false, "suffix" : "" }, { "dropping-particle" : "", "family" : "Stanley", "given" : "S. D.", "non-dropping-particle" : "", "parse-names" : false, "suffix" : "" } ], "container-title" : "Journal of Veterinary Pharmacology and Therapeutics", "id" : "ITEM-1", "issue" : "4", "issued" : { "date-parts" : [ [ "2011" ] ] }, "page" : "359-366", "title" : "Pharmacokinetics and pharmacodynamics of three intravenous doses of yohimbine in the horse", "type" : "article-journal", "volume" : "34" }, "uris" : [ "http://www.mendeley.com/documents/?uuid=dde61d5f-908a-49f1-a98a-81342021b804" ] } ], "mendeley" : { "formattedCitation" : "(H. K. Dimaio Knych, Steffey, and Stanley 2011)", "plainTextFormattedCitation" : "(H. K. Dimaio Knych, Steffey, and Stanley 2011)", "previouslyFormattedCitation" : "(H. K. Dimaio Knych, Steffey, and Stanley 2011)" }, "properties" : { "noteIndex" : 0 }, "schema" : "https://github.com/citation-style-language/schema/raw/master/csl-citation.json" }</w:instrText>
      </w:r>
      <w:r w:rsidR="00A2062B" w:rsidRPr="00A518CC">
        <w:rPr>
          <w:rFonts w:ascii="Times New Roman" w:eastAsia="Times New Roman" w:hAnsi="Times New Roman"/>
          <w:sz w:val="24"/>
          <w:szCs w:val="24"/>
        </w:rPr>
        <w:fldChar w:fldCharType="separate"/>
      </w:r>
      <w:r w:rsidRPr="00A518CC">
        <w:rPr>
          <w:rFonts w:ascii="Times New Roman" w:eastAsia="Times New Roman" w:hAnsi="Times New Roman"/>
          <w:noProof/>
          <w:sz w:val="24"/>
          <w:szCs w:val="24"/>
          <w:lang w:val="en-US"/>
        </w:rPr>
        <w:t>(Dimaio Knych &amp; Stanley 2011)</w:t>
      </w:r>
      <w:r w:rsidR="00A2062B" w:rsidRPr="00A518CC">
        <w:rPr>
          <w:rFonts w:ascii="Times New Roman" w:eastAsia="Times New Roman" w:hAnsi="Times New Roman"/>
          <w:sz w:val="24"/>
          <w:szCs w:val="24"/>
        </w:rPr>
        <w:fldChar w:fldCharType="end"/>
      </w:r>
      <w:r w:rsidRPr="00A518CC">
        <w:rPr>
          <w:rFonts w:ascii="Times New Roman" w:eastAsia="Times New Roman" w:hAnsi="Times New Roman"/>
          <w:sz w:val="24"/>
          <w:szCs w:val="24"/>
          <w:lang w:val="en-US"/>
        </w:rPr>
        <w:t xml:space="preserve">, suggesting that YOH by itself has no effect on plasma glucose concentrations </w:t>
      </w:r>
      <w:r w:rsidR="00A2062B" w:rsidRPr="00A518CC">
        <w:rPr>
          <w:rFonts w:ascii="Times New Roman" w:eastAsia="Times New Roman" w:hAnsi="Times New Roman"/>
          <w:sz w:val="24"/>
          <w:szCs w:val="24"/>
        </w:rPr>
        <w:fldChar w:fldCharType="begin" w:fldLock="1"/>
      </w:r>
      <w:r w:rsidRPr="00A518CC">
        <w:rPr>
          <w:rFonts w:ascii="Times New Roman" w:eastAsia="Times New Roman" w:hAnsi="Times New Roman"/>
          <w:sz w:val="24"/>
          <w:szCs w:val="24"/>
          <w:lang w:val="en-US"/>
        </w:rPr>
        <w:instrText>ADDIN CSL_CITATION { "citationItems" : [ { "id" : "ITEM-1", "itemData" : { "DOI" : "10.1111/j.1467-2995.2012.00776.x", "ISSN" : "14672987", "PMID" : "23035904", "abstract" : "OBJECTIVE: To describe selected pharmacodynamic effects of detomidine and yohimbine when administered alone and in sequence.\\n\\nSTUDY DESIGN: Randomized crossover design.\\n\\nANIMALS: Nine healthy adult horses aged 9 \u00b1 4 years and weighing 561 \u00b1 56 kg.\\n\\nMETHODS: Three dose regimens were employed in the current study. 1) 0.03 mg kg(-1) detomidine IV, 2) 0.2 mg kg(-1) yohimbine IV and 3) 0.03 mg kg(-1) detomidine IV followed 15 minutes later by 0.2 mg kg(-1) yohimbine IV. Each horse received all three treatments with a minimum of 1 week between treatments. Blood samples were obtained and plasma analyzed for detomidine and yohimbine concentrations by liquid chromatography-mass spectrometry. Behavioral effects, heart rate and rhythm, glucose, packed cell volume and plasma proteins were monitored.\\n\\nRESULTS: Yohimbine rapidly reversed the sedative effects of detomidine in the horse. Additionally, yohimbine effectively returned heart rate and the percent of atrio-ventricular conduction disturbances to pre-detomidine values when administered 15 minutes post-detomidine administration. Plasma glucose was significantly increased following detomidine administration. The detomidine induce</w:instrText>
      </w:r>
      <w:r w:rsidRPr="00A518CC">
        <w:rPr>
          <w:rFonts w:ascii="Times New Roman" w:eastAsia="Times New Roman" w:hAnsi="Times New Roman"/>
          <w:sz w:val="24"/>
          <w:szCs w:val="24"/>
        </w:rPr>
        <w:instrText>d hyperglycemia was effectively reduced by yohimbine administration. Effects on packed cell volume and plasma pro</w:instrText>
      </w:r>
      <w:r w:rsidRPr="00A518CC">
        <w:rPr>
          <w:rFonts w:ascii="Times New Roman" w:eastAsia="Times New Roman" w:hAnsi="Times New Roman"/>
          <w:sz w:val="24"/>
          <w:szCs w:val="24"/>
          <w:lang w:val="en-US"/>
        </w:rPr>
        <w:instrText>teins were variable.\\n\\nCONCLUSIONS AND CLINICAL RELEVANCE: Intravenous administration of yohimbine effectively reversed detomidine induced sedation, bradycardia, atrio-ventricular heart block and hyperglycemia.", "author" : [ { "dropping-particle" : "", "family" : "Dimaio Knych", "given" : "Heather K.", "non-dropping-particle" : "", "parse-names" : false, "suffix" : "" }, { "dropping-particle" : "", "family" : "Covarrubias", "given" : "Vanessa", "non-dropping-particle" : "", "parse-names" : false, "suffix" : "" }, { "dropping-particle" : "", "family" : "Steffey", "given" : "Eugene P.", "non-dropping-particle" : "", "parse-names" : false, "suffix" : "" } ], "container-title" : "Veterinary Anaesthesia and Analgesia", "id" : "ITEM-1", "issue" : "6", "issued" : { "date-parts" : [ [ "2012" ] ] }, "page" : "574-583", "title" : "Effect of yohimbine on detomidine induced changes in behavior, cardiac and blood parameters in the horse", "type" : "article-journal", "volume" : "39" }, "uris" : [ "http://www.mendeley.com/documents/?uuid=22ec7d39-3121-498d-b24c-8a19caec533c" ] } ], "mendeley" : { "formattedCitation" : "(Heather K. Dimaio Knych, Covarrubias, and Steffey 2012)", "plainTextFormattedCitation" : "(Heather K. Dimaio Knych, Covarrubias, and Steffey 2012)", "previouslyFormattedCitation" : "(Heather K. Dimaio Knych, Covarrubias, and Steffey 2012)" }, "properties" : { "noteIndex" : 0 }, "schema" : "https://github.com/citation-style-language/schema/raw/master/csl-citation.json" }</w:instrText>
      </w:r>
      <w:r w:rsidR="00A2062B" w:rsidRPr="00A518CC">
        <w:rPr>
          <w:rFonts w:ascii="Times New Roman" w:eastAsia="Times New Roman" w:hAnsi="Times New Roman"/>
          <w:sz w:val="24"/>
          <w:szCs w:val="24"/>
        </w:rPr>
        <w:fldChar w:fldCharType="separate"/>
      </w:r>
      <w:r w:rsidRPr="00A518CC">
        <w:rPr>
          <w:rFonts w:ascii="Times New Roman" w:eastAsia="Times New Roman" w:hAnsi="Times New Roman"/>
          <w:noProof/>
          <w:sz w:val="24"/>
          <w:szCs w:val="24"/>
          <w:lang w:val="en-US"/>
        </w:rPr>
        <w:t xml:space="preserve">(Dimaio Knych </w:t>
      </w:r>
      <w:r w:rsidRPr="00A518CC">
        <w:rPr>
          <w:rFonts w:ascii="Times New Roman" w:eastAsia="Times New Roman" w:hAnsi="Times New Roman"/>
          <w:i/>
          <w:noProof/>
          <w:sz w:val="24"/>
          <w:szCs w:val="24"/>
          <w:lang w:val="en-US"/>
        </w:rPr>
        <w:t>et al</w:t>
      </w:r>
      <w:r w:rsidRPr="00A518CC">
        <w:rPr>
          <w:rFonts w:ascii="Times New Roman" w:eastAsia="Times New Roman" w:hAnsi="Times New Roman"/>
          <w:noProof/>
          <w:sz w:val="24"/>
          <w:szCs w:val="24"/>
          <w:lang w:val="en-US"/>
        </w:rPr>
        <w:t>., 2012)</w:t>
      </w:r>
      <w:r w:rsidR="00A2062B" w:rsidRPr="00A518CC">
        <w:rPr>
          <w:rFonts w:ascii="Times New Roman" w:eastAsia="Times New Roman" w:hAnsi="Times New Roman"/>
          <w:sz w:val="24"/>
          <w:szCs w:val="24"/>
        </w:rPr>
        <w:fldChar w:fldCharType="end"/>
      </w:r>
      <w:r w:rsidRPr="00A518CC">
        <w:rPr>
          <w:rFonts w:ascii="Times New Roman" w:hAnsi="Times New Roman"/>
          <w:sz w:val="24"/>
          <w:szCs w:val="24"/>
          <w:lang w:val="en-US"/>
        </w:rPr>
        <w:t xml:space="preserve">. Probably the inhibition of insulin release was mediated through postsynaptic adrenoreceptors located on the pancreatic cells, specifically the alpha-2 adrenergic subtype and that alpha-2 adrenergic receptor antagonists, such as YOH, block the hyperglycemic effect of alpha-2 adrenergic agonists (Oda </w:t>
      </w:r>
      <w:r w:rsidRPr="00A518CC">
        <w:rPr>
          <w:rFonts w:ascii="Times New Roman" w:hAnsi="Times New Roman"/>
          <w:i/>
          <w:sz w:val="24"/>
          <w:szCs w:val="24"/>
          <w:lang w:val="en-US"/>
        </w:rPr>
        <w:t>et al.,</w:t>
      </w:r>
      <w:r w:rsidRPr="00A518CC">
        <w:rPr>
          <w:rFonts w:ascii="Times New Roman" w:hAnsi="Times New Roman"/>
          <w:sz w:val="24"/>
          <w:szCs w:val="24"/>
          <w:lang w:val="en-US"/>
        </w:rPr>
        <w:t xml:space="preserve"> 1991 in </w:t>
      </w:r>
      <w:r w:rsidR="00A2062B" w:rsidRPr="00A518CC">
        <w:rPr>
          <w:rFonts w:ascii="Times New Roman" w:hAnsi="Times New Roman"/>
          <w:sz w:val="24"/>
          <w:szCs w:val="24"/>
          <w:lang w:val="en-US"/>
        </w:rPr>
        <w:fldChar w:fldCharType="begin" w:fldLock="1"/>
      </w:r>
      <w:r w:rsidRPr="00A518CC">
        <w:rPr>
          <w:rFonts w:ascii="Times New Roman" w:hAnsi="Times New Roman"/>
          <w:sz w:val="24"/>
          <w:szCs w:val="24"/>
          <w:lang w:val="en-US"/>
        </w:rPr>
        <w:instrText>ADDIN CSL_CITATION { "citationItems" : [ { "id" : "ITEM-1", "itemData" : { "DOI" : "10.1111/vaa.12081", "ISSN" : "14672987", "PMID" : "24134603", "abstract" : "OBJECTIVE: To describe the effects of alpha2 -adrenergic receptor antagonists on the pharmacodynamics of sublingual (SL) detomidine in the horse.\\n\\nSTUDY DESIGN: Randomized crossover design.\\n\\nANIMALS: Nine healthy adult horses with an average age of 7.6\u00a0\u00b1\u00a06.5\u00a0years.\\n\\nMETHODS: Four treatment groups were studied: 1) 0.04\u00a0mg\u00a0kg(-1) detomidine SL; 2) 0.04\u00a0mg\u00a0kg(-1) detomidine SL followed 1\u00a0hour later by 0.075\u00a0mg\u00a0kg(-1) yohimbine intravenously (IV); 3) 0.04\u00a0mg\u00a0kg(-1) detomidine SL followed 1\u00a0hour later by 4\u00a0mg\u00a0kg(-1) tolazoline IV; and 4) 0.04\u00a0mg\u00a0kg(-1) detomidine SL followed 1\u00a0hour later by 0.12\u00a0mg\u00a0kg(-1) atipamezole IV. Each horse received all treatments with a minimum of 1\u00a0week between treatments. Blood samples were obtained and plasma analyzed for yohimbine, atipamezole and tolazoline concentrations by liquid chromatography-mass spectrometry. Behavioral effects, heart rate and rhythm, glucose, packed cell volume (PCV) and plasma proteins were monitored.\\n\\nRESULTS: Chin-to-ground distance increased following administration of the antagonists, however, this effect was transient, with a return to pre-reversal values as early as 1\u00a0hour. Detomidine induced bradycardia and increased incidence of atrioventricular blocks were either transiently or incompletely antagonized by all antagonists. PCV and glucose concentrations increased with tolazoline administration, and atipamezole subjectively increased urination frequency but not volume.\\n\\nCONCLUSIONS AND CLINICAL RELEVANCE: At the doses administered in this study, the alpha2 -adrenergic antagonistic effects of tolazoline, yohimbine and atipamezole on cardiac and behavioral effects elicited by SL administration of detomidine are transient and incomplete.", "author" : [ { "dropping-particle" : "", "family" : "Knych", "given" : "Heather K.", "non-dropping-particle" : "", "parse-names" : false, "suffix" : "" }, { "dropping-particle" : "", "family" : "Stanley", "given" : "Scott D.", "non-dropping-particle" : "", "parse-names" : false, "suffix" : "" } ], "container-title" : "Veterinary Anaesthesia and Analgesia", "id" : "ITEM-1", "issue" : "1", "issued" : { "date-parts" : [ [ "2014" ] ] }, "page" : "36-47", "title" : "Effects of three antagonists on selected pharmacodynamic effects of sublingually administered detomidine in the horse", "type" : "article-journal", "volume" : "41" }, "uris" : [ "http://www.mendeley.com/documents/?uuid=b48e1ff8-e8d2-4ada-aeda-a9bd2c7cad80" ] } ], "mendeley" : { "formattedCitation" : "(Knych and Stanley 2014)", "plainTextFormattedCitation" : "(Knych and Stanley 2014)", "previouslyFormattedCitation" : "(Knych and Stanley 2014)" }, "properties" : { "noteIndex" : 0 }, "schema" : "https://github.com/citation-style-language/schema/raw/master/csl-citation.json" }</w:instrText>
      </w:r>
      <w:r w:rsidR="00A2062B" w:rsidRPr="00A518CC">
        <w:rPr>
          <w:rFonts w:ascii="Times New Roman" w:hAnsi="Times New Roman"/>
          <w:sz w:val="24"/>
          <w:szCs w:val="24"/>
          <w:lang w:val="en-US"/>
        </w:rPr>
        <w:fldChar w:fldCharType="separate"/>
      </w:r>
      <w:r w:rsidRPr="00A518CC">
        <w:rPr>
          <w:rFonts w:ascii="Times New Roman" w:hAnsi="Times New Roman"/>
          <w:noProof/>
          <w:sz w:val="24"/>
          <w:szCs w:val="24"/>
          <w:lang w:val="en-US"/>
        </w:rPr>
        <w:t>(Knych &amp; Stanley 2014)</w:t>
      </w:r>
      <w:r w:rsidR="00A2062B" w:rsidRPr="00A518CC">
        <w:rPr>
          <w:rFonts w:ascii="Times New Roman" w:hAnsi="Times New Roman"/>
          <w:sz w:val="24"/>
          <w:szCs w:val="24"/>
          <w:lang w:val="en-US"/>
        </w:rPr>
        <w:fldChar w:fldCharType="end"/>
      </w:r>
      <w:r w:rsidRPr="00A518CC">
        <w:rPr>
          <w:rFonts w:ascii="Times New Roman" w:hAnsi="Times New Roman"/>
          <w:sz w:val="24"/>
          <w:szCs w:val="24"/>
          <w:lang w:val="en-US"/>
        </w:rPr>
        <w:t xml:space="preserve">). YOH decreased DET induced hyperglycemia suggesting that was more likely due to cessation of DET induced effects as opposed to being due to atipemezole. The anti-hyperglycemic effect may be dose-dependent and a higher dose of atipamezole may be necessary to reverse the alpha2-agonistic effect and in turn result in decreased plasma glucose concentrations </w:t>
      </w:r>
      <w:r w:rsidR="00A2062B" w:rsidRPr="00A518CC">
        <w:rPr>
          <w:rFonts w:ascii="Times New Roman" w:hAnsi="Times New Roman"/>
          <w:sz w:val="24"/>
          <w:szCs w:val="24"/>
          <w:lang w:val="en-US"/>
        </w:rPr>
        <w:fldChar w:fldCharType="begin" w:fldLock="1"/>
      </w:r>
      <w:r w:rsidRPr="00A518CC">
        <w:rPr>
          <w:rFonts w:ascii="Times New Roman" w:hAnsi="Times New Roman"/>
          <w:sz w:val="24"/>
          <w:szCs w:val="24"/>
          <w:lang w:val="en-US"/>
        </w:rPr>
        <w:instrText>ADDIN CSL_CITATION { "citationItems" : [ { "id" : "ITEM-1", "itemData" : { "DOI" : "10.1111/vaa.12081", "ISSN" : "14672987", "PMID" : "24134603", "abstract" : "OBJECTIVE: To describe the effects of alpha2 -adrenergic receptor antagonists on the pharmacodynamics of sublingual (SL) detomidine in the horse.\\n\\nSTUDY DESIGN: Randomized crossover design.\\n\\nANIMALS: Nine healthy adult horses with an average age of 7.6\u00a0\u00b1\u00a06.5\u00a0years.\\n\\nMETHODS: Four treatment groups were studied: 1) 0.04\u00a0mg\u00a0kg(-1) detomidine SL; 2) 0.04\u00a0mg\u00a0kg(-1) detomidine SL followed 1\u00a0hour later by 0.075\u00a0mg\u00a0kg(-1) yohimbine intravenously (IV); 3) 0.04\u00a0mg\u00a0kg(-1) detomidine SL followed 1\u00a0hour later by 4\u00a0mg\u00a0kg(-1) tolazoline IV; and 4) 0.04\u00a0mg\u00a0kg(-1) detomidine SL followed 1\u00a0hour later by 0.12\u00a0mg\u00a0kg(-1) atipamezole IV. Each horse received all treatments with a minimum of 1\u00a0week between treatments. Blood samples were obtained and plasma analyzed for yohimbine, atipamezole and tolazoline concentrations by liquid chromatography-mass spectrometry. Behavioral effects, heart rate and rhythm, glucose, packed cell volume (PCV) and plasma proteins were monitored.\\n\\nRESULTS: Chin-to-ground distance increased following administration of the antagonists, however, this effect was transient, with a return to pre-reversal values as early as 1\u00a0hour. Detomidine induced bradycardia and increased incidence of atrioventricular blocks were either transiently or incompletely antagonized by all antagonists. PCV and glucose concentrations increased with tolazoline administration, and atipamezole subjectively increased urination frequency but not volume.\\n\\nCONCLUSIONS AND CLINICAL RELEVANCE: At the doses administered in this study, the alpha2 -adrenergic antagonistic effects of tolazoline, yohimbine and atipamezole on cardiac and behavioral effects elicited by SL administration of detomidine are transient and incomplete.", "author" : [ { "dropping-particle" : "", "family" : "Knych", "given" : "Heather K.", "non-dropping-particle" : "", "parse-names" : false, "suffix" : "" }, { "dropping-particle" : "", "family" : "Stanley", "given" : "Scott D.", "non-dropping-particle" : "", "parse-names" : false, "suffix" : "" } ], "container-title" : "Veterinary Anaesthesia and Analgesia", "id" : "ITEM-1", "issue" : "1", "issued" : { "date-parts" : [ [ "2014" ] ] }, "page" : "36-47", "title" : "Effects of three antagonists on selected pharmacodynamic effects of sublingually administered detomidine in the horse", "type" : "article-journal", "volume" : "41" }, "uris" : [ "http://www.mendeley.com/documents/?uuid=b48e1ff8-e8d2-4ada-aeda-a9bd2c7cad80" ] } ], "mendeley" : { "formattedCitation" : "(Knych and Stanley 2014)", "plainTextFormattedCitation" : "(Knych and Stanley 2014)", "previouslyFormattedCitation" : "(Knych and Stanley 2014)" }, "properties" : { "noteIndex" : 0 }, "schema" : "https://github.com/citation-style-language/schema/raw/master/csl-citation.json" }</w:instrText>
      </w:r>
      <w:r w:rsidR="00A2062B" w:rsidRPr="00A518CC">
        <w:rPr>
          <w:rFonts w:ascii="Times New Roman" w:hAnsi="Times New Roman"/>
          <w:sz w:val="24"/>
          <w:szCs w:val="24"/>
          <w:lang w:val="en-US"/>
        </w:rPr>
        <w:fldChar w:fldCharType="separate"/>
      </w:r>
      <w:r w:rsidRPr="00A518CC">
        <w:rPr>
          <w:rFonts w:ascii="Times New Roman" w:hAnsi="Times New Roman"/>
          <w:noProof/>
          <w:sz w:val="24"/>
          <w:szCs w:val="24"/>
          <w:lang w:val="en-US"/>
        </w:rPr>
        <w:t>(Knych &amp; Stanley 2014)</w:t>
      </w:r>
      <w:r w:rsidR="00A2062B" w:rsidRPr="00A518CC">
        <w:rPr>
          <w:rFonts w:ascii="Times New Roman" w:hAnsi="Times New Roman"/>
          <w:sz w:val="24"/>
          <w:szCs w:val="24"/>
          <w:lang w:val="en-US"/>
        </w:rPr>
        <w:fldChar w:fldCharType="end"/>
      </w:r>
      <w:r w:rsidRPr="00A518CC">
        <w:rPr>
          <w:rFonts w:ascii="Times New Roman" w:hAnsi="Times New Roman"/>
          <w:sz w:val="24"/>
          <w:szCs w:val="24"/>
          <w:lang w:val="en-US"/>
        </w:rPr>
        <w:t>.</w:t>
      </w:r>
    </w:p>
    <w:p w:rsidR="00B41C1C" w:rsidRPr="00A518CC" w:rsidRDefault="00B41C1C" w:rsidP="00B41C1C">
      <w:pPr>
        <w:spacing w:line="360" w:lineRule="auto"/>
        <w:rPr>
          <w:rFonts w:ascii="Times New Roman" w:eastAsia="Times New Roman" w:hAnsi="Times New Roman"/>
          <w:sz w:val="24"/>
          <w:szCs w:val="24"/>
          <w:lang w:val="en-US"/>
        </w:rPr>
      </w:pPr>
      <w:r w:rsidRPr="00A518CC">
        <w:rPr>
          <w:rFonts w:ascii="Times New Roman" w:eastAsia="Times New Roman" w:hAnsi="Times New Roman"/>
          <w:sz w:val="24"/>
          <w:szCs w:val="24"/>
          <w:lang w:val="en-US"/>
        </w:rPr>
        <w:t xml:space="preserve">DET pronounced generating cardiac effects, including a notable decrease in heart rate and an increased incidence of AV conduction blocks. Conversely, the behavioral </w:t>
      </w:r>
      <w:proofErr w:type="gramStart"/>
      <w:r w:rsidRPr="00A518CC">
        <w:rPr>
          <w:rFonts w:ascii="Times New Roman" w:eastAsia="Times New Roman" w:hAnsi="Times New Roman"/>
          <w:sz w:val="24"/>
          <w:szCs w:val="24"/>
          <w:lang w:val="en-US"/>
        </w:rPr>
        <w:t>effects of the alpha-2 receptor antagonist, YOH, appears</w:t>
      </w:r>
      <w:proofErr w:type="gramEnd"/>
      <w:r w:rsidRPr="00A518CC">
        <w:rPr>
          <w:rFonts w:ascii="Times New Roman" w:eastAsia="Times New Roman" w:hAnsi="Times New Roman"/>
          <w:sz w:val="24"/>
          <w:szCs w:val="24"/>
          <w:lang w:val="en-US"/>
        </w:rPr>
        <w:t xml:space="preserve"> to be highly variable between horses. Regardless of the variability in response when administered alone, YOH was effective in resolving naturally occurring as well as DET induced AV conduction disturbances. Overall, YOH is effective in reversing the behavioral and cardiovascular effects of IV administered DET. The antagonistic effects of YOH on HR and rhythm changes and behavioural effects elicited by SL administeres DET appear to be incomplete. </w:t>
      </w:r>
    </w:p>
    <w:p w:rsidR="00B41C1C" w:rsidRPr="00A518CC" w:rsidRDefault="00B41C1C" w:rsidP="00B41C1C">
      <w:pPr>
        <w:spacing w:line="360" w:lineRule="auto"/>
        <w:rPr>
          <w:rFonts w:ascii="Times New Roman" w:eastAsia="Times New Roman" w:hAnsi="Times New Roman"/>
          <w:sz w:val="24"/>
          <w:szCs w:val="24"/>
          <w:lang w:val="en-US"/>
        </w:rPr>
      </w:pPr>
      <w:r w:rsidRPr="00A518CC">
        <w:rPr>
          <w:rFonts w:ascii="Times New Roman" w:eastAsia="Times New Roman" w:hAnsi="Times New Roman"/>
          <w:sz w:val="24"/>
          <w:szCs w:val="24"/>
          <w:lang w:val="en-US"/>
        </w:rPr>
        <w:t xml:space="preserve">As a result of this review, we found that there are just few reports well designed and with a scientific support describing DET or YOH effects when administered alone or mixed in the same anesthetic protocol, more remakable results the lack of solid evidence at pharmacokinetic, pharmacodynamic and cardiovascular parameters in the equine patient. Nowadays DET administration in horses has becoming popular, in part, thanks tho the excistence of a pharmaceutic form supplied as a gel wich its adequate for the oral administration, this phenomena has been paired with a YOH administration increment to reverse the DET effects. Nevertheless, YOH is not an FDA approved drug for equine patients and </w:t>
      </w:r>
      <w:proofErr w:type="gramStart"/>
      <w:r w:rsidRPr="00A518CC">
        <w:rPr>
          <w:rFonts w:ascii="Times New Roman" w:eastAsia="Times New Roman" w:hAnsi="Times New Roman"/>
          <w:sz w:val="24"/>
          <w:szCs w:val="24"/>
          <w:lang w:val="en-US"/>
        </w:rPr>
        <w:t>its</w:t>
      </w:r>
      <w:proofErr w:type="gramEnd"/>
      <w:r w:rsidRPr="00A518CC">
        <w:rPr>
          <w:rFonts w:ascii="Times New Roman" w:eastAsia="Times New Roman" w:hAnsi="Times New Roman"/>
          <w:sz w:val="24"/>
          <w:szCs w:val="24"/>
          <w:lang w:val="en-US"/>
        </w:rPr>
        <w:t xml:space="preserve"> indicated as an alpha 2 antagonist, despite this situation, YOH has been used for this purpose. Scientific evidence prove, multiple varation at pharmacodynamics, </w:t>
      </w:r>
      <w:r w:rsidRPr="00A518CC">
        <w:rPr>
          <w:rFonts w:ascii="Times New Roman" w:eastAsia="Times New Roman" w:hAnsi="Times New Roman"/>
          <w:sz w:val="24"/>
          <w:szCs w:val="24"/>
          <w:lang w:val="en-US"/>
        </w:rPr>
        <w:lastRenderedPageBreak/>
        <w:t>pharmacokinetic and  cardiovascular parameters for individual horses, for that reason, YOH should be used cautiously in order to avoid serious and unpredictable undesired side effects, until the reason of varation between individuals been solved by means of  well designed protocols, its mandatory to elucidate if the source of varation relays just in the individuality of each animal or if there is a realationsship whit determinant factors as age, sex, bady fat or physical condition, renal clearance, or any other condition.</w:t>
      </w:r>
    </w:p>
    <w:p w:rsidR="00B41C1C" w:rsidRPr="00A518CC" w:rsidRDefault="00B41C1C" w:rsidP="00B41C1C">
      <w:pPr>
        <w:spacing w:line="360" w:lineRule="auto"/>
        <w:outlineLvl w:val="0"/>
        <w:rPr>
          <w:rFonts w:ascii="Times New Roman" w:eastAsia="Times New Roman" w:hAnsi="Times New Roman"/>
          <w:sz w:val="24"/>
          <w:szCs w:val="24"/>
          <w:lang w:val="en-US"/>
        </w:rPr>
      </w:pPr>
      <w:r w:rsidRPr="00A518CC">
        <w:rPr>
          <w:rFonts w:ascii="Times New Roman" w:eastAsia="Times New Roman" w:hAnsi="Times New Roman"/>
          <w:b/>
          <w:sz w:val="24"/>
          <w:szCs w:val="24"/>
          <w:lang w:val="en-US"/>
        </w:rPr>
        <w:t>ACKNOWLEDGEMENTS</w:t>
      </w:r>
    </w:p>
    <w:p w:rsidR="00B41C1C" w:rsidRPr="00A518CC" w:rsidRDefault="00B41C1C" w:rsidP="00B41C1C">
      <w:pPr>
        <w:spacing w:line="360" w:lineRule="auto"/>
        <w:rPr>
          <w:rFonts w:ascii="Times New Roman" w:eastAsia="Times New Roman" w:hAnsi="Times New Roman"/>
          <w:sz w:val="24"/>
          <w:szCs w:val="24"/>
          <w:lang w:val="en-US"/>
        </w:rPr>
      </w:pPr>
      <w:r w:rsidRPr="00A518CC">
        <w:rPr>
          <w:rFonts w:ascii="Times New Roman" w:eastAsia="Times New Roman" w:hAnsi="Times New Roman"/>
          <w:sz w:val="24"/>
          <w:szCs w:val="24"/>
          <w:lang w:val="en-US"/>
        </w:rPr>
        <w:t>Authors are grateful to the Programa de Fortalecimiento de la Calidad en Instituciones Educativas (PROFOCIE), 2015 and PROMEP/103.5/13/6535 for financial support to carry out this work</w:t>
      </w:r>
    </w:p>
    <w:p w:rsidR="00B41C1C" w:rsidRPr="00A518CC" w:rsidRDefault="00B41C1C" w:rsidP="00B41C1C">
      <w:pPr>
        <w:spacing w:line="360" w:lineRule="auto"/>
        <w:outlineLvl w:val="0"/>
        <w:rPr>
          <w:rFonts w:ascii="Times New Roman" w:eastAsia="Times New Roman" w:hAnsi="Times New Roman"/>
          <w:b/>
          <w:sz w:val="24"/>
          <w:szCs w:val="24"/>
          <w:lang w:val="en-US"/>
        </w:rPr>
      </w:pPr>
      <w:r w:rsidRPr="00A518CC">
        <w:rPr>
          <w:rFonts w:ascii="Times New Roman" w:eastAsia="Times New Roman" w:hAnsi="Times New Roman"/>
          <w:b/>
          <w:sz w:val="24"/>
          <w:szCs w:val="24"/>
          <w:lang w:val="en-US"/>
        </w:rPr>
        <w:t>REFERENCES</w:t>
      </w:r>
    </w:p>
    <w:p w:rsidR="00B41C1C" w:rsidRPr="00A518CC" w:rsidRDefault="00B41C1C" w:rsidP="00B41C1C">
      <w:pPr>
        <w:pStyle w:val="NormalWeb"/>
        <w:spacing w:line="360" w:lineRule="auto"/>
        <w:ind w:left="480" w:hanging="480"/>
        <w:rPr>
          <w:rFonts w:ascii="Times New Roman" w:hAnsi="Times New Roman"/>
          <w:sz w:val="24"/>
          <w:szCs w:val="24"/>
          <w:lang w:val="en-US"/>
        </w:rPr>
      </w:pPr>
      <w:r w:rsidRPr="00A518CC">
        <w:rPr>
          <w:rFonts w:ascii="Times New Roman" w:hAnsi="Times New Roman"/>
          <w:sz w:val="24"/>
          <w:szCs w:val="24"/>
          <w:lang w:val="en-US"/>
        </w:rPr>
        <w:t xml:space="preserve">Dimaio Knych, H.K., Steffey, E.P., Deuel, J.L., Shepard, R.A. &amp; Stanley, S.D. (2011). </w:t>
      </w:r>
      <w:proofErr w:type="gramStart"/>
      <w:r w:rsidRPr="00A518CC">
        <w:rPr>
          <w:rFonts w:ascii="Times New Roman" w:hAnsi="Times New Roman"/>
          <w:sz w:val="24"/>
          <w:szCs w:val="24"/>
          <w:lang w:val="en-US"/>
        </w:rPr>
        <w:t>Pharmacokinetics of yohimbine following intravenous administration to horses.</w:t>
      </w:r>
      <w:proofErr w:type="gramEnd"/>
      <w:r w:rsidRPr="00A518CC">
        <w:rPr>
          <w:rFonts w:ascii="Times New Roman" w:hAnsi="Times New Roman"/>
          <w:sz w:val="24"/>
          <w:szCs w:val="24"/>
          <w:lang w:val="en-US"/>
        </w:rPr>
        <w:t xml:space="preserve"> </w:t>
      </w:r>
      <w:r w:rsidRPr="00A518CC">
        <w:rPr>
          <w:rFonts w:ascii="Times New Roman" w:hAnsi="Times New Roman"/>
          <w:i/>
          <w:iCs/>
          <w:sz w:val="24"/>
          <w:szCs w:val="24"/>
          <w:lang w:val="en-US"/>
        </w:rPr>
        <w:t>Journal of Veterinary Pharmacology and Therapeutics</w:t>
      </w:r>
      <w:r w:rsidRPr="00A518CC">
        <w:rPr>
          <w:rFonts w:ascii="Times New Roman" w:hAnsi="Times New Roman"/>
          <w:sz w:val="24"/>
          <w:szCs w:val="24"/>
          <w:lang w:val="en-US"/>
        </w:rPr>
        <w:t xml:space="preserve">, </w:t>
      </w:r>
      <w:r w:rsidRPr="00A518CC">
        <w:rPr>
          <w:rFonts w:ascii="Times New Roman" w:hAnsi="Times New Roman"/>
          <w:b/>
          <w:sz w:val="24"/>
          <w:szCs w:val="24"/>
          <w:lang w:val="en-US"/>
        </w:rPr>
        <w:t>34,</w:t>
      </w:r>
      <w:r w:rsidRPr="00A518CC">
        <w:rPr>
          <w:rFonts w:ascii="Times New Roman" w:hAnsi="Times New Roman"/>
          <w:sz w:val="24"/>
          <w:szCs w:val="24"/>
          <w:lang w:val="en-US"/>
        </w:rPr>
        <w:t xml:space="preserve"> 58–63.</w:t>
      </w:r>
    </w:p>
    <w:p w:rsidR="00B41C1C" w:rsidRPr="00A518CC" w:rsidRDefault="00B41C1C" w:rsidP="00B41C1C">
      <w:pPr>
        <w:pStyle w:val="NormalWeb"/>
        <w:spacing w:line="360" w:lineRule="auto"/>
        <w:ind w:left="480" w:hanging="480"/>
        <w:rPr>
          <w:rFonts w:ascii="Times New Roman" w:hAnsi="Times New Roman"/>
          <w:sz w:val="24"/>
          <w:szCs w:val="24"/>
          <w:lang w:val="en-US"/>
        </w:rPr>
      </w:pPr>
      <w:proofErr w:type="gramStart"/>
      <w:r w:rsidRPr="00A518CC">
        <w:rPr>
          <w:rFonts w:ascii="Times New Roman" w:hAnsi="Times New Roman"/>
          <w:sz w:val="24"/>
          <w:szCs w:val="24"/>
          <w:lang w:val="en-US"/>
        </w:rPr>
        <w:t>Dimaio Knych, H.K., Covarrubias, V. &amp; Steffey, E.P. (2012).</w:t>
      </w:r>
      <w:proofErr w:type="gramEnd"/>
      <w:r w:rsidRPr="00A518CC">
        <w:rPr>
          <w:rFonts w:ascii="Times New Roman" w:hAnsi="Times New Roman"/>
          <w:sz w:val="24"/>
          <w:szCs w:val="24"/>
          <w:lang w:val="en-US"/>
        </w:rPr>
        <w:t xml:space="preserve"> Effect of yohimbine on detomidine induced changes in behavior, cardiac and blood parameters in the horse. </w:t>
      </w:r>
      <w:r w:rsidRPr="00A518CC">
        <w:rPr>
          <w:rFonts w:ascii="Times New Roman" w:hAnsi="Times New Roman"/>
          <w:i/>
          <w:iCs/>
          <w:sz w:val="24"/>
          <w:szCs w:val="24"/>
          <w:lang w:val="en-US"/>
        </w:rPr>
        <w:t>Veterinary Anaesthesia and Analgesia</w:t>
      </w:r>
      <w:r w:rsidRPr="00A518CC">
        <w:rPr>
          <w:rFonts w:ascii="Times New Roman" w:hAnsi="Times New Roman"/>
          <w:sz w:val="24"/>
          <w:szCs w:val="24"/>
          <w:lang w:val="en-US"/>
        </w:rPr>
        <w:t xml:space="preserve">, </w:t>
      </w:r>
      <w:r w:rsidRPr="00A518CC">
        <w:rPr>
          <w:rFonts w:ascii="Times New Roman" w:hAnsi="Times New Roman"/>
          <w:b/>
          <w:sz w:val="24"/>
          <w:szCs w:val="24"/>
          <w:lang w:val="en-US"/>
        </w:rPr>
        <w:t xml:space="preserve">39, </w:t>
      </w:r>
      <w:r w:rsidRPr="00A518CC">
        <w:rPr>
          <w:rFonts w:ascii="Times New Roman" w:hAnsi="Times New Roman"/>
          <w:sz w:val="24"/>
          <w:szCs w:val="24"/>
          <w:lang w:val="en-US"/>
        </w:rPr>
        <w:t>574–583.</w:t>
      </w:r>
    </w:p>
    <w:p w:rsidR="00B41C1C" w:rsidRPr="00A518CC" w:rsidRDefault="00B41C1C" w:rsidP="00B41C1C">
      <w:pPr>
        <w:pStyle w:val="NormalWeb"/>
        <w:spacing w:line="360" w:lineRule="auto"/>
        <w:ind w:left="480" w:hanging="480"/>
        <w:rPr>
          <w:rFonts w:ascii="Times New Roman" w:hAnsi="Times New Roman"/>
          <w:sz w:val="24"/>
          <w:szCs w:val="24"/>
          <w:lang w:val="en-US"/>
        </w:rPr>
      </w:pPr>
      <w:r w:rsidRPr="00A518CC">
        <w:rPr>
          <w:rFonts w:ascii="Times New Roman" w:hAnsi="Times New Roman"/>
          <w:sz w:val="24"/>
          <w:szCs w:val="24"/>
          <w:lang w:val="en-US"/>
        </w:rPr>
        <w:t xml:space="preserve">Di Maio Knych, H.K. &amp; Stanley, S.D. (2011). </w:t>
      </w:r>
      <w:proofErr w:type="gramStart"/>
      <w:r w:rsidRPr="00A518CC">
        <w:rPr>
          <w:rFonts w:ascii="Times New Roman" w:hAnsi="Times New Roman"/>
          <w:sz w:val="24"/>
          <w:szCs w:val="24"/>
          <w:lang w:val="en-US"/>
        </w:rPr>
        <w:t>Pharmacokinetics and pharmacodynamics of detomidine following sublingual administration to horses.</w:t>
      </w:r>
      <w:proofErr w:type="gramEnd"/>
      <w:r w:rsidRPr="00A518CC">
        <w:rPr>
          <w:rFonts w:ascii="Times New Roman" w:hAnsi="Times New Roman"/>
          <w:sz w:val="24"/>
          <w:szCs w:val="24"/>
          <w:lang w:val="en-US"/>
        </w:rPr>
        <w:t xml:space="preserve"> </w:t>
      </w:r>
      <w:r w:rsidRPr="00A518CC">
        <w:rPr>
          <w:rFonts w:ascii="Times New Roman" w:hAnsi="Times New Roman"/>
          <w:i/>
          <w:iCs/>
          <w:sz w:val="24"/>
          <w:szCs w:val="24"/>
          <w:lang w:val="en-US"/>
        </w:rPr>
        <w:t>American Journal of Veterinary Research</w:t>
      </w:r>
      <w:r w:rsidRPr="00A518CC">
        <w:rPr>
          <w:rFonts w:ascii="Times New Roman" w:hAnsi="Times New Roman"/>
          <w:sz w:val="24"/>
          <w:szCs w:val="24"/>
          <w:lang w:val="en-US"/>
        </w:rPr>
        <w:t xml:space="preserve">, </w:t>
      </w:r>
      <w:r w:rsidRPr="00A518CC">
        <w:rPr>
          <w:rFonts w:ascii="Times New Roman" w:hAnsi="Times New Roman"/>
          <w:b/>
          <w:sz w:val="24"/>
          <w:szCs w:val="24"/>
          <w:lang w:val="en-US"/>
        </w:rPr>
        <w:t>72,</w:t>
      </w:r>
      <w:r w:rsidRPr="00A518CC">
        <w:rPr>
          <w:rFonts w:ascii="Times New Roman" w:hAnsi="Times New Roman"/>
          <w:sz w:val="24"/>
          <w:szCs w:val="24"/>
          <w:lang w:val="en-US"/>
        </w:rPr>
        <w:t xml:space="preserve"> 1378–1385.</w:t>
      </w:r>
    </w:p>
    <w:p w:rsidR="00B41C1C" w:rsidRPr="00A518CC" w:rsidRDefault="00B41C1C" w:rsidP="00B41C1C">
      <w:pPr>
        <w:pStyle w:val="NormalWeb"/>
        <w:spacing w:line="360" w:lineRule="auto"/>
        <w:ind w:left="480" w:hanging="480"/>
        <w:rPr>
          <w:rFonts w:ascii="Times New Roman" w:hAnsi="Times New Roman"/>
          <w:sz w:val="24"/>
          <w:szCs w:val="24"/>
          <w:lang w:val="en-US"/>
        </w:rPr>
      </w:pPr>
      <w:r w:rsidRPr="00A518CC">
        <w:rPr>
          <w:rFonts w:ascii="Times New Roman" w:hAnsi="Times New Roman"/>
          <w:sz w:val="24"/>
          <w:szCs w:val="24"/>
          <w:lang w:val="en-US"/>
        </w:rPr>
        <w:t xml:space="preserve">Dimaio Knych, H.K., Steffey, E.P. &amp; Stanley, S.D. (2011). </w:t>
      </w:r>
      <w:proofErr w:type="gramStart"/>
      <w:r w:rsidRPr="00A518CC">
        <w:rPr>
          <w:rFonts w:ascii="Times New Roman" w:hAnsi="Times New Roman"/>
          <w:sz w:val="24"/>
          <w:szCs w:val="24"/>
          <w:lang w:val="en-US"/>
        </w:rPr>
        <w:t>Pharmacokinetics and pharmacodynamics of three intravenous doses of yohimbine in the horse.</w:t>
      </w:r>
      <w:proofErr w:type="gramEnd"/>
      <w:r w:rsidRPr="00A518CC">
        <w:rPr>
          <w:rFonts w:ascii="Times New Roman" w:hAnsi="Times New Roman"/>
          <w:sz w:val="24"/>
          <w:szCs w:val="24"/>
          <w:lang w:val="en-US"/>
        </w:rPr>
        <w:t xml:space="preserve"> </w:t>
      </w:r>
      <w:r w:rsidRPr="00A518CC">
        <w:rPr>
          <w:rFonts w:ascii="Times New Roman" w:hAnsi="Times New Roman"/>
          <w:i/>
          <w:iCs/>
          <w:sz w:val="24"/>
          <w:szCs w:val="24"/>
          <w:lang w:val="en-US"/>
        </w:rPr>
        <w:t>Journal of Veterinary Pharmacology and Therapeutics</w:t>
      </w:r>
      <w:r w:rsidRPr="00A518CC">
        <w:rPr>
          <w:rFonts w:ascii="Times New Roman" w:hAnsi="Times New Roman"/>
          <w:sz w:val="24"/>
          <w:szCs w:val="24"/>
          <w:lang w:val="en-US"/>
        </w:rPr>
        <w:t xml:space="preserve">, </w:t>
      </w:r>
      <w:r w:rsidRPr="00A518CC">
        <w:rPr>
          <w:rFonts w:ascii="Times New Roman" w:hAnsi="Times New Roman"/>
          <w:b/>
          <w:sz w:val="24"/>
          <w:szCs w:val="24"/>
          <w:lang w:val="en-US"/>
        </w:rPr>
        <w:t>34,</w:t>
      </w:r>
      <w:r w:rsidRPr="00A518CC">
        <w:rPr>
          <w:rFonts w:ascii="Times New Roman" w:hAnsi="Times New Roman"/>
          <w:sz w:val="24"/>
          <w:szCs w:val="24"/>
          <w:lang w:val="en-US"/>
        </w:rPr>
        <w:t xml:space="preserve"> 359–366.</w:t>
      </w:r>
    </w:p>
    <w:p w:rsidR="00B41C1C" w:rsidRPr="00A518CC" w:rsidRDefault="00B41C1C" w:rsidP="00B41C1C">
      <w:pPr>
        <w:pStyle w:val="NormalWeb"/>
        <w:spacing w:line="360" w:lineRule="auto"/>
        <w:ind w:left="480" w:hanging="480"/>
        <w:rPr>
          <w:rFonts w:ascii="Times New Roman" w:hAnsi="Times New Roman"/>
          <w:sz w:val="24"/>
          <w:szCs w:val="24"/>
          <w:lang w:val="en-US"/>
        </w:rPr>
      </w:pPr>
      <w:r w:rsidRPr="00A518CC">
        <w:rPr>
          <w:rFonts w:ascii="Times New Roman" w:hAnsi="Times New Roman"/>
          <w:sz w:val="24"/>
          <w:szCs w:val="24"/>
          <w:lang w:val="en-US"/>
        </w:rPr>
        <w:t xml:space="preserve">Grimsrud, K.N., Mama, K.R., Thomasy, S.M. &amp; Stanley S.D. (2009) Pharmacokinetics of detomidine and its metabolites following intravenous and intramuscular administration in horses. </w:t>
      </w:r>
      <w:r w:rsidRPr="00A518CC">
        <w:rPr>
          <w:rFonts w:ascii="Times New Roman" w:hAnsi="Times New Roman"/>
          <w:i/>
          <w:sz w:val="24"/>
          <w:szCs w:val="24"/>
          <w:lang w:val="en-US"/>
        </w:rPr>
        <w:t>Equine Veterinary Journal,</w:t>
      </w:r>
      <w:r w:rsidRPr="00A518CC">
        <w:rPr>
          <w:rFonts w:ascii="Times New Roman" w:hAnsi="Times New Roman"/>
          <w:sz w:val="24"/>
          <w:szCs w:val="24"/>
          <w:lang w:val="en-US"/>
        </w:rPr>
        <w:t xml:space="preserve"> </w:t>
      </w:r>
      <w:r w:rsidRPr="00A518CC">
        <w:rPr>
          <w:rFonts w:ascii="Times New Roman" w:hAnsi="Times New Roman"/>
          <w:b/>
          <w:sz w:val="24"/>
          <w:szCs w:val="24"/>
          <w:lang w:val="en-US"/>
        </w:rPr>
        <w:t>41,</w:t>
      </w:r>
      <w:r w:rsidRPr="00A518CC">
        <w:rPr>
          <w:rFonts w:ascii="Times New Roman" w:hAnsi="Times New Roman"/>
          <w:sz w:val="24"/>
          <w:szCs w:val="24"/>
          <w:lang w:val="en-US"/>
        </w:rPr>
        <w:t xml:space="preserve"> 361–365.</w:t>
      </w:r>
    </w:p>
    <w:p w:rsidR="00B41C1C" w:rsidRPr="00A518CC" w:rsidRDefault="00B41C1C" w:rsidP="00B41C1C">
      <w:pPr>
        <w:pStyle w:val="NormalWeb"/>
        <w:spacing w:line="360" w:lineRule="auto"/>
        <w:ind w:left="480" w:hanging="480"/>
        <w:rPr>
          <w:rFonts w:ascii="Times New Roman" w:hAnsi="Times New Roman"/>
          <w:sz w:val="24"/>
          <w:szCs w:val="24"/>
          <w:lang w:val="en-US"/>
        </w:rPr>
      </w:pPr>
      <w:r w:rsidRPr="00A518CC">
        <w:rPr>
          <w:rFonts w:ascii="Times New Roman" w:hAnsi="Times New Roman"/>
          <w:sz w:val="24"/>
          <w:szCs w:val="24"/>
          <w:lang w:val="en-US"/>
        </w:rPr>
        <w:lastRenderedPageBreak/>
        <w:t xml:space="preserve">Hubbel, J.A.E., Sams, R.A., Schmall, M.L., Robertson, T., Hinchcliff, K. W., Muir, W. W. (2009) Pharmacokinetics of detomidine administered to horses at rest and after maximal exercise. </w:t>
      </w:r>
      <w:r w:rsidRPr="00A518CC">
        <w:rPr>
          <w:rFonts w:ascii="Times New Roman" w:hAnsi="Times New Roman"/>
          <w:i/>
          <w:sz w:val="24"/>
          <w:szCs w:val="24"/>
          <w:lang w:val="en-US"/>
        </w:rPr>
        <w:t>Equine Veterinary Journal,</w:t>
      </w:r>
      <w:r w:rsidRPr="00A518CC">
        <w:rPr>
          <w:rFonts w:ascii="Times New Roman" w:hAnsi="Times New Roman"/>
          <w:sz w:val="24"/>
          <w:szCs w:val="24"/>
          <w:lang w:val="en-US"/>
        </w:rPr>
        <w:t xml:space="preserve"> </w:t>
      </w:r>
      <w:r w:rsidRPr="00A518CC">
        <w:rPr>
          <w:rFonts w:ascii="Times New Roman" w:hAnsi="Times New Roman"/>
          <w:b/>
          <w:sz w:val="24"/>
          <w:szCs w:val="24"/>
          <w:lang w:val="en-US"/>
        </w:rPr>
        <w:t>41,</w:t>
      </w:r>
      <w:r w:rsidRPr="00A518CC">
        <w:rPr>
          <w:rFonts w:ascii="Times New Roman" w:hAnsi="Times New Roman"/>
          <w:sz w:val="24"/>
          <w:szCs w:val="24"/>
          <w:lang w:val="en-US"/>
        </w:rPr>
        <w:t xml:space="preserve"> 419–422.</w:t>
      </w:r>
    </w:p>
    <w:p w:rsidR="00B41C1C" w:rsidRPr="00A518CC" w:rsidRDefault="00B41C1C" w:rsidP="00B41C1C">
      <w:pPr>
        <w:pStyle w:val="NormalWeb"/>
        <w:spacing w:line="360" w:lineRule="auto"/>
        <w:ind w:left="480" w:hanging="480"/>
        <w:rPr>
          <w:rFonts w:ascii="Times New Roman" w:hAnsi="Times New Roman"/>
          <w:sz w:val="24"/>
          <w:szCs w:val="24"/>
          <w:lang w:val="en-US"/>
        </w:rPr>
      </w:pPr>
      <w:r w:rsidRPr="00A518CC">
        <w:rPr>
          <w:rFonts w:ascii="Times New Roman" w:hAnsi="Times New Roman"/>
          <w:sz w:val="24"/>
          <w:szCs w:val="24"/>
          <w:lang w:val="en-US"/>
        </w:rPr>
        <w:t xml:space="preserve">Hubbell, J.A.E., Muir, W.W. (2006) Antagonism of detomidine sedation in the horse using intravenous tolazoline or atipamezole. </w:t>
      </w:r>
      <w:r w:rsidRPr="00A518CC">
        <w:rPr>
          <w:rFonts w:ascii="Times New Roman" w:hAnsi="Times New Roman"/>
          <w:i/>
          <w:sz w:val="24"/>
          <w:szCs w:val="24"/>
          <w:lang w:val="en-US"/>
        </w:rPr>
        <w:t xml:space="preserve">Equine Veterinary Journal, </w:t>
      </w:r>
      <w:r w:rsidRPr="00A518CC">
        <w:rPr>
          <w:rFonts w:ascii="Times New Roman" w:hAnsi="Times New Roman"/>
          <w:b/>
          <w:sz w:val="24"/>
          <w:szCs w:val="24"/>
          <w:lang w:val="en-US"/>
        </w:rPr>
        <w:t>38,</w:t>
      </w:r>
      <w:r w:rsidRPr="00A518CC">
        <w:rPr>
          <w:rFonts w:ascii="Times New Roman" w:hAnsi="Times New Roman"/>
          <w:sz w:val="24"/>
          <w:szCs w:val="24"/>
          <w:lang w:val="en-US"/>
        </w:rPr>
        <w:t xml:space="preserve"> 238–241.</w:t>
      </w:r>
    </w:p>
    <w:p w:rsidR="00B41C1C" w:rsidRPr="00A518CC" w:rsidRDefault="00B41C1C" w:rsidP="00B41C1C">
      <w:pPr>
        <w:pStyle w:val="NormalWeb"/>
        <w:spacing w:line="360" w:lineRule="auto"/>
        <w:ind w:left="480" w:hanging="480"/>
        <w:rPr>
          <w:rFonts w:ascii="Times New Roman" w:hAnsi="Times New Roman"/>
          <w:sz w:val="24"/>
          <w:szCs w:val="24"/>
          <w:lang w:val="en-US"/>
        </w:rPr>
      </w:pPr>
      <w:proofErr w:type="gramStart"/>
      <w:r w:rsidRPr="00A518CC">
        <w:rPr>
          <w:rFonts w:ascii="Times New Roman" w:hAnsi="Times New Roman"/>
          <w:sz w:val="24"/>
          <w:szCs w:val="24"/>
          <w:lang w:val="en-US"/>
        </w:rPr>
        <w:t>Jernigan, A. D. Wilson, R.C., Booth, N.H., Hatch, R.C. &amp; Akbari, A. (1988).</w:t>
      </w:r>
      <w:proofErr w:type="gramEnd"/>
      <w:r w:rsidRPr="00A518CC">
        <w:rPr>
          <w:rFonts w:ascii="Times New Roman" w:hAnsi="Times New Roman"/>
          <w:sz w:val="24"/>
          <w:szCs w:val="24"/>
          <w:lang w:val="en-US"/>
        </w:rPr>
        <w:t xml:space="preserve"> Comparative pharmacokinetics of yohimbine in steers, horses and dogs. </w:t>
      </w:r>
      <w:r w:rsidRPr="00A518CC">
        <w:rPr>
          <w:rFonts w:ascii="Times New Roman" w:hAnsi="Times New Roman"/>
          <w:i/>
          <w:iCs/>
          <w:sz w:val="24"/>
          <w:szCs w:val="24"/>
          <w:lang w:val="en-US"/>
        </w:rPr>
        <w:t>Canadian Journal of Veterinary Research</w:t>
      </w:r>
      <w:r w:rsidRPr="00A518CC">
        <w:rPr>
          <w:rFonts w:ascii="Times New Roman" w:hAnsi="Times New Roman"/>
          <w:sz w:val="24"/>
          <w:szCs w:val="24"/>
          <w:lang w:val="en-US"/>
        </w:rPr>
        <w:t xml:space="preserve">, </w:t>
      </w:r>
      <w:r w:rsidRPr="00A518CC">
        <w:rPr>
          <w:rFonts w:ascii="Times New Roman" w:hAnsi="Times New Roman"/>
          <w:b/>
          <w:sz w:val="24"/>
          <w:szCs w:val="24"/>
          <w:lang w:val="en-US"/>
        </w:rPr>
        <w:t xml:space="preserve">52, </w:t>
      </w:r>
      <w:r w:rsidRPr="00A518CC">
        <w:rPr>
          <w:rFonts w:ascii="Times New Roman" w:hAnsi="Times New Roman"/>
          <w:sz w:val="24"/>
          <w:szCs w:val="24"/>
          <w:lang w:val="en-US"/>
        </w:rPr>
        <w:t>172–176.</w:t>
      </w:r>
    </w:p>
    <w:p w:rsidR="00B41C1C" w:rsidRPr="00A518CC" w:rsidRDefault="00B41C1C" w:rsidP="00B41C1C">
      <w:pPr>
        <w:pStyle w:val="NormalWeb"/>
        <w:spacing w:line="360" w:lineRule="auto"/>
        <w:ind w:left="480" w:hanging="480"/>
        <w:rPr>
          <w:rFonts w:ascii="Times New Roman" w:hAnsi="Times New Roman"/>
          <w:sz w:val="24"/>
          <w:szCs w:val="24"/>
          <w:lang w:val="en-US"/>
        </w:rPr>
      </w:pPr>
      <w:proofErr w:type="gramStart"/>
      <w:r w:rsidRPr="00A518CC">
        <w:rPr>
          <w:rFonts w:ascii="Times New Roman" w:hAnsi="Times New Roman"/>
          <w:sz w:val="24"/>
          <w:szCs w:val="24"/>
          <w:lang w:val="en-US"/>
        </w:rPr>
        <w:t>Jochle, W. &amp; Hamm, D. (1986) Sedation and analgesia with Domosedan (detomidine hydrochloride) in horses.</w:t>
      </w:r>
      <w:proofErr w:type="gramEnd"/>
      <w:r w:rsidRPr="00A518CC">
        <w:rPr>
          <w:rFonts w:ascii="Times New Roman" w:hAnsi="Times New Roman"/>
          <w:sz w:val="24"/>
          <w:szCs w:val="24"/>
          <w:lang w:val="en-US"/>
        </w:rPr>
        <w:t xml:space="preserve"> </w:t>
      </w:r>
      <w:r w:rsidRPr="00A518CC">
        <w:rPr>
          <w:rFonts w:ascii="Times New Roman" w:hAnsi="Times New Roman"/>
          <w:i/>
          <w:sz w:val="24"/>
          <w:szCs w:val="24"/>
          <w:lang w:val="en-US"/>
        </w:rPr>
        <w:t xml:space="preserve">Acta Veterinaria Scandinavica, </w:t>
      </w:r>
      <w:r w:rsidRPr="00A518CC">
        <w:rPr>
          <w:rFonts w:ascii="Times New Roman" w:hAnsi="Times New Roman"/>
          <w:b/>
          <w:i/>
          <w:sz w:val="24"/>
          <w:szCs w:val="24"/>
          <w:lang w:val="en-US"/>
        </w:rPr>
        <w:t>82,</w:t>
      </w:r>
      <w:r w:rsidRPr="00A518CC">
        <w:rPr>
          <w:rFonts w:ascii="Times New Roman" w:hAnsi="Times New Roman"/>
          <w:i/>
          <w:sz w:val="24"/>
          <w:szCs w:val="24"/>
          <w:lang w:val="en-US"/>
        </w:rPr>
        <w:t xml:space="preserve"> </w:t>
      </w:r>
      <w:r w:rsidRPr="00A518CC">
        <w:rPr>
          <w:rFonts w:ascii="Times New Roman" w:hAnsi="Times New Roman"/>
          <w:sz w:val="24"/>
          <w:szCs w:val="24"/>
          <w:lang w:val="en-US"/>
        </w:rPr>
        <w:t>69–84.</w:t>
      </w:r>
    </w:p>
    <w:p w:rsidR="00B41C1C" w:rsidRPr="00A518CC" w:rsidRDefault="00B41C1C" w:rsidP="00B41C1C">
      <w:pPr>
        <w:pStyle w:val="NormalWeb"/>
        <w:spacing w:line="360" w:lineRule="auto"/>
        <w:ind w:left="480" w:hanging="480"/>
        <w:rPr>
          <w:rFonts w:ascii="Times New Roman" w:hAnsi="Times New Roman"/>
          <w:sz w:val="24"/>
          <w:szCs w:val="24"/>
          <w:lang w:val="en-US"/>
        </w:rPr>
      </w:pPr>
      <w:r w:rsidRPr="00A518CC">
        <w:rPr>
          <w:rFonts w:ascii="Times New Roman" w:hAnsi="Times New Roman"/>
          <w:sz w:val="24"/>
          <w:szCs w:val="24"/>
          <w:lang w:val="en-US"/>
        </w:rPr>
        <w:t xml:space="preserve">Kaukinen, H., Aspegrén, J., Hyppä, S., Tamm, L. &amp; Salonen, J.S. (2010) Bioavailability of detomidine administered sublingually to horses as an oromucosal gel. </w:t>
      </w:r>
      <w:r w:rsidRPr="00A518CC">
        <w:rPr>
          <w:rFonts w:ascii="Times New Roman" w:hAnsi="Times New Roman"/>
          <w:i/>
          <w:sz w:val="24"/>
          <w:szCs w:val="24"/>
          <w:lang w:val="en-US"/>
        </w:rPr>
        <w:t>Journal of Veterinary Pharmacology and Therapeutics</w:t>
      </w:r>
      <w:r w:rsidRPr="00A518CC">
        <w:rPr>
          <w:rFonts w:ascii="Times New Roman" w:hAnsi="Times New Roman"/>
          <w:sz w:val="24"/>
          <w:szCs w:val="24"/>
          <w:lang w:val="en-US"/>
        </w:rPr>
        <w:t xml:space="preserve"> </w:t>
      </w:r>
      <w:r w:rsidRPr="00A518CC">
        <w:rPr>
          <w:rFonts w:ascii="Times New Roman" w:hAnsi="Times New Roman"/>
          <w:b/>
          <w:sz w:val="24"/>
          <w:szCs w:val="24"/>
          <w:lang w:val="en-US"/>
        </w:rPr>
        <w:t xml:space="preserve">34, </w:t>
      </w:r>
      <w:r w:rsidRPr="00A518CC">
        <w:rPr>
          <w:rFonts w:ascii="Times New Roman" w:hAnsi="Times New Roman"/>
          <w:sz w:val="24"/>
          <w:szCs w:val="24"/>
          <w:lang w:val="en-US"/>
        </w:rPr>
        <w:t>76–81.</w:t>
      </w:r>
    </w:p>
    <w:p w:rsidR="00B41C1C" w:rsidRPr="00A518CC" w:rsidRDefault="00B41C1C" w:rsidP="00B41C1C">
      <w:pPr>
        <w:pStyle w:val="NormalWeb"/>
        <w:spacing w:line="360" w:lineRule="auto"/>
        <w:ind w:left="480" w:hanging="480"/>
        <w:rPr>
          <w:rFonts w:ascii="Times New Roman" w:hAnsi="Times New Roman"/>
          <w:sz w:val="24"/>
          <w:szCs w:val="24"/>
          <w:lang w:val="en-US"/>
        </w:rPr>
      </w:pPr>
      <w:r w:rsidRPr="00A518CC">
        <w:rPr>
          <w:rFonts w:ascii="Times New Roman" w:hAnsi="Times New Roman"/>
          <w:sz w:val="24"/>
          <w:szCs w:val="24"/>
          <w:lang w:val="en-US"/>
        </w:rPr>
        <w:t xml:space="preserve">Kaukinen, H., Aspegrén, J., Hyyppä, S., Tamm, L., Salonen, J.S. (2011). Bioavailability of detomidine administered sublingually to horses as an oromucosal gel. </w:t>
      </w:r>
      <w:r w:rsidRPr="00A518CC">
        <w:rPr>
          <w:rFonts w:ascii="Times New Roman" w:hAnsi="Times New Roman"/>
          <w:i/>
          <w:iCs/>
          <w:sz w:val="24"/>
          <w:szCs w:val="24"/>
          <w:lang w:val="en-US"/>
        </w:rPr>
        <w:t>Journal of Veterinary Pharmacology and Therapeutics</w:t>
      </w:r>
      <w:r w:rsidRPr="00A518CC">
        <w:rPr>
          <w:rFonts w:ascii="Times New Roman" w:hAnsi="Times New Roman"/>
          <w:sz w:val="24"/>
          <w:szCs w:val="24"/>
          <w:lang w:val="en-US"/>
        </w:rPr>
        <w:t xml:space="preserve">, </w:t>
      </w:r>
      <w:r w:rsidRPr="00A518CC">
        <w:rPr>
          <w:rFonts w:ascii="Times New Roman" w:hAnsi="Times New Roman"/>
          <w:b/>
          <w:sz w:val="24"/>
          <w:szCs w:val="24"/>
          <w:lang w:val="en-US"/>
        </w:rPr>
        <w:t>34,</w:t>
      </w:r>
      <w:r w:rsidRPr="00A518CC">
        <w:rPr>
          <w:rFonts w:ascii="Times New Roman" w:hAnsi="Times New Roman"/>
          <w:sz w:val="24"/>
          <w:szCs w:val="24"/>
          <w:lang w:val="en-US"/>
        </w:rPr>
        <w:t xml:space="preserve"> 76–81.</w:t>
      </w:r>
    </w:p>
    <w:p w:rsidR="00B41C1C" w:rsidRPr="00A518CC" w:rsidRDefault="00B41C1C" w:rsidP="00B41C1C">
      <w:pPr>
        <w:pStyle w:val="NormalWeb"/>
        <w:spacing w:line="360" w:lineRule="auto"/>
        <w:ind w:left="480" w:hanging="480"/>
        <w:rPr>
          <w:rFonts w:ascii="Times New Roman" w:hAnsi="Times New Roman"/>
          <w:sz w:val="24"/>
          <w:szCs w:val="24"/>
          <w:lang w:val="en-US"/>
        </w:rPr>
      </w:pPr>
      <w:r w:rsidRPr="00A518CC">
        <w:rPr>
          <w:rFonts w:ascii="Times New Roman" w:hAnsi="Times New Roman"/>
          <w:sz w:val="24"/>
          <w:szCs w:val="24"/>
          <w:lang w:val="en-US"/>
        </w:rPr>
        <w:t xml:space="preserve">Knych, H.K. &amp; Stanley, S.D. (2014) Effects of three antagonists on selected pharmacodynamic effects of sublingually administered detomidine in the horse. </w:t>
      </w:r>
      <w:r w:rsidRPr="00A518CC">
        <w:rPr>
          <w:rFonts w:ascii="Times New Roman" w:hAnsi="Times New Roman"/>
          <w:i/>
          <w:iCs/>
          <w:sz w:val="24"/>
          <w:szCs w:val="24"/>
          <w:lang w:val="en-US"/>
        </w:rPr>
        <w:t>Veterinary Anaesthesia and Analgesia</w:t>
      </w:r>
      <w:r w:rsidRPr="00A518CC">
        <w:rPr>
          <w:rFonts w:ascii="Times New Roman" w:hAnsi="Times New Roman"/>
          <w:sz w:val="24"/>
          <w:szCs w:val="24"/>
          <w:lang w:val="en-US"/>
        </w:rPr>
        <w:t xml:space="preserve">, </w:t>
      </w:r>
      <w:r w:rsidRPr="00A518CC">
        <w:rPr>
          <w:rFonts w:ascii="Times New Roman" w:hAnsi="Times New Roman"/>
          <w:b/>
          <w:sz w:val="24"/>
          <w:szCs w:val="24"/>
          <w:lang w:val="en-US"/>
        </w:rPr>
        <w:t>41,</w:t>
      </w:r>
      <w:r w:rsidRPr="00A518CC">
        <w:rPr>
          <w:rFonts w:ascii="Times New Roman" w:hAnsi="Times New Roman"/>
          <w:sz w:val="24"/>
          <w:szCs w:val="24"/>
          <w:lang w:val="en-US"/>
        </w:rPr>
        <w:t xml:space="preserve"> 36–47.</w:t>
      </w:r>
    </w:p>
    <w:p w:rsidR="00B41C1C" w:rsidRPr="00A518CC" w:rsidRDefault="00B41C1C" w:rsidP="00B41C1C">
      <w:pPr>
        <w:pStyle w:val="NormalWeb"/>
        <w:spacing w:line="360" w:lineRule="auto"/>
        <w:ind w:left="480" w:hanging="480"/>
        <w:rPr>
          <w:rFonts w:ascii="Times New Roman" w:hAnsi="Times New Roman"/>
          <w:b/>
          <w:sz w:val="24"/>
          <w:szCs w:val="24"/>
          <w:lang w:val="en-US"/>
        </w:rPr>
      </w:pPr>
      <w:r w:rsidRPr="00A518CC">
        <w:rPr>
          <w:rFonts w:ascii="Times New Roman" w:hAnsi="Times New Roman"/>
          <w:sz w:val="24"/>
          <w:szCs w:val="24"/>
          <w:lang w:val="en-US"/>
        </w:rPr>
        <w:t xml:space="preserve">Knych, H.K., Steffey, E.P. &amp; Stanley, S.D. (2012) </w:t>
      </w:r>
      <w:proofErr w:type="gramStart"/>
      <w:r w:rsidRPr="00A518CC">
        <w:rPr>
          <w:rFonts w:ascii="Times New Roman" w:hAnsi="Times New Roman"/>
          <w:sz w:val="24"/>
          <w:szCs w:val="24"/>
          <w:lang w:val="en-US"/>
        </w:rPr>
        <w:t>The</w:t>
      </w:r>
      <w:proofErr w:type="gramEnd"/>
      <w:r w:rsidRPr="00A518CC">
        <w:rPr>
          <w:rFonts w:ascii="Times New Roman" w:hAnsi="Times New Roman"/>
          <w:sz w:val="24"/>
          <w:szCs w:val="24"/>
          <w:lang w:val="en-US"/>
        </w:rPr>
        <w:t xml:space="preserve"> effects of yohimbine on the pharmacokinetic parameters of detomidine in the horse. </w:t>
      </w:r>
      <w:r w:rsidRPr="00A518CC">
        <w:rPr>
          <w:rFonts w:ascii="Times New Roman" w:hAnsi="Times New Roman"/>
          <w:i/>
          <w:iCs/>
          <w:sz w:val="24"/>
          <w:szCs w:val="24"/>
          <w:lang w:val="en-US"/>
        </w:rPr>
        <w:t>Veterinary Anaesthesia and Analgesia</w:t>
      </w:r>
      <w:r w:rsidRPr="00A518CC">
        <w:rPr>
          <w:rFonts w:ascii="Times New Roman" w:hAnsi="Times New Roman"/>
          <w:sz w:val="24"/>
          <w:szCs w:val="24"/>
          <w:lang w:val="en-US"/>
        </w:rPr>
        <w:t xml:space="preserve">, </w:t>
      </w:r>
      <w:r w:rsidRPr="00A518CC">
        <w:rPr>
          <w:rFonts w:ascii="Times New Roman" w:hAnsi="Times New Roman"/>
          <w:b/>
          <w:sz w:val="24"/>
          <w:szCs w:val="24"/>
          <w:lang w:val="en-US"/>
        </w:rPr>
        <w:t>39,</w:t>
      </w:r>
      <w:r w:rsidRPr="00A518CC">
        <w:rPr>
          <w:rFonts w:ascii="Times New Roman" w:hAnsi="Times New Roman"/>
          <w:sz w:val="24"/>
          <w:szCs w:val="24"/>
          <w:lang w:val="en-US"/>
        </w:rPr>
        <w:t xml:space="preserve"> 221–229.</w:t>
      </w:r>
    </w:p>
    <w:p w:rsidR="00B41C1C" w:rsidRPr="00A518CC" w:rsidRDefault="00B41C1C" w:rsidP="00B41C1C">
      <w:pPr>
        <w:pStyle w:val="NormalWeb"/>
        <w:spacing w:line="360" w:lineRule="auto"/>
        <w:ind w:left="480" w:hanging="480"/>
        <w:rPr>
          <w:rFonts w:ascii="Times New Roman" w:hAnsi="Times New Roman"/>
          <w:sz w:val="24"/>
          <w:szCs w:val="24"/>
          <w:lang w:val="en-US"/>
        </w:rPr>
      </w:pPr>
      <w:r w:rsidRPr="00A518CC">
        <w:rPr>
          <w:rFonts w:ascii="Times New Roman" w:hAnsi="Times New Roman"/>
          <w:sz w:val="24"/>
          <w:szCs w:val="24"/>
          <w:lang w:val="en-US"/>
        </w:rPr>
        <w:t xml:space="preserve">Kamerling, S.G., Cravens, W.M.T. &amp; Bagwell, C.A. (1988) Objective assessment of detomidine-induced analgesia and sedation in the horse. </w:t>
      </w:r>
      <w:r w:rsidRPr="00A518CC">
        <w:rPr>
          <w:rFonts w:ascii="Times New Roman" w:hAnsi="Times New Roman"/>
          <w:i/>
          <w:sz w:val="24"/>
          <w:szCs w:val="24"/>
          <w:lang w:val="en-US"/>
        </w:rPr>
        <w:t>European Journal of Pharmacology</w:t>
      </w:r>
      <w:r w:rsidRPr="00A518CC">
        <w:rPr>
          <w:rFonts w:ascii="Times New Roman" w:hAnsi="Times New Roman"/>
          <w:sz w:val="24"/>
          <w:szCs w:val="24"/>
          <w:lang w:val="en-US"/>
        </w:rPr>
        <w:t xml:space="preserve">, </w:t>
      </w:r>
      <w:r w:rsidRPr="00A518CC">
        <w:rPr>
          <w:rFonts w:ascii="Times New Roman" w:hAnsi="Times New Roman"/>
          <w:b/>
          <w:sz w:val="24"/>
          <w:szCs w:val="24"/>
          <w:lang w:val="en-US"/>
        </w:rPr>
        <w:t>151,</w:t>
      </w:r>
      <w:r w:rsidRPr="00A518CC">
        <w:rPr>
          <w:rFonts w:ascii="Times New Roman" w:hAnsi="Times New Roman"/>
          <w:sz w:val="24"/>
          <w:szCs w:val="24"/>
          <w:lang w:val="en-US"/>
        </w:rPr>
        <w:t xml:space="preserve"> 1–8.</w:t>
      </w:r>
    </w:p>
    <w:p w:rsidR="00B41C1C" w:rsidRPr="00A518CC" w:rsidRDefault="00B41C1C" w:rsidP="00B41C1C">
      <w:pPr>
        <w:pStyle w:val="NormalWeb"/>
        <w:spacing w:line="360" w:lineRule="auto"/>
        <w:ind w:left="480" w:hanging="480"/>
        <w:rPr>
          <w:rFonts w:ascii="Times New Roman" w:hAnsi="Times New Roman"/>
          <w:sz w:val="24"/>
          <w:szCs w:val="24"/>
          <w:lang w:val="en-US"/>
        </w:rPr>
      </w:pPr>
      <w:r w:rsidRPr="00A518CC">
        <w:rPr>
          <w:rFonts w:ascii="Times New Roman" w:hAnsi="Times New Roman"/>
          <w:sz w:val="24"/>
          <w:szCs w:val="24"/>
          <w:lang w:val="en-US"/>
        </w:rPr>
        <w:lastRenderedPageBreak/>
        <w:t xml:space="preserve">Kollias-Baker, C.A., Court, M.H. &amp; Willimas, L.L. (1993) Influence of yohimbine and tolazoline on the cardiovascular, respiratory, and sedative effects of xylazine in the horse. Journal of Veterinary </w:t>
      </w:r>
      <w:proofErr w:type="gramStart"/>
      <w:r w:rsidRPr="00A518CC">
        <w:rPr>
          <w:rFonts w:ascii="Times New Roman" w:hAnsi="Times New Roman"/>
          <w:sz w:val="24"/>
          <w:szCs w:val="24"/>
          <w:lang w:val="en-US"/>
        </w:rPr>
        <w:t>Pharmacology  and</w:t>
      </w:r>
      <w:proofErr w:type="gramEnd"/>
      <w:r w:rsidRPr="00A518CC">
        <w:rPr>
          <w:rFonts w:ascii="Times New Roman" w:hAnsi="Times New Roman"/>
          <w:sz w:val="24"/>
          <w:szCs w:val="24"/>
          <w:lang w:val="en-US"/>
        </w:rPr>
        <w:t xml:space="preserve"> Therapeutics, </w:t>
      </w:r>
      <w:r w:rsidRPr="00A518CC">
        <w:rPr>
          <w:rFonts w:ascii="Times New Roman" w:hAnsi="Times New Roman"/>
          <w:b/>
          <w:sz w:val="24"/>
          <w:szCs w:val="24"/>
          <w:lang w:val="en-US"/>
        </w:rPr>
        <w:t>16,</w:t>
      </w:r>
      <w:r w:rsidRPr="00A518CC">
        <w:rPr>
          <w:rFonts w:ascii="Times New Roman" w:hAnsi="Times New Roman"/>
          <w:sz w:val="24"/>
          <w:szCs w:val="24"/>
          <w:lang w:val="en-US"/>
        </w:rPr>
        <w:t xml:space="preserve"> 350–358.</w:t>
      </w:r>
    </w:p>
    <w:p w:rsidR="00B41C1C" w:rsidRPr="00A518CC" w:rsidRDefault="00B41C1C" w:rsidP="00B41C1C">
      <w:pPr>
        <w:pStyle w:val="NormalWeb"/>
        <w:spacing w:line="360" w:lineRule="auto"/>
        <w:ind w:left="480" w:hanging="480"/>
        <w:rPr>
          <w:rFonts w:ascii="Times New Roman" w:hAnsi="Times New Roman"/>
          <w:sz w:val="24"/>
          <w:szCs w:val="24"/>
          <w:lang w:val="en-US"/>
        </w:rPr>
      </w:pPr>
      <w:proofErr w:type="gramStart"/>
      <w:r w:rsidRPr="00A518CC">
        <w:rPr>
          <w:rFonts w:ascii="Times New Roman" w:hAnsi="Times New Roman"/>
          <w:sz w:val="24"/>
          <w:szCs w:val="24"/>
          <w:lang w:val="en-US"/>
        </w:rPr>
        <w:t>LeCorre, P., Dollo, G., Chevanne, F. &amp; LeVerge, R. (1999) Biopharmaceutics and metabolism of yohimbine in humans.</w:t>
      </w:r>
      <w:proofErr w:type="gramEnd"/>
      <w:r w:rsidRPr="00A518CC">
        <w:rPr>
          <w:rFonts w:ascii="Times New Roman" w:hAnsi="Times New Roman"/>
          <w:sz w:val="24"/>
          <w:szCs w:val="24"/>
          <w:lang w:val="en-US"/>
        </w:rPr>
        <w:t xml:space="preserve"> </w:t>
      </w:r>
      <w:r w:rsidRPr="00A518CC">
        <w:rPr>
          <w:rFonts w:ascii="Times New Roman" w:hAnsi="Times New Roman"/>
          <w:i/>
          <w:sz w:val="24"/>
          <w:szCs w:val="24"/>
          <w:lang w:val="en-US"/>
        </w:rPr>
        <w:t>European Journal of Pharmaceutical Science</w:t>
      </w:r>
      <w:r w:rsidRPr="00A518CC">
        <w:rPr>
          <w:rFonts w:ascii="Times New Roman" w:hAnsi="Times New Roman"/>
          <w:sz w:val="24"/>
          <w:szCs w:val="24"/>
          <w:lang w:val="en-US"/>
        </w:rPr>
        <w:t xml:space="preserve">, </w:t>
      </w:r>
      <w:r w:rsidRPr="00A518CC">
        <w:rPr>
          <w:rFonts w:ascii="Times New Roman" w:hAnsi="Times New Roman"/>
          <w:b/>
          <w:sz w:val="24"/>
          <w:szCs w:val="24"/>
          <w:lang w:val="en-US"/>
        </w:rPr>
        <w:t xml:space="preserve">9, </w:t>
      </w:r>
      <w:r w:rsidRPr="00A518CC">
        <w:rPr>
          <w:rFonts w:ascii="Times New Roman" w:hAnsi="Times New Roman"/>
          <w:sz w:val="24"/>
          <w:szCs w:val="24"/>
          <w:lang w:val="en-US"/>
        </w:rPr>
        <w:t xml:space="preserve">79–84. </w:t>
      </w:r>
    </w:p>
    <w:p w:rsidR="00B41C1C" w:rsidRPr="00A518CC" w:rsidRDefault="00B41C1C" w:rsidP="00B41C1C">
      <w:pPr>
        <w:pStyle w:val="NormalWeb"/>
        <w:spacing w:line="360" w:lineRule="auto"/>
        <w:ind w:left="480" w:hanging="480"/>
        <w:rPr>
          <w:rFonts w:ascii="Times New Roman" w:hAnsi="Times New Roman"/>
          <w:sz w:val="24"/>
          <w:szCs w:val="24"/>
          <w:lang w:val="en-US"/>
        </w:rPr>
      </w:pPr>
      <w:r w:rsidRPr="00A518CC">
        <w:rPr>
          <w:rFonts w:ascii="Times New Roman" w:hAnsi="Times New Roman"/>
          <w:sz w:val="24"/>
          <w:szCs w:val="24"/>
          <w:lang w:val="en-US"/>
        </w:rPr>
        <w:t xml:space="preserve">Mama, K.R., Grimsrud, K., Snell, T. &amp; Stanley, S. (2009) Plasma concentrations, behavioural and physiologic effects following intravenous and intramuscular detomidine in horses. </w:t>
      </w:r>
      <w:r w:rsidRPr="00A518CC">
        <w:rPr>
          <w:rFonts w:ascii="Times New Roman" w:hAnsi="Times New Roman"/>
          <w:i/>
          <w:sz w:val="24"/>
          <w:szCs w:val="24"/>
          <w:lang w:val="en-US"/>
        </w:rPr>
        <w:t>Equine Veterinary Journal</w:t>
      </w:r>
      <w:r w:rsidRPr="00A518CC">
        <w:rPr>
          <w:rFonts w:ascii="Times New Roman" w:hAnsi="Times New Roman"/>
          <w:sz w:val="24"/>
          <w:szCs w:val="24"/>
          <w:lang w:val="en-US"/>
        </w:rPr>
        <w:t>,</w:t>
      </w:r>
      <w:r w:rsidRPr="00A518CC">
        <w:rPr>
          <w:rFonts w:ascii="Times New Roman" w:hAnsi="Times New Roman"/>
          <w:b/>
          <w:sz w:val="24"/>
          <w:szCs w:val="24"/>
          <w:lang w:val="en-US"/>
        </w:rPr>
        <w:t xml:space="preserve"> 41,</w:t>
      </w:r>
      <w:r w:rsidRPr="00A518CC">
        <w:rPr>
          <w:rFonts w:ascii="Times New Roman" w:hAnsi="Times New Roman"/>
          <w:sz w:val="24"/>
          <w:szCs w:val="24"/>
          <w:lang w:val="en-US"/>
        </w:rPr>
        <w:t xml:space="preserve"> 772–777.</w:t>
      </w:r>
    </w:p>
    <w:p w:rsidR="00B41C1C" w:rsidRPr="00A518CC" w:rsidRDefault="00B41C1C" w:rsidP="00B41C1C">
      <w:pPr>
        <w:pStyle w:val="NormalWeb"/>
        <w:spacing w:line="360" w:lineRule="auto"/>
        <w:ind w:left="480" w:hanging="480"/>
        <w:rPr>
          <w:rFonts w:ascii="Times New Roman" w:hAnsi="Times New Roman"/>
          <w:sz w:val="24"/>
          <w:szCs w:val="24"/>
          <w:lang w:val="en-US"/>
        </w:rPr>
      </w:pPr>
      <w:r w:rsidRPr="00A518CC">
        <w:rPr>
          <w:rFonts w:ascii="Times New Roman" w:hAnsi="Times New Roman"/>
          <w:sz w:val="24"/>
          <w:szCs w:val="24"/>
          <w:lang w:val="en-US"/>
        </w:rPr>
        <w:t>Oda, S., Fuji</w:t>
      </w:r>
      <w:proofErr w:type="gramStart"/>
      <w:r w:rsidRPr="00A518CC">
        <w:rPr>
          <w:rFonts w:ascii="Times New Roman" w:hAnsi="Times New Roman"/>
          <w:sz w:val="24"/>
          <w:szCs w:val="24"/>
          <w:lang w:val="en-US"/>
        </w:rPr>
        <w:t>,ura</w:t>
      </w:r>
      <w:proofErr w:type="gramEnd"/>
      <w:r w:rsidRPr="00A518CC">
        <w:rPr>
          <w:rFonts w:ascii="Times New Roman" w:hAnsi="Times New Roman"/>
          <w:sz w:val="24"/>
          <w:szCs w:val="24"/>
          <w:lang w:val="en-US"/>
        </w:rPr>
        <w:t xml:space="preserve">, H., Sasaki, Y. (1991) Alpha-2 adrenergic modulation of glucagon and insulin secretions in sheep. </w:t>
      </w:r>
      <w:r w:rsidRPr="00A518CC">
        <w:rPr>
          <w:rFonts w:ascii="Times New Roman" w:hAnsi="Times New Roman"/>
          <w:i/>
          <w:sz w:val="24"/>
          <w:szCs w:val="24"/>
          <w:lang w:val="en-US"/>
        </w:rPr>
        <w:t xml:space="preserve">Tohoku J Exp Med, </w:t>
      </w:r>
      <w:r w:rsidRPr="00A518CC">
        <w:rPr>
          <w:rFonts w:ascii="Times New Roman" w:hAnsi="Times New Roman"/>
          <w:b/>
          <w:sz w:val="24"/>
          <w:szCs w:val="24"/>
          <w:lang w:val="en-US"/>
        </w:rPr>
        <w:t>163,</w:t>
      </w:r>
      <w:r w:rsidRPr="00A518CC">
        <w:rPr>
          <w:rFonts w:ascii="Times New Roman" w:hAnsi="Times New Roman"/>
          <w:sz w:val="24"/>
          <w:szCs w:val="24"/>
          <w:lang w:val="en-US"/>
        </w:rPr>
        <w:t xml:space="preserve"> 101-110.</w:t>
      </w:r>
    </w:p>
    <w:p w:rsidR="00B41C1C" w:rsidRPr="00A518CC" w:rsidRDefault="00B41C1C" w:rsidP="00B41C1C">
      <w:pPr>
        <w:pStyle w:val="NormalWeb"/>
        <w:spacing w:line="360" w:lineRule="auto"/>
        <w:ind w:left="480" w:hanging="480"/>
        <w:rPr>
          <w:rFonts w:ascii="Times New Roman" w:hAnsi="Times New Roman"/>
          <w:sz w:val="24"/>
          <w:szCs w:val="24"/>
          <w:lang w:val="en-US"/>
        </w:rPr>
      </w:pPr>
      <w:proofErr w:type="gramStart"/>
      <w:r w:rsidRPr="00A518CC">
        <w:rPr>
          <w:rFonts w:ascii="Times New Roman" w:hAnsi="Times New Roman"/>
          <w:sz w:val="24"/>
          <w:szCs w:val="24"/>
          <w:lang w:val="en-US"/>
        </w:rPr>
        <w:t>Ramseyer B, Schmucker N, Schatzmann, U., Busato, A. &amp; Moens Y. (1998) Antagonism of detomidine sedation with atipamezole in horses.</w:t>
      </w:r>
      <w:proofErr w:type="gramEnd"/>
      <w:r w:rsidRPr="00A518CC">
        <w:rPr>
          <w:rFonts w:ascii="Times New Roman" w:hAnsi="Times New Roman"/>
          <w:sz w:val="24"/>
          <w:szCs w:val="24"/>
          <w:lang w:val="en-US"/>
        </w:rPr>
        <w:t xml:space="preserve"> J Vet Anaesth 25, 47–51.</w:t>
      </w:r>
    </w:p>
    <w:p w:rsidR="00B41C1C" w:rsidRPr="00A518CC" w:rsidRDefault="00B41C1C" w:rsidP="00B41C1C">
      <w:pPr>
        <w:pStyle w:val="NormalWeb"/>
        <w:spacing w:line="360" w:lineRule="auto"/>
        <w:ind w:left="480" w:hanging="480"/>
        <w:rPr>
          <w:rFonts w:ascii="Times New Roman" w:hAnsi="Times New Roman"/>
          <w:sz w:val="24"/>
          <w:szCs w:val="24"/>
          <w:lang w:val="en-US"/>
        </w:rPr>
      </w:pPr>
      <w:proofErr w:type="gramStart"/>
      <w:r w:rsidRPr="00A518CC">
        <w:rPr>
          <w:rFonts w:ascii="Times New Roman" w:hAnsi="Times New Roman"/>
          <w:sz w:val="24"/>
          <w:szCs w:val="24"/>
          <w:lang w:val="en-US"/>
        </w:rPr>
        <w:t>Salonen, J.S., Vähä-Vahe, T., Vainio.</w:t>
      </w:r>
      <w:proofErr w:type="gramEnd"/>
      <w:r w:rsidRPr="00A518CC">
        <w:rPr>
          <w:rFonts w:ascii="Times New Roman" w:hAnsi="Times New Roman"/>
          <w:sz w:val="24"/>
          <w:szCs w:val="24"/>
          <w:lang w:val="en-US"/>
        </w:rPr>
        <w:t xml:space="preserve"> </w:t>
      </w:r>
      <w:proofErr w:type="gramStart"/>
      <w:r w:rsidRPr="00A518CC">
        <w:rPr>
          <w:rFonts w:ascii="Times New Roman" w:hAnsi="Times New Roman"/>
          <w:sz w:val="24"/>
          <w:szCs w:val="24"/>
          <w:lang w:val="en-US"/>
        </w:rPr>
        <w:t>O. &amp; Vakkuri O. (1989) Single-dose pharmacokinetics of detomidine in the horse and cow.</w:t>
      </w:r>
      <w:proofErr w:type="gramEnd"/>
      <w:r w:rsidRPr="00A518CC">
        <w:rPr>
          <w:rFonts w:ascii="Times New Roman" w:hAnsi="Times New Roman"/>
          <w:sz w:val="24"/>
          <w:szCs w:val="24"/>
          <w:lang w:val="en-US"/>
        </w:rPr>
        <w:t xml:space="preserve"> </w:t>
      </w:r>
      <w:r w:rsidRPr="00A518CC">
        <w:rPr>
          <w:rFonts w:ascii="Times New Roman" w:hAnsi="Times New Roman"/>
          <w:i/>
          <w:sz w:val="24"/>
          <w:szCs w:val="24"/>
          <w:lang w:val="en-US"/>
        </w:rPr>
        <w:t>Journal of Veterinary Pharmacology and Therapeutics</w:t>
      </w:r>
      <w:r w:rsidRPr="00A518CC">
        <w:rPr>
          <w:rFonts w:ascii="Times New Roman" w:hAnsi="Times New Roman"/>
          <w:sz w:val="24"/>
          <w:szCs w:val="24"/>
          <w:lang w:val="en-US"/>
        </w:rPr>
        <w:t xml:space="preserve">, </w:t>
      </w:r>
      <w:r w:rsidRPr="00A518CC">
        <w:rPr>
          <w:rFonts w:ascii="Times New Roman" w:hAnsi="Times New Roman"/>
          <w:b/>
          <w:sz w:val="24"/>
          <w:szCs w:val="24"/>
          <w:lang w:val="en-US"/>
        </w:rPr>
        <w:t>12</w:t>
      </w:r>
      <w:r w:rsidRPr="00A518CC">
        <w:rPr>
          <w:rFonts w:ascii="Times New Roman" w:hAnsi="Times New Roman"/>
          <w:sz w:val="24"/>
          <w:szCs w:val="24"/>
          <w:lang w:val="en-US"/>
        </w:rPr>
        <w:t>, 65–72.</w:t>
      </w:r>
    </w:p>
    <w:p w:rsidR="00B41C1C" w:rsidRPr="00A518CC" w:rsidRDefault="00B41C1C" w:rsidP="00B41C1C">
      <w:pPr>
        <w:pStyle w:val="NormalWeb"/>
        <w:spacing w:line="360" w:lineRule="auto"/>
        <w:ind w:left="480" w:hanging="480"/>
        <w:rPr>
          <w:rFonts w:ascii="Times New Roman" w:hAnsi="Times New Roman"/>
          <w:sz w:val="24"/>
          <w:szCs w:val="24"/>
        </w:rPr>
        <w:sectPr w:rsidR="00B41C1C" w:rsidRPr="00A518CC" w:rsidSect="00B41C1C">
          <w:footerReference w:type="even" r:id="rId14"/>
          <w:footerReference w:type="default" r:id="rId15"/>
          <w:pgSz w:w="12240" w:h="15840"/>
          <w:pgMar w:top="1417" w:right="1701" w:bottom="1417" w:left="1701" w:header="708" w:footer="708" w:gutter="0"/>
          <w:cols w:space="708"/>
          <w:docGrid w:linePitch="360"/>
        </w:sectPr>
      </w:pPr>
      <w:proofErr w:type="gramStart"/>
      <w:r w:rsidRPr="00A518CC">
        <w:rPr>
          <w:rFonts w:ascii="Times New Roman" w:hAnsi="Times New Roman"/>
          <w:sz w:val="24"/>
          <w:szCs w:val="24"/>
          <w:lang w:val="en-US"/>
        </w:rPr>
        <w:t>Vainionpää, M.H., Raekallio, M.R., Pakkanen, S.A.E., Ranta-Panula, V., Valtteri, M.R., Scheinin, M. &amp; Outi M Vainio.</w:t>
      </w:r>
      <w:proofErr w:type="gramEnd"/>
      <w:r w:rsidRPr="00A518CC">
        <w:rPr>
          <w:rFonts w:ascii="Times New Roman" w:hAnsi="Times New Roman"/>
          <w:sz w:val="24"/>
          <w:szCs w:val="24"/>
          <w:lang w:val="en-US"/>
        </w:rPr>
        <w:t xml:space="preserve"> </w:t>
      </w:r>
      <w:proofErr w:type="gramStart"/>
      <w:r w:rsidRPr="00A518CC">
        <w:rPr>
          <w:rFonts w:ascii="Times New Roman" w:hAnsi="Times New Roman"/>
          <w:sz w:val="24"/>
          <w:szCs w:val="24"/>
          <w:lang w:val="en-US"/>
        </w:rPr>
        <w:t>(2013) Plasma drug concentrations and clinical effects of a peripheral alpha-2-adrenoceptor antagonist, MK-467, in horses sedated with detomidine.</w:t>
      </w:r>
      <w:proofErr w:type="gramEnd"/>
      <w:r w:rsidRPr="00A518CC">
        <w:rPr>
          <w:rFonts w:ascii="Times New Roman" w:hAnsi="Times New Roman"/>
          <w:sz w:val="24"/>
          <w:szCs w:val="24"/>
          <w:lang w:val="en-US"/>
        </w:rPr>
        <w:t xml:space="preserve"> </w:t>
      </w:r>
      <w:r w:rsidRPr="00A518CC">
        <w:rPr>
          <w:rFonts w:ascii="Times New Roman" w:hAnsi="Times New Roman"/>
          <w:i/>
          <w:iCs/>
          <w:sz w:val="24"/>
          <w:szCs w:val="24"/>
        </w:rPr>
        <w:t>Veterinary Anaesthesia and Analgesia</w:t>
      </w:r>
      <w:r w:rsidRPr="00A518CC">
        <w:rPr>
          <w:rFonts w:ascii="Times New Roman" w:hAnsi="Times New Roman"/>
          <w:sz w:val="24"/>
          <w:szCs w:val="24"/>
        </w:rPr>
        <w:t xml:space="preserve">, </w:t>
      </w:r>
      <w:r w:rsidRPr="00A518CC">
        <w:rPr>
          <w:rFonts w:ascii="Times New Roman" w:hAnsi="Times New Roman"/>
          <w:b/>
          <w:sz w:val="24"/>
          <w:szCs w:val="24"/>
        </w:rPr>
        <w:t xml:space="preserve">40, </w:t>
      </w:r>
      <w:r w:rsidRPr="00A518CC">
        <w:rPr>
          <w:rFonts w:ascii="Times New Roman" w:hAnsi="Times New Roman"/>
          <w:sz w:val="24"/>
          <w:szCs w:val="24"/>
        </w:rPr>
        <w:t>257–264.</w:t>
      </w:r>
    </w:p>
    <w:p w:rsidR="00B41C1C" w:rsidRPr="00A518CC" w:rsidRDefault="00B41C1C" w:rsidP="00B41C1C">
      <w:pPr>
        <w:spacing w:line="360" w:lineRule="auto"/>
        <w:rPr>
          <w:rFonts w:ascii="Times New Roman" w:hAnsi="Times New Roman"/>
          <w:sz w:val="24"/>
          <w:szCs w:val="24"/>
          <w:lang w:val="en-US"/>
        </w:rPr>
      </w:pPr>
      <w:proofErr w:type="gramStart"/>
      <w:r w:rsidRPr="00A518CC">
        <w:rPr>
          <w:rFonts w:ascii="Times New Roman" w:hAnsi="Times New Roman"/>
          <w:b/>
          <w:sz w:val="24"/>
          <w:szCs w:val="24"/>
          <w:lang w:val="en-US"/>
        </w:rPr>
        <w:lastRenderedPageBreak/>
        <w:t>Table 1.</w:t>
      </w:r>
      <w:proofErr w:type="gramEnd"/>
      <w:r w:rsidRPr="00A518CC">
        <w:rPr>
          <w:rFonts w:ascii="Times New Roman" w:hAnsi="Times New Roman"/>
          <w:sz w:val="24"/>
          <w:szCs w:val="24"/>
          <w:lang w:val="en-US"/>
        </w:rPr>
        <w:t xml:space="preserve"> </w:t>
      </w:r>
      <w:proofErr w:type="gramStart"/>
      <w:r w:rsidRPr="00A518CC">
        <w:rPr>
          <w:rFonts w:ascii="Times New Roman" w:hAnsi="Times New Roman"/>
          <w:sz w:val="24"/>
          <w:szCs w:val="24"/>
          <w:lang w:val="en-US"/>
        </w:rPr>
        <w:t>Effects of detomidine in horses on clinics, pharmacodynamics or pharmacokinetics parameters.</w:t>
      </w:r>
      <w:proofErr w:type="gramEnd"/>
    </w:p>
    <w:tbl>
      <w:tblPr>
        <w:tblStyle w:val="Tablaconcuadrcula"/>
        <w:tblW w:w="12866"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384"/>
        <w:gridCol w:w="1843"/>
        <w:gridCol w:w="2551"/>
        <w:gridCol w:w="1843"/>
        <w:gridCol w:w="2410"/>
        <w:gridCol w:w="2835"/>
      </w:tblGrid>
      <w:tr w:rsidR="00B41C1C" w:rsidRPr="00A518CC" w:rsidTr="00B41C1C">
        <w:tc>
          <w:tcPr>
            <w:tcW w:w="1384" w:type="dxa"/>
            <w:tcBorders>
              <w:top w:val="single" w:sz="4" w:space="0" w:color="auto"/>
              <w:bottom w:val="single" w:sz="4" w:space="0" w:color="auto"/>
            </w:tcBorders>
          </w:tcPr>
          <w:p w:rsidR="00B41C1C" w:rsidRPr="00A518CC" w:rsidRDefault="00B41C1C" w:rsidP="00B41C1C">
            <w:pPr>
              <w:spacing w:line="360" w:lineRule="auto"/>
              <w:jc w:val="center"/>
              <w:rPr>
                <w:rFonts w:ascii="Times New Roman" w:hAnsi="Times New Roman"/>
                <w:b/>
                <w:sz w:val="24"/>
                <w:szCs w:val="24"/>
                <w:lang w:val="en-GB"/>
              </w:rPr>
            </w:pPr>
            <w:r w:rsidRPr="00A518CC">
              <w:rPr>
                <w:rFonts w:ascii="Times New Roman" w:hAnsi="Times New Roman"/>
                <w:b/>
                <w:sz w:val="24"/>
                <w:szCs w:val="24"/>
                <w:lang w:val="en-GB"/>
              </w:rPr>
              <w:t xml:space="preserve">Authors </w:t>
            </w:r>
          </w:p>
        </w:tc>
        <w:tc>
          <w:tcPr>
            <w:tcW w:w="1843" w:type="dxa"/>
            <w:tcBorders>
              <w:top w:val="single" w:sz="4" w:space="0" w:color="auto"/>
              <w:bottom w:val="single" w:sz="4" w:space="0" w:color="auto"/>
            </w:tcBorders>
          </w:tcPr>
          <w:p w:rsidR="00B41C1C" w:rsidRPr="00A518CC" w:rsidRDefault="00B41C1C" w:rsidP="00B41C1C">
            <w:pPr>
              <w:spacing w:line="360" w:lineRule="auto"/>
              <w:jc w:val="center"/>
              <w:rPr>
                <w:rFonts w:ascii="Times New Roman" w:hAnsi="Times New Roman"/>
                <w:b/>
                <w:sz w:val="24"/>
                <w:szCs w:val="24"/>
                <w:lang w:val="en-GB"/>
              </w:rPr>
            </w:pPr>
            <w:r w:rsidRPr="00A518CC">
              <w:rPr>
                <w:rFonts w:ascii="Times New Roman" w:hAnsi="Times New Roman"/>
                <w:b/>
                <w:sz w:val="24"/>
                <w:szCs w:val="24"/>
                <w:lang w:val="en-GB"/>
              </w:rPr>
              <w:t xml:space="preserve">Objective </w:t>
            </w:r>
          </w:p>
        </w:tc>
        <w:tc>
          <w:tcPr>
            <w:tcW w:w="2551" w:type="dxa"/>
            <w:tcBorders>
              <w:top w:val="single" w:sz="4" w:space="0" w:color="auto"/>
              <w:bottom w:val="single" w:sz="4" w:space="0" w:color="auto"/>
            </w:tcBorders>
          </w:tcPr>
          <w:p w:rsidR="00B41C1C" w:rsidRPr="00A518CC" w:rsidRDefault="00B41C1C" w:rsidP="00B41C1C">
            <w:pPr>
              <w:spacing w:line="360" w:lineRule="auto"/>
              <w:jc w:val="center"/>
              <w:rPr>
                <w:rFonts w:ascii="Times New Roman" w:hAnsi="Times New Roman"/>
                <w:b/>
                <w:sz w:val="24"/>
                <w:szCs w:val="24"/>
                <w:lang w:val="en-GB"/>
              </w:rPr>
            </w:pPr>
            <w:r w:rsidRPr="00A518CC">
              <w:rPr>
                <w:rFonts w:ascii="Times New Roman" w:hAnsi="Times New Roman"/>
                <w:b/>
                <w:sz w:val="24"/>
                <w:szCs w:val="24"/>
                <w:lang w:val="en-GB"/>
              </w:rPr>
              <w:t>Experimental model</w:t>
            </w:r>
          </w:p>
        </w:tc>
        <w:tc>
          <w:tcPr>
            <w:tcW w:w="1843" w:type="dxa"/>
            <w:tcBorders>
              <w:top w:val="single" w:sz="4" w:space="0" w:color="auto"/>
              <w:bottom w:val="single" w:sz="4" w:space="0" w:color="auto"/>
            </w:tcBorders>
          </w:tcPr>
          <w:p w:rsidR="00B41C1C" w:rsidRPr="00A518CC" w:rsidRDefault="00B41C1C" w:rsidP="00B41C1C">
            <w:pPr>
              <w:spacing w:line="360" w:lineRule="auto"/>
              <w:jc w:val="center"/>
              <w:rPr>
                <w:rFonts w:ascii="Times New Roman" w:hAnsi="Times New Roman"/>
                <w:b/>
                <w:sz w:val="24"/>
                <w:szCs w:val="24"/>
                <w:lang w:val="en-GB"/>
              </w:rPr>
            </w:pPr>
            <w:r w:rsidRPr="00A518CC">
              <w:rPr>
                <w:rFonts w:ascii="Times New Roman" w:hAnsi="Times New Roman"/>
                <w:b/>
                <w:sz w:val="24"/>
                <w:szCs w:val="24"/>
                <w:lang w:val="en-GB"/>
              </w:rPr>
              <w:t>Dose and administration route</w:t>
            </w:r>
          </w:p>
        </w:tc>
        <w:tc>
          <w:tcPr>
            <w:tcW w:w="2410" w:type="dxa"/>
            <w:tcBorders>
              <w:top w:val="single" w:sz="4" w:space="0" w:color="auto"/>
              <w:bottom w:val="single" w:sz="4" w:space="0" w:color="auto"/>
            </w:tcBorders>
          </w:tcPr>
          <w:p w:rsidR="00B41C1C" w:rsidRPr="00A518CC" w:rsidRDefault="00B41C1C" w:rsidP="00B41C1C">
            <w:pPr>
              <w:spacing w:line="360" w:lineRule="auto"/>
              <w:jc w:val="center"/>
              <w:rPr>
                <w:rFonts w:ascii="Times New Roman" w:hAnsi="Times New Roman"/>
                <w:b/>
                <w:sz w:val="24"/>
                <w:szCs w:val="24"/>
                <w:lang w:val="en-GB"/>
              </w:rPr>
            </w:pPr>
            <w:r w:rsidRPr="00A518CC">
              <w:rPr>
                <w:rFonts w:ascii="Times New Roman" w:hAnsi="Times New Roman"/>
                <w:b/>
                <w:sz w:val="24"/>
                <w:szCs w:val="24"/>
                <w:lang w:val="en-GB"/>
              </w:rPr>
              <w:t>Pharmacokinetics or pharmacodynamics changes</w:t>
            </w:r>
          </w:p>
        </w:tc>
        <w:tc>
          <w:tcPr>
            <w:tcW w:w="2835" w:type="dxa"/>
            <w:tcBorders>
              <w:top w:val="single" w:sz="4" w:space="0" w:color="auto"/>
              <w:bottom w:val="single" w:sz="4" w:space="0" w:color="auto"/>
            </w:tcBorders>
          </w:tcPr>
          <w:p w:rsidR="00B41C1C" w:rsidRPr="00A518CC" w:rsidRDefault="00B41C1C" w:rsidP="00B41C1C">
            <w:pPr>
              <w:spacing w:line="360" w:lineRule="auto"/>
              <w:jc w:val="center"/>
              <w:rPr>
                <w:rFonts w:ascii="Times New Roman" w:hAnsi="Times New Roman"/>
                <w:b/>
                <w:sz w:val="24"/>
                <w:szCs w:val="24"/>
                <w:lang w:val="en-GB"/>
              </w:rPr>
            </w:pPr>
            <w:r w:rsidRPr="00A518CC">
              <w:rPr>
                <w:rFonts w:ascii="Times New Roman" w:hAnsi="Times New Roman"/>
                <w:b/>
                <w:sz w:val="24"/>
                <w:szCs w:val="24"/>
                <w:lang w:val="en-GB"/>
              </w:rPr>
              <w:t>Conclusion</w:t>
            </w:r>
          </w:p>
        </w:tc>
      </w:tr>
      <w:tr w:rsidR="00B41C1C" w:rsidRPr="00A518CC" w:rsidTr="00B41C1C">
        <w:tc>
          <w:tcPr>
            <w:tcW w:w="1384" w:type="dxa"/>
            <w:tcBorders>
              <w:top w:val="single" w:sz="4" w:space="0" w:color="auto"/>
            </w:tcBorders>
          </w:tcPr>
          <w:p w:rsidR="00B41C1C" w:rsidRPr="00A518CC" w:rsidRDefault="00A2062B" w:rsidP="00B41C1C">
            <w:pPr>
              <w:spacing w:line="360" w:lineRule="auto"/>
              <w:jc w:val="both"/>
              <w:rPr>
                <w:rFonts w:ascii="Times New Roman" w:hAnsi="Times New Roman"/>
                <w:sz w:val="24"/>
                <w:szCs w:val="24"/>
                <w:lang w:val="en-GB"/>
              </w:rPr>
            </w:pPr>
            <w:r w:rsidRPr="00A518CC">
              <w:rPr>
                <w:rFonts w:ascii="Times New Roman" w:hAnsi="Times New Roman"/>
                <w:sz w:val="24"/>
                <w:szCs w:val="24"/>
                <w:lang w:val="en-GB"/>
              </w:rPr>
              <w:fldChar w:fldCharType="begin" w:fldLock="1"/>
            </w:r>
            <w:r w:rsidR="00B41C1C" w:rsidRPr="00A518CC">
              <w:rPr>
                <w:rFonts w:ascii="Times New Roman" w:hAnsi="Times New Roman"/>
                <w:sz w:val="24"/>
                <w:szCs w:val="24"/>
                <w:lang w:val="en-GB"/>
              </w:rPr>
              <w:instrText>ADDIN CSL_CITATION { "citationItems" : [ { "id" : "ITEM-1", "itemData" : { "DOI" : "10.2460/ajvr.72.10.1378", "ISSN" : "00029645", "PMID" : "21962281", "abstract" : "OBJECTIVE: To characterize pharmacokinetics and pharmacodynamics of detomidine gel administered sublingually in accordance with label instructions to establish appropriate withdrawal guidelines for horses before competition. ANIMALS: 12 adult racehorses. PROCEDURES: Horses received a single sublingual administration of 0.04 mg of detomidine/kg. Blood samples were collected before and up to 72 hours after drug administration. Urine samples were collected for 5 days after detomidine administration. Plasma and urine samples were analyzed via liquid chromatography-mass spectrometry, and resulting data were analyzed by use of noncompartmental analysis. Chin-to-ground distance, heart rate and rhythm, glucose concentration, PCV, and plasma protein concentration were also assessed following detomidine administration. RESULTS: Mean \u00b1 SD terminal elimination half-life of detomidine was 1.5 \u00b1 1 hours. Metabolite concentrations were below the limit of detection (0.02, 0.1, and 0.5 ng/mL for detomidine, carboxydetomidine, and hydroxydetomidine, respectively) in plasma by 24 hours. Concentrations of detomidine and its metabolites were below the limit of detection (0.05 ng/mL for detomidine and 0.10 ng/mL for carboxydetomidine and hydroxydetomidine) in urine by 3 days. All horses had various degrees of sedation after detomidine administration. Time of onset was \u2264 40 minutes, and duration of sedation was approximately 2 hours. Significant decreases, relative to values at time 0, were detected for chin-to-ground distance and heart rate. There was an increased incidence and exacerbation of preexisting atrioventricular blocks after detomidine administration. CONCLUSIONS AND CLINICAL RELEVANCE: A 48-hour and 3-day withdrawal period for detection in plasma and urine samples, respectively, should be adopted for sublingual administration of detomidine gel.", "author" : [ { "dropping-particle" : "", "family" : "Maio Knych", "given" : "Heather K.", "non-dropping-particle" : "di", "parse-names" : false, "suffix" : "" }, { "dropping-particle" : "", "family" : "Stanley", "given" : "Scott D.", "non-dropping-particle" : "", "parse-names" : false, "suffix" : "" } ], "container-title" : "American Journal of Veterinary Research", "id" : "ITEM-1", "issue" : "10", "issued" : { "date-parts" : [ [ "2011" ] ] }, "page" : "1378-1385", "title" : "Pharmacokinetics and pharmacodynamics of detomidine following sublingual administration to horses", "type" : "article-journal", "volume" : "72" }, "uris" : [ "http://www.mendeley.com/documents/?uuid=e5f10679-ce62-4a44-a1cc-fd136dd0b220" ] } ], "mendeley" : { "formattedCitation" : "(di Maio Knych and Stanley 2011)", "plainTextFormattedCitation" : "(di Maio Knych and Stanley 2011)", "previouslyFormattedCitation" : "(di Maio Knych and Stanley 2011)" }, "properties" : { "noteIndex" : 0 }, "schema" : "https://github.com/citation-style-language/schema/raw/master/csl-citation.json" }</w:instrText>
            </w:r>
            <w:r w:rsidRPr="00A518CC">
              <w:rPr>
                <w:rFonts w:ascii="Times New Roman" w:hAnsi="Times New Roman"/>
                <w:sz w:val="24"/>
                <w:szCs w:val="24"/>
                <w:lang w:val="en-GB"/>
              </w:rPr>
              <w:fldChar w:fldCharType="separate"/>
            </w:r>
            <w:r w:rsidR="00B41C1C" w:rsidRPr="00A518CC">
              <w:rPr>
                <w:rFonts w:ascii="Times New Roman" w:hAnsi="Times New Roman"/>
                <w:noProof/>
                <w:sz w:val="24"/>
                <w:szCs w:val="24"/>
                <w:lang w:val="en-GB"/>
              </w:rPr>
              <w:t>(di Maio Knych &amp; Stanley, 2011)</w:t>
            </w:r>
            <w:r w:rsidRPr="00A518CC">
              <w:rPr>
                <w:rFonts w:ascii="Times New Roman" w:hAnsi="Times New Roman"/>
                <w:sz w:val="24"/>
                <w:szCs w:val="24"/>
                <w:lang w:val="en-GB"/>
              </w:rPr>
              <w:fldChar w:fldCharType="end"/>
            </w:r>
          </w:p>
          <w:p w:rsidR="00B41C1C" w:rsidRPr="00A518CC" w:rsidRDefault="00B41C1C" w:rsidP="00B41C1C">
            <w:pPr>
              <w:spacing w:line="360" w:lineRule="auto"/>
              <w:jc w:val="both"/>
              <w:rPr>
                <w:rFonts w:ascii="Times New Roman" w:hAnsi="Times New Roman"/>
                <w:sz w:val="24"/>
                <w:szCs w:val="24"/>
                <w:lang w:val="en-GB"/>
              </w:rPr>
            </w:pPr>
          </w:p>
        </w:tc>
        <w:tc>
          <w:tcPr>
            <w:tcW w:w="1843" w:type="dxa"/>
            <w:tcBorders>
              <w:top w:val="single" w:sz="4" w:space="0" w:color="auto"/>
            </w:tcBorders>
          </w:tcPr>
          <w:p w:rsidR="00B41C1C" w:rsidRPr="00A518CC" w:rsidRDefault="00B41C1C" w:rsidP="00B41C1C">
            <w:pPr>
              <w:spacing w:line="360" w:lineRule="auto"/>
              <w:jc w:val="both"/>
              <w:rPr>
                <w:rFonts w:ascii="Times New Roman" w:hAnsi="Times New Roman"/>
                <w:sz w:val="24"/>
                <w:szCs w:val="24"/>
                <w:lang w:val="en-GB"/>
              </w:rPr>
            </w:pPr>
            <w:r w:rsidRPr="00A518CC">
              <w:rPr>
                <w:rFonts w:ascii="Times New Roman" w:hAnsi="Times New Roman"/>
                <w:sz w:val="24"/>
                <w:szCs w:val="24"/>
                <w:lang w:val="en-GB"/>
              </w:rPr>
              <w:t>Characterize pharmacokinetics and pharmacodynamics of DET gel administered in horses before competition.</w:t>
            </w:r>
          </w:p>
        </w:tc>
        <w:tc>
          <w:tcPr>
            <w:tcW w:w="2551" w:type="dxa"/>
            <w:tcBorders>
              <w:top w:val="single" w:sz="4" w:space="0" w:color="auto"/>
            </w:tcBorders>
          </w:tcPr>
          <w:p w:rsidR="00B41C1C" w:rsidRPr="00A518CC" w:rsidRDefault="00B41C1C" w:rsidP="00B41C1C">
            <w:pPr>
              <w:widowControl w:val="0"/>
              <w:autoSpaceDE w:val="0"/>
              <w:autoSpaceDN w:val="0"/>
              <w:adjustRightInd w:val="0"/>
              <w:spacing w:line="360" w:lineRule="auto"/>
              <w:jc w:val="both"/>
              <w:rPr>
                <w:rFonts w:ascii="Times New Roman" w:hAnsi="Times New Roman"/>
                <w:sz w:val="24"/>
                <w:szCs w:val="24"/>
                <w:lang w:val="en-GB"/>
              </w:rPr>
            </w:pPr>
            <w:r w:rsidRPr="00A518CC">
              <w:rPr>
                <w:rFonts w:ascii="Times New Roman" w:hAnsi="Times New Roman"/>
                <w:sz w:val="24"/>
                <w:szCs w:val="24"/>
                <w:lang w:val="en-GB"/>
              </w:rPr>
              <w:t>Twelve healthy fit actively competing adult Thoroughbred racehorses were included. Horses were assessed as healthy and free of cardiovascular disease.</w:t>
            </w:r>
          </w:p>
          <w:p w:rsidR="00B41C1C" w:rsidRPr="00A518CC" w:rsidRDefault="00B41C1C" w:rsidP="00B41C1C">
            <w:pPr>
              <w:widowControl w:val="0"/>
              <w:autoSpaceDE w:val="0"/>
              <w:autoSpaceDN w:val="0"/>
              <w:adjustRightInd w:val="0"/>
              <w:spacing w:line="360" w:lineRule="auto"/>
              <w:jc w:val="both"/>
              <w:rPr>
                <w:rFonts w:ascii="Times New Roman" w:hAnsi="Times New Roman"/>
                <w:sz w:val="24"/>
                <w:szCs w:val="24"/>
                <w:lang w:val="en-GB"/>
              </w:rPr>
            </w:pPr>
            <w:r w:rsidRPr="00A518CC">
              <w:rPr>
                <w:rFonts w:ascii="Times New Roman" w:hAnsi="Times New Roman"/>
                <w:sz w:val="24"/>
                <w:szCs w:val="24"/>
                <w:lang w:val="en-GB"/>
              </w:rPr>
              <w:t xml:space="preserve">Horses did not receive any sedative or analgesic agents; they continued to be exercised throughout the sample collection period, except for the </w:t>
            </w:r>
            <w:r w:rsidRPr="00A518CC">
              <w:rPr>
                <w:rFonts w:ascii="Times New Roman" w:hAnsi="Times New Roman"/>
                <w:sz w:val="24"/>
                <w:szCs w:val="24"/>
                <w:lang w:val="en-GB"/>
              </w:rPr>
              <w:lastRenderedPageBreak/>
              <w:t>day of drug administration, during which no exercise was performed.</w:t>
            </w:r>
          </w:p>
        </w:tc>
        <w:tc>
          <w:tcPr>
            <w:tcW w:w="1843" w:type="dxa"/>
            <w:tcBorders>
              <w:top w:val="single" w:sz="4" w:space="0" w:color="auto"/>
            </w:tcBorders>
          </w:tcPr>
          <w:p w:rsidR="00B41C1C" w:rsidRPr="00A518CC" w:rsidRDefault="00B41C1C" w:rsidP="00B41C1C">
            <w:pPr>
              <w:spacing w:line="360" w:lineRule="auto"/>
              <w:jc w:val="both"/>
              <w:rPr>
                <w:rFonts w:ascii="Times New Roman" w:hAnsi="Times New Roman"/>
                <w:sz w:val="24"/>
                <w:szCs w:val="24"/>
                <w:lang w:val="en-GB"/>
              </w:rPr>
            </w:pPr>
            <w:r w:rsidRPr="00A518CC">
              <w:rPr>
                <w:rFonts w:ascii="Times New Roman" w:hAnsi="Times New Roman"/>
                <w:sz w:val="24"/>
                <w:szCs w:val="24"/>
                <w:lang w:val="en-GB"/>
              </w:rPr>
              <w:lastRenderedPageBreak/>
              <w:t>0.04 mg/kg DET (Dormosedan Gel, Pfizer Animal Health, New York, NY) administered SL.</w:t>
            </w:r>
          </w:p>
        </w:tc>
        <w:tc>
          <w:tcPr>
            <w:tcW w:w="2410" w:type="dxa"/>
            <w:tcBorders>
              <w:top w:val="single" w:sz="4" w:space="0" w:color="auto"/>
            </w:tcBorders>
          </w:tcPr>
          <w:p w:rsidR="00B41C1C" w:rsidRPr="00A518CC" w:rsidRDefault="00B41C1C" w:rsidP="00B41C1C">
            <w:pPr>
              <w:widowControl w:val="0"/>
              <w:autoSpaceDE w:val="0"/>
              <w:autoSpaceDN w:val="0"/>
              <w:adjustRightInd w:val="0"/>
              <w:spacing w:line="360" w:lineRule="auto"/>
              <w:jc w:val="both"/>
              <w:rPr>
                <w:rFonts w:ascii="Times New Roman" w:hAnsi="Times New Roman"/>
                <w:sz w:val="24"/>
                <w:szCs w:val="24"/>
                <w:lang w:val="en-GB"/>
              </w:rPr>
            </w:pPr>
            <w:r w:rsidRPr="00A518CC">
              <w:rPr>
                <w:rFonts w:ascii="Times New Roman" w:hAnsi="Times New Roman"/>
                <w:sz w:val="24"/>
                <w:szCs w:val="24"/>
                <w:lang w:val="en-GB"/>
              </w:rPr>
              <w:t>Highest plasma DET concentration was 168±83.7 ng/mL.</w:t>
            </w:r>
          </w:p>
          <w:p w:rsidR="00B41C1C" w:rsidRPr="00A518CC" w:rsidRDefault="00B41C1C" w:rsidP="00B41C1C">
            <w:pPr>
              <w:widowControl w:val="0"/>
              <w:autoSpaceDE w:val="0"/>
              <w:autoSpaceDN w:val="0"/>
              <w:adjustRightInd w:val="0"/>
              <w:spacing w:line="360" w:lineRule="auto"/>
              <w:jc w:val="both"/>
              <w:rPr>
                <w:rFonts w:ascii="Times New Roman" w:hAnsi="Times New Roman"/>
                <w:sz w:val="24"/>
                <w:szCs w:val="24"/>
                <w:lang w:val="en-GB"/>
              </w:rPr>
            </w:pPr>
            <w:r w:rsidRPr="00A518CC">
              <w:rPr>
                <w:rFonts w:ascii="Times New Roman" w:hAnsi="Times New Roman"/>
                <w:sz w:val="24"/>
                <w:szCs w:val="24"/>
                <w:lang w:val="en-GB"/>
              </w:rPr>
              <w:t>Peak DET plasma concentration was rapidly with mean±SD Tmax</w:t>
            </w:r>
            <w:r w:rsidRPr="00A518CC">
              <w:rPr>
                <w:rStyle w:val="Refdenotaalpie"/>
                <w:rFonts w:ascii="Times New Roman" w:hAnsi="Times New Roman"/>
                <w:sz w:val="24"/>
                <w:szCs w:val="24"/>
                <w:lang w:val="en-GB"/>
              </w:rPr>
              <w:footnoteReference w:id="13"/>
            </w:r>
            <w:r w:rsidRPr="00A518CC">
              <w:rPr>
                <w:rFonts w:ascii="Times New Roman" w:hAnsi="Times New Roman"/>
                <w:sz w:val="24"/>
                <w:szCs w:val="24"/>
                <w:lang w:val="en-GB"/>
              </w:rPr>
              <w:t xml:space="preserve"> at 36±10 min after drug administration. Half-life of elimination was 1.5±1 h.</w:t>
            </w:r>
          </w:p>
          <w:p w:rsidR="00B41C1C" w:rsidRPr="00A518CC" w:rsidRDefault="00B41C1C" w:rsidP="00B41C1C">
            <w:pPr>
              <w:widowControl w:val="0"/>
              <w:autoSpaceDE w:val="0"/>
              <w:autoSpaceDN w:val="0"/>
              <w:adjustRightInd w:val="0"/>
              <w:spacing w:line="360" w:lineRule="auto"/>
              <w:jc w:val="both"/>
              <w:rPr>
                <w:rFonts w:ascii="Times New Roman" w:hAnsi="Times New Roman"/>
                <w:sz w:val="24"/>
                <w:szCs w:val="24"/>
                <w:lang w:val="en-GB"/>
              </w:rPr>
            </w:pPr>
            <w:r w:rsidRPr="00A518CC">
              <w:rPr>
                <w:rFonts w:ascii="Times New Roman" w:hAnsi="Times New Roman"/>
                <w:sz w:val="24"/>
                <w:szCs w:val="24"/>
                <w:lang w:val="en-GB"/>
              </w:rPr>
              <w:t xml:space="preserve">Concentrations of DET as well as its metabolits in urine samples were below </w:t>
            </w:r>
            <w:r w:rsidRPr="00A518CC">
              <w:rPr>
                <w:rFonts w:ascii="Times New Roman" w:hAnsi="Times New Roman"/>
                <w:sz w:val="24"/>
                <w:szCs w:val="24"/>
                <w:lang w:val="en-GB"/>
              </w:rPr>
              <w:lastRenderedPageBreak/>
              <w:t>the limit of detection LOD</w:t>
            </w:r>
            <w:r w:rsidRPr="00A518CC">
              <w:rPr>
                <w:rStyle w:val="Refdenotaalpie"/>
                <w:rFonts w:ascii="Times New Roman" w:hAnsi="Times New Roman"/>
                <w:sz w:val="24"/>
                <w:szCs w:val="24"/>
                <w:lang w:val="en-GB"/>
              </w:rPr>
              <w:footnoteReference w:id="14"/>
            </w:r>
            <w:r w:rsidRPr="00A518CC">
              <w:rPr>
                <w:rFonts w:ascii="Times New Roman" w:hAnsi="Times New Roman"/>
                <w:sz w:val="24"/>
                <w:szCs w:val="24"/>
                <w:lang w:val="en-GB"/>
              </w:rPr>
              <w:t xml:space="preserve"> by 3 days after administration.</w:t>
            </w:r>
          </w:p>
        </w:tc>
        <w:tc>
          <w:tcPr>
            <w:tcW w:w="2835" w:type="dxa"/>
            <w:tcBorders>
              <w:top w:val="single" w:sz="4" w:space="0" w:color="auto"/>
            </w:tcBorders>
          </w:tcPr>
          <w:p w:rsidR="00B41C1C" w:rsidRPr="00A518CC" w:rsidRDefault="00B41C1C" w:rsidP="00B41C1C">
            <w:pPr>
              <w:widowControl w:val="0"/>
              <w:autoSpaceDE w:val="0"/>
              <w:autoSpaceDN w:val="0"/>
              <w:adjustRightInd w:val="0"/>
              <w:spacing w:line="360" w:lineRule="auto"/>
              <w:jc w:val="both"/>
              <w:rPr>
                <w:rFonts w:ascii="Times New Roman" w:hAnsi="Times New Roman"/>
                <w:sz w:val="24"/>
                <w:szCs w:val="24"/>
                <w:lang w:val="en-GB"/>
              </w:rPr>
            </w:pPr>
            <w:r w:rsidRPr="00A518CC">
              <w:rPr>
                <w:rFonts w:ascii="Times New Roman" w:hAnsi="Times New Roman"/>
                <w:sz w:val="24"/>
                <w:szCs w:val="24"/>
                <w:lang w:val="en-GB"/>
              </w:rPr>
              <w:lastRenderedPageBreak/>
              <w:t>DET gel appeared to have been absorbed well from the SL mucosa into the systemic circulation. The half-life of elimination following SL administration was prolonged, compared with IV or IM administration, with detectable concentrations of DET or its metabolites in plasma for up to 24 hours after administration.</w:t>
            </w:r>
          </w:p>
        </w:tc>
      </w:tr>
      <w:tr w:rsidR="00B41C1C" w:rsidRPr="00A518CC" w:rsidTr="00B41C1C">
        <w:tc>
          <w:tcPr>
            <w:tcW w:w="1384" w:type="dxa"/>
          </w:tcPr>
          <w:p w:rsidR="00B41C1C" w:rsidRPr="00A518CC" w:rsidRDefault="00A2062B" w:rsidP="00B41C1C">
            <w:pPr>
              <w:spacing w:line="360" w:lineRule="auto"/>
              <w:jc w:val="center"/>
              <w:rPr>
                <w:rFonts w:ascii="Times New Roman" w:hAnsi="Times New Roman"/>
                <w:sz w:val="24"/>
                <w:szCs w:val="24"/>
                <w:lang w:val="en-GB"/>
              </w:rPr>
            </w:pPr>
            <w:r w:rsidRPr="00A518CC">
              <w:rPr>
                <w:rFonts w:ascii="Times New Roman" w:hAnsi="Times New Roman"/>
                <w:sz w:val="24"/>
                <w:szCs w:val="24"/>
                <w:lang w:val="en-GB"/>
              </w:rPr>
              <w:lastRenderedPageBreak/>
              <w:fldChar w:fldCharType="begin" w:fldLock="1"/>
            </w:r>
            <w:r w:rsidR="00B41C1C" w:rsidRPr="00A518CC">
              <w:rPr>
                <w:rFonts w:ascii="Times New Roman" w:hAnsi="Times New Roman"/>
                <w:sz w:val="24"/>
                <w:szCs w:val="24"/>
                <w:lang w:val="en-GB"/>
              </w:rPr>
              <w:instrText>ADDIN CSL_CITATION { "citationItems" : [ { "id" : "ITEM-1", "itemData" : { "DOI" : "10.1111/j.1365-2885.2010.01193.x", "ISSN" : "01407783", "PMID" : "21219348", "abstract" : "The objective of the study was to determine the absorption, bioavailability and sedative effect of detomidine administered to horses as an oromucosal gel compared to intravenous and intramuscular administration of detomidine injectable solution. The study was open and randomized, with three sequences crossover design. Nine healthy horses were given 40\u2003\u03bcg/kg detomidine intravenously, intramuscularly or administered under the tongue with a 7-day wash-out period between treatments. Blood samples were collected before and after drug administration for the measurement of detomidine concentrations in serum. The effects of the route of administration on heart rate and rhythm were evaluated and the depth of sedation assessed. Mean (\u00b1SD) bioavailability of detomidine was 22% (\u00b15.3%) after sublingual administration and 38.2% (\u00b17.9%) after intramuscular administration. The sedative effects correlated with detomidine concentrations regardless of the route of administration. We conclude that less detomidine is absorbed when given sublingually than when given intramuscularly, because part of it does not reach the circulation. Sublingual administration of detomidine oromucosal gel at 40\u2003\u03bcg/kg produces safe sedation in horses. Slow absorption leads to fewer and less pronounced adverse effects than the more rapid absorption after intramuscular injection.", "author" : [ { "dropping-particle" : "", "family" : "Kaukinen", "given" : "H.", "non-dropping-particle" : "", "parse-names" : false, "suffix" : "" }, { "dropping-particle" : "", "family" : "Aspegr\u00e9n", "given" : "J.", "non-dropping-particle" : "", "parse-names" : false, "suffix" : "" }, { "dropping-particle" : "", "family" : "Hyypp\u00e4", "given" : "S.", "non-dropping-particle" : "", "parse-names" : false, "suffix" : "" }, { "dropping-particle" : "", "family" : "Tamm", "given" : "L.", "non-dropping-particle" : "", "parse-names" : false, "suffix" : "" }, { "dropping-particle" : "", "family" : "Salonen", "given" : "J. S.", "non-dropping-particle" : "", "parse-names" : false, "suffix" : "" } ], "container-title" : "Journal of Veterinary Pharmacology and Therapeutics", "id" : "ITEM-1", "issue" : "1", "issued" : { "date-parts" : [ [ "2011" ] ] }, "page" : "76-81", "title" : "Bioavailability of detomidine administered sublingually to horses as an oromucosal gel", "type" : "article-journal", "volume" : "34" }, "uris" : [ "http://www.mendeley.com/documents/?uuid=59a2b87e-6103-4f35-a43d-3052d0e65845" ] } ], "mendeley" : { "formattedCitation" : "(Kaukinen et al. 2011)", "plainTextFormattedCitation" : "(Kaukinen et al. 2011)", "previouslyFormattedCitation" : "(Kaukinen et al. 2011)" }, "properties" : { "noteIndex" : 0 }, "schema" : "https://github.com/citation-style-language/schema/raw/master/csl-citation.json" }</w:instrText>
            </w:r>
            <w:r w:rsidRPr="00A518CC">
              <w:rPr>
                <w:rFonts w:ascii="Times New Roman" w:hAnsi="Times New Roman"/>
                <w:sz w:val="24"/>
                <w:szCs w:val="24"/>
                <w:lang w:val="en-GB"/>
              </w:rPr>
              <w:fldChar w:fldCharType="separate"/>
            </w:r>
            <w:r w:rsidR="00B41C1C" w:rsidRPr="00A518CC">
              <w:rPr>
                <w:rFonts w:ascii="Times New Roman" w:hAnsi="Times New Roman"/>
                <w:noProof/>
                <w:sz w:val="24"/>
                <w:szCs w:val="24"/>
                <w:lang w:val="en-GB"/>
              </w:rPr>
              <w:t xml:space="preserve">(Kaukinen </w:t>
            </w:r>
            <w:r w:rsidR="00B41C1C" w:rsidRPr="00A518CC">
              <w:rPr>
                <w:rFonts w:ascii="Times New Roman" w:hAnsi="Times New Roman"/>
                <w:i/>
                <w:noProof/>
                <w:sz w:val="24"/>
                <w:szCs w:val="24"/>
                <w:lang w:val="en-GB"/>
              </w:rPr>
              <w:t xml:space="preserve">et al., </w:t>
            </w:r>
            <w:r w:rsidR="00B41C1C" w:rsidRPr="00A518CC">
              <w:rPr>
                <w:rFonts w:ascii="Times New Roman" w:hAnsi="Times New Roman"/>
                <w:noProof/>
                <w:sz w:val="24"/>
                <w:szCs w:val="24"/>
                <w:lang w:val="en-GB"/>
              </w:rPr>
              <w:t>2011)</w:t>
            </w:r>
            <w:r w:rsidRPr="00A518CC">
              <w:rPr>
                <w:rFonts w:ascii="Times New Roman" w:hAnsi="Times New Roman"/>
                <w:sz w:val="24"/>
                <w:szCs w:val="24"/>
                <w:lang w:val="en-GB"/>
              </w:rPr>
              <w:fldChar w:fldCharType="end"/>
            </w:r>
          </w:p>
        </w:tc>
        <w:tc>
          <w:tcPr>
            <w:tcW w:w="1843" w:type="dxa"/>
          </w:tcPr>
          <w:p w:rsidR="00B41C1C" w:rsidRPr="00A518CC" w:rsidRDefault="00B41C1C" w:rsidP="00B41C1C">
            <w:pPr>
              <w:autoSpaceDE w:val="0"/>
              <w:autoSpaceDN w:val="0"/>
              <w:adjustRightInd w:val="0"/>
              <w:spacing w:line="360" w:lineRule="auto"/>
              <w:jc w:val="both"/>
              <w:rPr>
                <w:rFonts w:ascii="Times New Roman" w:hAnsi="Times New Roman"/>
                <w:sz w:val="24"/>
                <w:szCs w:val="24"/>
                <w:lang w:val="en-GB"/>
              </w:rPr>
            </w:pPr>
            <w:r w:rsidRPr="00A518CC">
              <w:rPr>
                <w:rFonts w:ascii="Times New Roman" w:hAnsi="Times New Roman"/>
                <w:sz w:val="24"/>
                <w:szCs w:val="24"/>
                <w:lang w:val="en-GB"/>
              </w:rPr>
              <w:t>Determine the absorption, bioavailability and sedative effect of DET administered to horses as an oromucosal gel compared to IV and IM administration DET injectable solution.</w:t>
            </w:r>
          </w:p>
        </w:tc>
        <w:tc>
          <w:tcPr>
            <w:tcW w:w="2551" w:type="dxa"/>
          </w:tcPr>
          <w:p w:rsidR="00B41C1C" w:rsidRPr="00A518CC" w:rsidRDefault="00B41C1C" w:rsidP="00B41C1C">
            <w:pPr>
              <w:spacing w:line="360" w:lineRule="auto"/>
              <w:jc w:val="both"/>
              <w:rPr>
                <w:rFonts w:ascii="Times New Roman" w:hAnsi="Times New Roman"/>
                <w:sz w:val="24"/>
                <w:szCs w:val="24"/>
                <w:lang w:val="en-GB"/>
              </w:rPr>
            </w:pPr>
            <w:r w:rsidRPr="00A518CC">
              <w:rPr>
                <w:rFonts w:ascii="Times New Roman" w:hAnsi="Times New Roman"/>
                <w:sz w:val="24"/>
                <w:szCs w:val="24"/>
                <w:lang w:val="en-GB"/>
              </w:rPr>
              <w:t>Nine healthy horses were given (five Standardbreds and four warmbloods) were used. Each horse was allocated by computer-generated randomisation to receive DET via each route in a randomized order.</w:t>
            </w:r>
          </w:p>
          <w:p w:rsidR="00B41C1C" w:rsidRPr="00A518CC" w:rsidRDefault="00B41C1C" w:rsidP="00B41C1C">
            <w:pPr>
              <w:spacing w:line="360" w:lineRule="auto"/>
              <w:jc w:val="both"/>
              <w:rPr>
                <w:rFonts w:ascii="Times New Roman" w:hAnsi="Times New Roman"/>
                <w:sz w:val="24"/>
                <w:szCs w:val="24"/>
                <w:lang w:val="en-GB"/>
              </w:rPr>
            </w:pPr>
            <w:r w:rsidRPr="00A518CC">
              <w:rPr>
                <w:rFonts w:ascii="Times New Roman" w:hAnsi="Times New Roman"/>
                <w:sz w:val="24"/>
                <w:szCs w:val="24"/>
                <w:lang w:val="en-GB"/>
              </w:rPr>
              <w:t xml:space="preserve">Blood samples were collected before and after drug administration for the </w:t>
            </w:r>
            <w:r w:rsidRPr="00A518CC">
              <w:rPr>
                <w:rFonts w:ascii="Times New Roman" w:hAnsi="Times New Roman"/>
                <w:sz w:val="24"/>
                <w:szCs w:val="24"/>
                <w:lang w:val="en-GB"/>
              </w:rPr>
              <w:lastRenderedPageBreak/>
              <w:t>measurement of DET concentrations in serum.</w:t>
            </w:r>
          </w:p>
          <w:p w:rsidR="00B41C1C" w:rsidRPr="00A518CC" w:rsidRDefault="00B41C1C" w:rsidP="00B41C1C">
            <w:pPr>
              <w:spacing w:line="360" w:lineRule="auto"/>
              <w:jc w:val="both"/>
              <w:rPr>
                <w:rFonts w:ascii="Times New Roman" w:hAnsi="Times New Roman"/>
                <w:sz w:val="24"/>
                <w:szCs w:val="24"/>
                <w:lang w:val="en-GB"/>
              </w:rPr>
            </w:pPr>
            <w:r w:rsidRPr="00A518CC">
              <w:rPr>
                <w:rFonts w:ascii="Times New Roman" w:hAnsi="Times New Roman"/>
                <w:sz w:val="24"/>
                <w:szCs w:val="24"/>
                <w:lang w:val="en-GB"/>
              </w:rPr>
              <w:t>Pharmacokinetic variables were estimated for each horse and each dosing occasion.</w:t>
            </w:r>
          </w:p>
        </w:tc>
        <w:tc>
          <w:tcPr>
            <w:tcW w:w="1843" w:type="dxa"/>
          </w:tcPr>
          <w:p w:rsidR="00B41C1C" w:rsidRPr="00A518CC" w:rsidRDefault="00B41C1C" w:rsidP="00B41C1C">
            <w:pPr>
              <w:spacing w:line="360" w:lineRule="auto"/>
              <w:jc w:val="both"/>
              <w:rPr>
                <w:rFonts w:ascii="Times New Roman" w:hAnsi="Times New Roman"/>
                <w:sz w:val="24"/>
                <w:szCs w:val="24"/>
                <w:lang w:val="en-GB"/>
              </w:rPr>
            </w:pPr>
            <w:r w:rsidRPr="00A518CC">
              <w:rPr>
                <w:rFonts w:ascii="Times New Roman" w:hAnsi="Times New Roman"/>
                <w:sz w:val="24"/>
                <w:szCs w:val="24"/>
                <w:lang w:val="en-GB"/>
              </w:rPr>
              <w:lastRenderedPageBreak/>
              <w:t>40 µg⁄kg DET route IV, IM or administered under the tongue with a 7-day wash-out period between treatments.</w:t>
            </w:r>
          </w:p>
          <w:p w:rsidR="00B41C1C" w:rsidRPr="00A518CC" w:rsidRDefault="00B41C1C" w:rsidP="00B41C1C">
            <w:pPr>
              <w:spacing w:line="360" w:lineRule="auto"/>
              <w:jc w:val="both"/>
              <w:rPr>
                <w:rFonts w:ascii="Times New Roman" w:hAnsi="Times New Roman"/>
                <w:sz w:val="24"/>
                <w:szCs w:val="24"/>
                <w:lang w:val="en-GB"/>
              </w:rPr>
            </w:pPr>
            <w:r w:rsidRPr="00A518CC">
              <w:rPr>
                <w:rFonts w:ascii="Times New Roman" w:hAnsi="Times New Roman"/>
                <w:sz w:val="24"/>
                <w:szCs w:val="24"/>
                <w:lang w:val="en-GB"/>
              </w:rPr>
              <w:t xml:space="preserve">DET was given as a bolus into the jugular vein, as an IM injection into the neck muscles (Domosedan 10 </w:t>
            </w:r>
            <w:r w:rsidRPr="00A518CC">
              <w:rPr>
                <w:rFonts w:ascii="Times New Roman" w:hAnsi="Times New Roman"/>
                <w:sz w:val="24"/>
                <w:szCs w:val="24"/>
                <w:lang w:val="en-GB"/>
              </w:rPr>
              <w:lastRenderedPageBreak/>
              <w:t>mg⁄mL solution, Orion Pharma, Espoo, Finland), or as an oromucosal gel (Domosedan Gel 7.6 mg⁄mL, Orion Pharma, Turku, Finland).</w:t>
            </w:r>
          </w:p>
        </w:tc>
        <w:tc>
          <w:tcPr>
            <w:tcW w:w="2410" w:type="dxa"/>
          </w:tcPr>
          <w:p w:rsidR="00B41C1C" w:rsidRPr="00A518CC" w:rsidRDefault="00B41C1C" w:rsidP="00B41C1C">
            <w:pPr>
              <w:spacing w:line="360" w:lineRule="auto"/>
              <w:jc w:val="both"/>
              <w:rPr>
                <w:rFonts w:ascii="Times New Roman" w:hAnsi="Times New Roman"/>
                <w:sz w:val="24"/>
                <w:szCs w:val="24"/>
                <w:lang w:val="en-GB"/>
              </w:rPr>
            </w:pPr>
            <w:r w:rsidRPr="00A518CC">
              <w:rPr>
                <w:rFonts w:ascii="Times New Roman" w:hAnsi="Times New Roman"/>
                <w:sz w:val="24"/>
                <w:szCs w:val="24"/>
                <w:lang w:val="en-GB"/>
              </w:rPr>
              <w:lastRenderedPageBreak/>
              <w:t>Slow absortion leads to fewer and less pronounced adverse effects than the more rapid absortion after IM injection.</w:t>
            </w:r>
          </w:p>
          <w:p w:rsidR="00B41C1C" w:rsidRPr="00A518CC" w:rsidRDefault="00B41C1C" w:rsidP="00B41C1C">
            <w:pPr>
              <w:spacing w:line="360" w:lineRule="auto"/>
              <w:jc w:val="both"/>
              <w:rPr>
                <w:rFonts w:ascii="Times New Roman" w:hAnsi="Times New Roman"/>
                <w:sz w:val="24"/>
                <w:szCs w:val="24"/>
                <w:lang w:val="en-GB"/>
              </w:rPr>
            </w:pPr>
            <w:r w:rsidRPr="00A518CC">
              <w:rPr>
                <w:rFonts w:ascii="Times New Roman" w:hAnsi="Times New Roman"/>
                <w:sz w:val="24"/>
                <w:szCs w:val="24"/>
                <w:lang w:val="en-GB"/>
              </w:rPr>
              <w:t xml:space="preserve">Maximum concentration for DET given via SL route was lower than following IM administration (geometric mean 4.16 </w:t>
            </w:r>
            <w:proofErr w:type="gramStart"/>
            <w:r w:rsidRPr="00A518CC">
              <w:rPr>
                <w:rFonts w:ascii="Times New Roman" w:hAnsi="Times New Roman"/>
                <w:i/>
                <w:sz w:val="24"/>
                <w:szCs w:val="24"/>
                <w:lang w:val="en-GB"/>
              </w:rPr>
              <w:t>vs.</w:t>
            </w:r>
            <w:r w:rsidRPr="00A518CC">
              <w:rPr>
                <w:rFonts w:ascii="Times New Roman" w:hAnsi="Times New Roman"/>
                <w:sz w:val="24"/>
                <w:szCs w:val="24"/>
                <w:lang w:val="en-GB"/>
              </w:rPr>
              <w:t xml:space="preserve"> 11.16 ng/mL</w:t>
            </w:r>
            <w:proofErr w:type="gramEnd"/>
            <w:r w:rsidRPr="00A518CC">
              <w:rPr>
                <w:rFonts w:ascii="Times New Roman" w:hAnsi="Times New Roman"/>
                <w:sz w:val="24"/>
                <w:szCs w:val="24"/>
                <w:lang w:val="en-GB"/>
              </w:rPr>
              <w:t>) and the t</w:t>
            </w:r>
            <w:r w:rsidRPr="00A518CC">
              <w:rPr>
                <w:rFonts w:ascii="Times New Roman" w:hAnsi="Times New Roman"/>
                <w:sz w:val="24"/>
                <w:szCs w:val="24"/>
                <w:vertAlign w:val="subscript"/>
                <w:lang w:val="en-GB"/>
              </w:rPr>
              <w:t>max</w:t>
            </w:r>
            <w:r w:rsidRPr="00A518CC">
              <w:rPr>
                <w:rFonts w:ascii="Times New Roman" w:hAnsi="Times New Roman"/>
                <w:sz w:val="24"/>
                <w:szCs w:val="24"/>
                <w:lang w:val="en-GB"/>
              </w:rPr>
              <w:t xml:space="preserve"> was longer </w:t>
            </w:r>
            <w:r w:rsidRPr="00A518CC">
              <w:rPr>
                <w:rFonts w:ascii="Times New Roman" w:hAnsi="Times New Roman"/>
                <w:sz w:val="24"/>
                <w:szCs w:val="24"/>
                <w:lang w:val="en-GB"/>
              </w:rPr>
              <w:lastRenderedPageBreak/>
              <w:t xml:space="preserve">(1.83 </w:t>
            </w:r>
            <w:r w:rsidRPr="00A518CC">
              <w:rPr>
                <w:rFonts w:ascii="Times New Roman" w:hAnsi="Times New Roman"/>
                <w:i/>
                <w:sz w:val="24"/>
                <w:szCs w:val="24"/>
                <w:lang w:val="en-GB"/>
              </w:rPr>
              <w:t>vs.</w:t>
            </w:r>
            <w:r w:rsidRPr="00A518CC">
              <w:rPr>
                <w:rFonts w:ascii="Times New Roman" w:hAnsi="Times New Roman"/>
                <w:sz w:val="24"/>
                <w:szCs w:val="24"/>
                <w:lang w:val="en-GB"/>
              </w:rPr>
              <w:t xml:space="preserve"> 1.06 h).</w:t>
            </w:r>
          </w:p>
        </w:tc>
        <w:tc>
          <w:tcPr>
            <w:tcW w:w="2835" w:type="dxa"/>
          </w:tcPr>
          <w:p w:rsidR="00B41C1C" w:rsidRPr="00A518CC" w:rsidRDefault="00B41C1C" w:rsidP="00B41C1C">
            <w:pPr>
              <w:spacing w:line="360" w:lineRule="auto"/>
              <w:jc w:val="both"/>
              <w:rPr>
                <w:rFonts w:ascii="Times New Roman" w:hAnsi="Times New Roman"/>
                <w:sz w:val="24"/>
                <w:szCs w:val="24"/>
                <w:lang w:val="en-GB"/>
              </w:rPr>
            </w:pPr>
            <w:r w:rsidRPr="00A518CC">
              <w:rPr>
                <w:rFonts w:ascii="Times New Roman" w:hAnsi="Times New Roman"/>
                <w:sz w:val="24"/>
                <w:szCs w:val="24"/>
                <w:lang w:val="en-GB"/>
              </w:rPr>
              <w:lastRenderedPageBreak/>
              <w:t>Less DET is absorbed when given SL than when given IM, because part of it does not reach the circulation. SL administration of DET oromucosal gel at 40 µg⁄kg produces safe sedation in horses. Slow absorption leads to fewer and less pronounced adverse effects than the more rapid absorption after IM injection.</w:t>
            </w:r>
          </w:p>
        </w:tc>
      </w:tr>
      <w:tr w:rsidR="00B41C1C" w:rsidRPr="00A518CC" w:rsidTr="00B41C1C">
        <w:tc>
          <w:tcPr>
            <w:tcW w:w="1384" w:type="dxa"/>
          </w:tcPr>
          <w:p w:rsidR="00B41C1C" w:rsidRPr="00A518CC" w:rsidRDefault="00A2062B" w:rsidP="00B41C1C">
            <w:pPr>
              <w:spacing w:line="360" w:lineRule="auto"/>
              <w:jc w:val="both"/>
              <w:rPr>
                <w:rFonts w:ascii="Times New Roman" w:hAnsi="Times New Roman"/>
                <w:sz w:val="24"/>
                <w:szCs w:val="24"/>
                <w:lang w:val="en-GB"/>
              </w:rPr>
            </w:pPr>
            <w:r w:rsidRPr="00A518CC">
              <w:rPr>
                <w:rFonts w:ascii="Times New Roman" w:hAnsi="Times New Roman"/>
                <w:sz w:val="24"/>
                <w:szCs w:val="24"/>
                <w:lang w:val="en-GB"/>
              </w:rPr>
              <w:lastRenderedPageBreak/>
              <w:fldChar w:fldCharType="begin" w:fldLock="1"/>
            </w:r>
            <w:r w:rsidR="00B41C1C" w:rsidRPr="00A518CC">
              <w:rPr>
                <w:rFonts w:ascii="Times New Roman" w:hAnsi="Times New Roman"/>
                <w:sz w:val="24"/>
                <w:szCs w:val="24"/>
                <w:lang w:val="en-GB"/>
              </w:rPr>
              <w:instrText>ADDIN CSL_CITATION { "citationItems" : [ { "id" : "ITEM-1", "itemData" : { "DOI" : "10.1111/vaa.12012", "ISSN" : "14672987", "PMID" : "23368795", "abstract" : "To investigate plasma drug concentrations and the effect of MK-467 (L-659'066) on sedation, heart rate and gut motility in horses sedated with intravenous (IV) detomidine.", "author" : [ { "dropping-particle" : "", "family" : "Vainionp\u00e4\u00e4", "given" : "Mari H.", "non-dropping-particle" : "", "parse-names" : false, "suffix" : "" }, { "dropping-particle" : "", "family" : "Raekallio", "given" : "Marja R.", "non-dropping-particle" : "", "parse-names" : false, "suffix" : "" }, { "dropping-particle" : "", "family" : "Pakkanen", "given" : "Soile Ae", "non-dropping-particle" : "", "parse-names" : false, "suffix" : "" }, { "dropping-particle" : "", "family" : "Ranta-Panula", "given" : "Ville", "non-dropping-particle" : "", "parse-names" : false, "suffix" : "" }, { "dropping-particle" : "", "family" : "Rinne", "given" : "Valtteri M.", "non-dropping-particle" : "", "parse-names" : false, "suffix" : "" }, { "dropping-particle" : "", "family" : "Scheinin", "given" : "Mika", "non-dropping-particle" : "", "parse-names" : false, "suffix" : "" }, { "dropping-particle" : "", "family" : "Vainio", "given" : "Outi M.", "non-dropping-particle" : "", "parse-names" : false, "suffix" : "" } ], "container-title" : "Veterinary Anaesthesia and Analgesia", "id" : "ITEM-1", "issue" : "3", "issued" : { "date-parts" : [ [ "2013" ] ] }, "page" : "257-264", "title" : "Plasma drug concentrations and clinical effects of a peripheral alpha-2-adrenoceptor antagonist, MK-467, in horses sedated with detomidine", "type" : "article-journal", "volume" : "40" }, "uris" : [ "http://www.mendeley.com/documents/?uuid=7690761e-57a4-47b5-b307-a3230e278da9" ] } ], "mendeley" : { "formattedCitation" : "(Vainionp\u00e4\u00e4 et al. 2013)", "plainTextFormattedCitation" : "(Vainionp\u00e4\u00e4 et al. 2013)", "previouslyFormattedCitation" : "(Vainionp\u00e4\u00e4 et al. 2013)" }, "properties" : { "noteIndex" : 0 }, "schema" : "https://github.com/citation-style-language/schema/raw/master/csl-citation.json" }</w:instrText>
            </w:r>
            <w:r w:rsidRPr="00A518CC">
              <w:rPr>
                <w:rFonts w:ascii="Times New Roman" w:hAnsi="Times New Roman"/>
                <w:sz w:val="24"/>
                <w:szCs w:val="24"/>
                <w:lang w:val="en-GB"/>
              </w:rPr>
              <w:fldChar w:fldCharType="separate"/>
            </w:r>
            <w:r w:rsidR="00B41C1C" w:rsidRPr="00A518CC">
              <w:rPr>
                <w:rFonts w:ascii="Times New Roman" w:hAnsi="Times New Roman"/>
                <w:noProof/>
                <w:sz w:val="24"/>
                <w:szCs w:val="24"/>
                <w:lang w:val="en-GB"/>
              </w:rPr>
              <w:t xml:space="preserve">(Vainionpää </w:t>
            </w:r>
            <w:r w:rsidR="00B41C1C" w:rsidRPr="00A518CC">
              <w:rPr>
                <w:rFonts w:ascii="Times New Roman" w:hAnsi="Times New Roman"/>
                <w:i/>
                <w:noProof/>
                <w:sz w:val="24"/>
                <w:szCs w:val="24"/>
                <w:lang w:val="en-GB"/>
              </w:rPr>
              <w:t>et al.,</w:t>
            </w:r>
            <w:r w:rsidR="00B41C1C" w:rsidRPr="00A518CC">
              <w:rPr>
                <w:rFonts w:ascii="Times New Roman" w:hAnsi="Times New Roman"/>
                <w:noProof/>
                <w:sz w:val="24"/>
                <w:szCs w:val="24"/>
                <w:lang w:val="en-GB"/>
              </w:rPr>
              <w:t xml:space="preserve"> 2013)</w:t>
            </w:r>
            <w:r w:rsidRPr="00A518CC">
              <w:rPr>
                <w:rFonts w:ascii="Times New Roman" w:hAnsi="Times New Roman"/>
                <w:sz w:val="24"/>
                <w:szCs w:val="24"/>
                <w:lang w:val="en-GB"/>
              </w:rPr>
              <w:fldChar w:fldCharType="end"/>
            </w:r>
          </w:p>
          <w:p w:rsidR="00B41C1C" w:rsidRPr="00A518CC" w:rsidRDefault="00B41C1C" w:rsidP="00B41C1C">
            <w:pPr>
              <w:spacing w:line="360" w:lineRule="auto"/>
              <w:jc w:val="both"/>
              <w:rPr>
                <w:rFonts w:ascii="Times New Roman" w:hAnsi="Times New Roman"/>
                <w:sz w:val="24"/>
                <w:szCs w:val="24"/>
                <w:lang w:val="en-GB"/>
              </w:rPr>
            </w:pPr>
          </w:p>
        </w:tc>
        <w:tc>
          <w:tcPr>
            <w:tcW w:w="1843" w:type="dxa"/>
          </w:tcPr>
          <w:p w:rsidR="00B41C1C" w:rsidRPr="00A518CC" w:rsidRDefault="00B41C1C" w:rsidP="00B41C1C">
            <w:pPr>
              <w:autoSpaceDE w:val="0"/>
              <w:autoSpaceDN w:val="0"/>
              <w:adjustRightInd w:val="0"/>
              <w:spacing w:line="360" w:lineRule="auto"/>
              <w:jc w:val="both"/>
              <w:rPr>
                <w:rFonts w:ascii="Times New Roman" w:hAnsi="Times New Roman"/>
                <w:sz w:val="24"/>
                <w:szCs w:val="24"/>
                <w:lang w:val="en-GB"/>
              </w:rPr>
            </w:pPr>
            <w:r w:rsidRPr="00A518CC">
              <w:rPr>
                <w:rFonts w:ascii="Times New Roman" w:hAnsi="Times New Roman"/>
                <w:sz w:val="24"/>
                <w:szCs w:val="24"/>
                <w:lang w:val="en-GB"/>
              </w:rPr>
              <w:t>Investigate plasma drug concentrations and the effect of the peripherally acting alpha-2-adrenoceptor antagonist MK-467 (L-659</w:t>
            </w:r>
            <w:r w:rsidRPr="00A518CC">
              <w:rPr>
                <w:rFonts w:ascii="Times New Roman" w:eastAsia="AdvTT3713a231+20" w:hAnsi="Times New Roman"/>
                <w:sz w:val="24"/>
                <w:szCs w:val="24"/>
                <w:lang w:val="en-GB"/>
              </w:rPr>
              <w:t>′</w:t>
            </w:r>
            <w:r w:rsidRPr="00A518CC">
              <w:rPr>
                <w:rFonts w:ascii="Times New Roman" w:hAnsi="Times New Roman"/>
                <w:sz w:val="24"/>
                <w:szCs w:val="24"/>
                <w:lang w:val="en-GB"/>
              </w:rPr>
              <w:t xml:space="preserve">066) on sedation, HR and gut motility in horses </w:t>
            </w:r>
            <w:r w:rsidRPr="00A518CC">
              <w:rPr>
                <w:rFonts w:ascii="Times New Roman" w:hAnsi="Times New Roman"/>
                <w:sz w:val="24"/>
                <w:szCs w:val="24"/>
                <w:lang w:val="en-GB"/>
              </w:rPr>
              <w:lastRenderedPageBreak/>
              <w:t>sedated with IV DET.</w:t>
            </w:r>
          </w:p>
        </w:tc>
        <w:tc>
          <w:tcPr>
            <w:tcW w:w="2551" w:type="dxa"/>
          </w:tcPr>
          <w:p w:rsidR="00B41C1C" w:rsidRPr="00A518CC" w:rsidRDefault="00B41C1C" w:rsidP="00B41C1C">
            <w:pPr>
              <w:autoSpaceDE w:val="0"/>
              <w:autoSpaceDN w:val="0"/>
              <w:adjustRightInd w:val="0"/>
              <w:spacing w:line="360" w:lineRule="auto"/>
              <w:jc w:val="both"/>
              <w:rPr>
                <w:rFonts w:ascii="Times New Roman" w:hAnsi="Times New Roman"/>
                <w:sz w:val="24"/>
                <w:szCs w:val="24"/>
                <w:lang w:val="en-GB"/>
              </w:rPr>
            </w:pPr>
            <w:r w:rsidRPr="00A518CC">
              <w:rPr>
                <w:rFonts w:ascii="Times New Roman" w:hAnsi="Times New Roman"/>
                <w:sz w:val="24"/>
                <w:szCs w:val="24"/>
                <w:lang w:val="en-GB"/>
              </w:rPr>
              <w:lastRenderedPageBreak/>
              <w:t>Six healthy Finnhorse mares were used.</w:t>
            </w:r>
            <w:r w:rsidRPr="00A518CC">
              <w:rPr>
                <w:rFonts w:ascii="Times New Roman" w:hAnsi="Times New Roman"/>
                <w:sz w:val="24"/>
                <w:szCs w:val="24"/>
                <w:lang w:val="en-US"/>
              </w:rPr>
              <w:t xml:space="preserve"> </w:t>
            </w:r>
            <w:r w:rsidRPr="00A518CC">
              <w:rPr>
                <w:rFonts w:ascii="Times New Roman" w:hAnsi="Times New Roman"/>
                <w:sz w:val="24"/>
                <w:szCs w:val="24"/>
                <w:lang w:val="en-GB"/>
              </w:rPr>
              <w:t>They were not pregnant and in winter anoestrus.</w:t>
            </w:r>
          </w:p>
          <w:p w:rsidR="00B41C1C" w:rsidRPr="00A518CC" w:rsidRDefault="00B41C1C" w:rsidP="00B41C1C">
            <w:pPr>
              <w:spacing w:line="360" w:lineRule="auto"/>
              <w:jc w:val="both"/>
              <w:rPr>
                <w:rFonts w:ascii="Times New Roman" w:hAnsi="Times New Roman"/>
                <w:sz w:val="24"/>
                <w:szCs w:val="24"/>
                <w:lang w:val="en-GB"/>
              </w:rPr>
            </w:pPr>
            <w:r w:rsidRPr="00A518CC">
              <w:rPr>
                <w:rFonts w:ascii="Times New Roman" w:hAnsi="Times New Roman"/>
                <w:sz w:val="24"/>
                <w:szCs w:val="24"/>
                <w:lang w:val="en-GB"/>
              </w:rPr>
              <w:t xml:space="preserve">The depth of sedation, intestinal sounds, attitude, </w:t>
            </w:r>
            <w:proofErr w:type="gramStart"/>
            <w:r w:rsidRPr="00A518CC">
              <w:rPr>
                <w:rFonts w:ascii="Times New Roman" w:hAnsi="Times New Roman"/>
                <w:sz w:val="24"/>
                <w:szCs w:val="24"/>
                <w:lang w:val="en-GB"/>
              </w:rPr>
              <w:t>posture</w:t>
            </w:r>
            <w:proofErr w:type="gramEnd"/>
            <w:r w:rsidRPr="00A518CC">
              <w:rPr>
                <w:rFonts w:ascii="Times New Roman" w:hAnsi="Times New Roman"/>
                <w:sz w:val="24"/>
                <w:szCs w:val="24"/>
                <w:lang w:val="en-GB"/>
              </w:rPr>
              <w:t xml:space="preserve">, height of the head, eyelid aperture and movement of the ears were scored before and after treatment. </w:t>
            </w:r>
          </w:p>
          <w:p w:rsidR="00B41C1C" w:rsidRPr="00A518CC" w:rsidRDefault="00B41C1C" w:rsidP="00B41C1C">
            <w:pPr>
              <w:spacing w:line="360" w:lineRule="auto"/>
              <w:jc w:val="both"/>
              <w:rPr>
                <w:rFonts w:ascii="Times New Roman" w:hAnsi="Times New Roman"/>
                <w:sz w:val="24"/>
                <w:szCs w:val="24"/>
                <w:lang w:val="en-GB"/>
              </w:rPr>
            </w:pPr>
            <w:r w:rsidRPr="00A518CC">
              <w:rPr>
                <w:rFonts w:ascii="Times New Roman" w:hAnsi="Times New Roman"/>
                <w:sz w:val="24"/>
                <w:szCs w:val="24"/>
                <w:lang w:val="en-GB"/>
              </w:rPr>
              <w:lastRenderedPageBreak/>
              <w:t>An electrocardiogram was recorded continuously, HR and rhythm were evaluated before and after of the injection.</w:t>
            </w:r>
          </w:p>
          <w:p w:rsidR="00B41C1C" w:rsidRPr="00A518CC" w:rsidRDefault="00B41C1C" w:rsidP="00B41C1C">
            <w:pPr>
              <w:spacing w:line="360" w:lineRule="auto"/>
              <w:jc w:val="both"/>
              <w:rPr>
                <w:rFonts w:ascii="Times New Roman" w:hAnsi="Times New Roman"/>
                <w:sz w:val="24"/>
                <w:szCs w:val="24"/>
                <w:lang w:val="en-GB"/>
              </w:rPr>
            </w:pPr>
            <w:r w:rsidRPr="00A518CC">
              <w:rPr>
                <w:rFonts w:ascii="Times New Roman" w:hAnsi="Times New Roman"/>
                <w:sz w:val="24"/>
                <w:szCs w:val="24"/>
                <w:lang w:val="en-GB"/>
              </w:rPr>
              <w:t xml:space="preserve">Blood was collected after drug administration. </w:t>
            </w:r>
          </w:p>
        </w:tc>
        <w:tc>
          <w:tcPr>
            <w:tcW w:w="1843" w:type="dxa"/>
          </w:tcPr>
          <w:p w:rsidR="00B41C1C" w:rsidRPr="00A518CC" w:rsidRDefault="00B41C1C" w:rsidP="00B41C1C">
            <w:pPr>
              <w:spacing w:line="360" w:lineRule="auto"/>
              <w:jc w:val="both"/>
              <w:rPr>
                <w:rFonts w:ascii="Times New Roman" w:hAnsi="Times New Roman"/>
                <w:sz w:val="24"/>
                <w:szCs w:val="24"/>
                <w:lang w:val="en-GB"/>
              </w:rPr>
            </w:pPr>
            <w:proofErr w:type="gramStart"/>
            <w:r w:rsidRPr="00A518CC">
              <w:rPr>
                <w:rFonts w:ascii="Times New Roman" w:hAnsi="Times New Roman"/>
                <w:sz w:val="24"/>
                <w:szCs w:val="24"/>
                <w:lang w:val="en-GB"/>
              </w:rPr>
              <w:lastRenderedPageBreak/>
              <w:t>10 µg⁄kg</w:t>
            </w:r>
            <w:r w:rsidRPr="00A518CC">
              <w:rPr>
                <w:rFonts w:ascii="Times New Roman" w:hAnsi="Times New Roman"/>
                <w:sz w:val="24"/>
                <w:szCs w:val="24"/>
                <w:vertAlign w:val="superscript"/>
                <w:lang w:val="en-GB"/>
              </w:rPr>
              <w:t>-1</w:t>
            </w:r>
            <w:r w:rsidRPr="00A518CC">
              <w:rPr>
                <w:rFonts w:ascii="Times New Roman" w:hAnsi="Times New Roman"/>
                <w:sz w:val="24"/>
                <w:szCs w:val="24"/>
                <w:lang w:val="en-GB"/>
              </w:rPr>
              <w:t xml:space="preserve"> DET (Equisedan, Vetcare, Finland) was</w:t>
            </w:r>
            <w:proofErr w:type="gramEnd"/>
            <w:r w:rsidRPr="00A518CC">
              <w:rPr>
                <w:rFonts w:ascii="Times New Roman" w:hAnsi="Times New Roman"/>
                <w:sz w:val="24"/>
                <w:szCs w:val="24"/>
                <w:lang w:val="en-GB"/>
              </w:rPr>
              <w:t xml:space="preserve"> administered IV alone and in combination with MK467 250 µg⁄kg</w:t>
            </w:r>
            <w:r w:rsidRPr="00A518CC">
              <w:rPr>
                <w:rFonts w:ascii="Times New Roman" w:hAnsi="Times New Roman"/>
                <w:sz w:val="24"/>
                <w:szCs w:val="24"/>
                <w:vertAlign w:val="superscript"/>
                <w:lang w:val="en-GB"/>
              </w:rPr>
              <w:t>-1</w:t>
            </w:r>
            <w:r w:rsidRPr="00A518CC">
              <w:rPr>
                <w:rFonts w:ascii="Times New Roman" w:hAnsi="Times New Roman"/>
                <w:sz w:val="24"/>
                <w:szCs w:val="24"/>
                <w:lang w:val="en-GB"/>
              </w:rPr>
              <w:t xml:space="preserve"> (Merck &amp; Co., Inc., NJ, USA) IV in a </w:t>
            </w:r>
            <w:r w:rsidRPr="00A518CC">
              <w:rPr>
                <w:rFonts w:ascii="Times New Roman" w:hAnsi="Times New Roman"/>
                <w:sz w:val="24"/>
                <w:szCs w:val="24"/>
                <w:lang w:val="en-GB"/>
              </w:rPr>
              <w:lastRenderedPageBreak/>
              <w:t>randomized, crossover design with a minimum of 14 days between treatments.</w:t>
            </w:r>
          </w:p>
        </w:tc>
        <w:tc>
          <w:tcPr>
            <w:tcW w:w="2410" w:type="dxa"/>
          </w:tcPr>
          <w:p w:rsidR="00B41C1C" w:rsidRPr="00A518CC" w:rsidRDefault="00B41C1C" w:rsidP="00B41C1C">
            <w:pPr>
              <w:spacing w:line="360" w:lineRule="auto"/>
              <w:jc w:val="both"/>
              <w:rPr>
                <w:rFonts w:ascii="Times New Roman" w:hAnsi="Times New Roman"/>
                <w:sz w:val="24"/>
                <w:szCs w:val="24"/>
                <w:lang w:val="en-GB"/>
              </w:rPr>
            </w:pPr>
            <w:r w:rsidRPr="00A518CC">
              <w:rPr>
                <w:rFonts w:ascii="Times New Roman" w:hAnsi="Times New Roman"/>
                <w:sz w:val="24"/>
                <w:szCs w:val="24"/>
                <w:lang w:val="en-GB"/>
              </w:rPr>
              <w:lastRenderedPageBreak/>
              <w:t>AUC</w:t>
            </w:r>
            <w:r w:rsidRPr="00A518CC">
              <w:rPr>
                <w:rFonts w:ascii="Times New Roman" w:hAnsi="Times New Roman"/>
                <w:sz w:val="24"/>
                <w:szCs w:val="24"/>
                <w:vertAlign w:val="subscript"/>
                <w:lang w:val="en-GB"/>
              </w:rPr>
              <w:t>sed</w:t>
            </w:r>
            <w:r w:rsidRPr="00A518CC">
              <w:rPr>
                <w:rFonts w:ascii="Times New Roman" w:hAnsi="Times New Roman"/>
                <w:sz w:val="24"/>
                <w:szCs w:val="24"/>
                <w:lang w:val="en-GB"/>
              </w:rPr>
              <w:t xml:space="preserve"> was significantly higher with DET than DET+MK467, but maximal sedations scores did not differ significantly between treatments. MK467 lowered the AUC of the plasma concentration of DET, and increased its </w:t>
            </w:r>
            <w:r w:rsidRPr="00A518CC">
              <w:rPr>
                <w:rFonts w:ascii="Times New Roman" w:hAnsi="Times New Roman"/>
                <w:sz w:val="24"/>
                <w:szCs w:val="24"/>
                <w:lang w:val="en-GB"/>
              </w:rPr>
              <w:lastRenderedPageBreak/>
              <w:t xml:space="preserve">volume of distribution and clearance. A significant reduction in HR was detected after DET. HR was significantly higher after DET-MK467 than DET. </w:t>
            </w:r>
          </w:p>
          <w:p w:rsidR="00B41C1C" w:rsidRPr="00A518CC" w:rsidRDefault="00B41C1C" w:rsidP="00B41C1C">
            <w:pPr>
              <w:autoSpaceDE w:val="0"/>
              <w:autoSpaceDN w:val="0"/>
              <w:adjustRightInd w:val="0"/>
              <w:spacing w:line="360" w:lineRule="auto"/>
              <w:jc w:val="both"/>
              <w:rPr>
                <w:rFonts w:ascii="Times New Roman" w:hAnsi="Times New Roman"/>
                <w:sz w:val="24"/>
                <w:szCs w:val="24"/>
                <w:lang w:val="en-GB"/>
              </w:rPr>
            </w:pPr>
            <w:r w:rsidRPr="00A518CC">
              <w:rPr>
                <w:rFonts w:ascii="Times New Roman" w:hAnsi="Times New Roman"/>
                <w:sz w:val="24"/>
                <w:szCs w:val="24"/>
                <w:lang w:val="en-GB"/>
              </w:rPr>
              <w:t xml:space="preserve">DET induced intestinal hypomotility, was prevented by MK467. </w:t>
            </w:r>
          </w:p>
        </w:tc>
        <w:tc>
          <w:tcPr>
            <w:tcW w:w="2835" w:type="dxa"/>
          </w:tcPr>
          <w:p w:rsidR="00B41C1C" w:rsidRPr="00A518CC" w:rsidRDefault="00B41C1C" w:rsidP="00B41C1C">
            <w:pPr>
              <w:autoSpaceDE w:val="0"/>
              <w:autoSpaceDN w:val="0"/>
              <w:adjustRightInd w:val="0"/>
              <w:spacing w:line="360" w:lineRule="auto"/>
              <w:jc w:val="both"/>
              <w:rPr>
                <w:rFonts w:ascii="Times New Roman" w:hAnsi="Times New Roman"/>
                <w:sz w:val="24"/>
                <w:szCs w:val="24"/>
                <w:lang w:val="en-GB"/>
              </w:rPr>
            </w:pPr>
            <w:r w:rsidRPr="00A518CC">
              <w:rPr>
                <w:rFonts w:ascii="Times New Roman" w:hAnsi="Times New Roman"/>
                <w:sz w:val="24"/>
                <w:szCs w:val="24"/>
                <w:lang w:val="en-GB"/>
              </w:rPr>
              <w:lastRenderedPageBreak/>
              <w:t xml:space="preserve">MK467 prevented DET induced bradycardia and intestinal hypomotility. MK467 did not affect the clinical quality of DET-induced sedation, but the duration of the effect was reduced, which may have been caused by the effects of MK467 on the plasma concentration of DET. MK467 may be useful </w:t>
            </w:r>
            <w:r w:rsidRPr="00A518CC">
              <w:rPr>
                <w:rFonts w:ascii="Times New Roman" w:hAnsi="Times New Roman"/>
                <w:sz w:val="24"/>
                <w:szCs w:val="24"/>
                <w:lang w:val="en-GB"/>
              </w:rPr>
              <w:lastRenderedPageBreak/>
              <w:t>clinically in the prevention of certain peripheral side effects of DET in horses.</w:t>
            </w:r>
          </w:p>
        </w:tc>
      </w:tr>
    </w:tbl>
    <w:p w:rsidR="00B41C1C" w:rsidRPr="00A518CC" w:rsidRDefault="00B41C1C" w:rsidP="00B41C1C">
      <w:pPr>
        <w:spacing w:line="360" w:lineRule="auto"/>
        <w:rPr>
          <w:rFonts w:ascii="Times New Roman" w:hAnsi="Times New Roman"/>
          <w:sz w:val="24"/>
          <w:szCs w:val="24"/>
          <w:lang w:val="en-US"/>
        </w:rPr>
      </w:pPr>
    </w:p>
    <w:p w:rsidR="00B41C1C" w:rsidRPr="00A518CC" w:rsidRDefault="00B41C1C" w:rsidP="00B41C1C">
      <w:pPr>
        <w:pStyle w:val="NormalWeb"/>
        <w:spacing w:line="360" w:lineRule="auto"/>
        <w:ind w:left="480" w:hanging="480"/>
        <w:rPr>
          <w:rFonts w:ascii="Times New Roman" w:hAnsi="Times New Roman"/>
          <w:sz w:val="24"/>
          <w:szCs w:val="24"/>
          <w:lang w:val="en-US"/>
        </w:rPr>
      </w:pPr>
    </w:p>
    <w:p w:rsidR="00B41C1C" w:rsidRPr="00A518CC" w:rsidRDefault="00B41C1C" w:rsidP="00B41C1C">
      <w:pPr>
        <w:pStyle w:val="NormalWeb"/>
        <w:spacing w:line="360" w:lineRule="auto"/>
        <w:ind w:left="480" w:hanging="480"/>
        <w:rPr>
          <w:rFonts w:ascii="Times New Roman" w:hAnsi="Times New Roman"/>
          <w:sz w:val="24"/>
          <w:szCs w:val="24"/>
          <w:lang w:val="en-US"/>
        </w:rPr>
      </w:pPr>
    </w:p>
    <w:p w:rsidR="00B41C1C" w:rsidRPr="00A518CC" w:rsidRDefault="00B41C1C" w:rsidP="00B41C1C">
      <w:pPr>
        <w:pStyle w:val="NormalWeb"/>
        <w:spacing w:line="360" w:lineRule="auto"/>
        <w:ind w:left="480" w:hanging="480"/>
        <w:rPr>
          <w:rFonts w:ascii="Times New Roman" w:hAnsi="Times New Roman"/>
          <w:sz w:val="24"/>
          <w:szCs w:val="24"/>
          <w:lang w:val="en-US"/>
        </w:rPr>
      </w:pPr>
    </w:p>
    <w:p w:rsidR="00B41C1C" w:rsidRPr="00A518CC" w:rsidRDefault="00B41C1C" w:rsidP="00B41C1C">
      <w:pPr>
        <w:pStyle w:val="NormalWeb"/>
        <w:spacing w:line="360" w:lineRule="auto"/>
        <w:ind w:left="480" w:hanging="480"/>
        <w:rPr>
          <w:rFonts w:ascii="Times New Roman" w:hAnsi="Times New Roman"/>
          <w:sz w:val="24"/>
          <w:szCs w:val="24"/>
          <w:lang w:val="en-US"/>
        </w:rPr>
      </w:pPr>
    </w:p>
    <w:p w:rsidR="00B41C1C" w:rsidRPr="00A518CC" w:rsidRDefault="00B41C1C" w:rsidP="00B41C1C">
      <w:pPr>
        <w:pStyle w:val="NormalWeb"/>
        <w:spacing w:line="360" w:lineRule="auto"/>
        <w:ind w:left="480" w:hanging="480"/>
        <w:rPr>
          <w:rFonts w:ascii="Times New Roman" w:hAnsi="Times New Roman"/>
          <w:sz w:val="24"/>
          <w:szCs w:val="24"/>
          <w:lang w:val="en-US"/>
        </w:rPr>
      </w:pPr>
    </w:p>
    <w:p w:rsidR="00B41C1C" w:rsidRPr="00A518CC" w:rsidRDefault="00B41C1C" w:rsidP="00B41C1C">
      <w:pPr>
        <w:spacing w:line="360" w:lineRule="auto"/>
        <w:rPr>
          <w:rFonts w:ascii="Times New Roman" w:hAnsi="Times New Roman"/>
          <w:sz w:val="24"/>
          <w:szCs w:val="24"/>
          <w:lang w:val="en-US"/>
        </w:rPr>
      </w:pPr>
      <w:proofErr w:type="gramStart"/>
      <w:r w:rsidRPr="00A518CC">
        <w:rPr>
          <w:rFonts w:ascii="Times New Roman" w:hAnsi="Times New Roman"/>
          <w:b/>
          <w:sz w:val="24"/>
          <w:szCs w:val="24"/>
          <w:lang w:val="en-US"/>
        </w:rPr>
        <w:lastRenderedPageBreak/>
        <w:t>Table 2.</w:t>
      </w:r>
      <w:proofErr w:type="gramEnd"/>
      <w:r w:rsidRPr="00A518CC">
        <w:rPr>
          <w:rFonts w:ascii="Times New Roman" w:hAnsi="Times New Roman"/>
          <w:sz w:val="24"/>
          <w:szCs w:val="24"/>
          <w:lang w:val="en-US"/>
        </w:rPr>
        <w:t xml:space="preserve"> </w:t>
      </w:r>
      <w:proofErr w:type="gramStart"/>
      <w:r w:rsidRPr="00A518CC">
        <w:rPr>
          <w:rFonts w:ascii="Times New Roman" w:hAnsi="Times New Roman"/>
          <w:sz w:val="24"/>
          <w:szCs w:val="24"/>
          <w:lang w:val="en-US"/>
        </w:rPr>
        <w:t>Effects of yohimbine in horses on clinics, pharmacodynamics or pharmacokinetics parameters.</w:t>
      </w:r>
      <w:proofErr w:type="gramEnd"/>
    </w:p>
    <w:tbl>
      <w:tblPr>
        <w:tblStyle w:val="Tablaconcuadrcula"/>
        <w:tblW w:w="12900" w:type="dxa"/>
        <w:tblInd w:w="-34"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418"/>
        <w:gridCol w:w="1843"/>
        <w:gridCol w:w="2551"/>
        <w:gridCol w:w="1843"/>
        <w:gridCol w:w="2410"/>
        <w:gridCol w:w="2835"/>
      </w:tblGrid>
      <w:tr w:rsidR="00B41C1C" w:rsidRPr="00A518CC" w:rsidTr="00B41C1C">
        <w:tc>
          <w:tcPr>
            <w:tcW w:w="1418" w:type="dxa"/>
            <w:tcBorders>
              <w:top w:val="single" w:sz="4" w:space="0" w:color="auto"/>
              <w:bottom w:val="single" w:sz="4" w:space="0" w:color="auto"/>
            </w:tcBorders>
          </w:tcPr>
          <w:p w:rsidR="00B41C1C" w:rsidRPr="00A518CC" w:rsidRDefault="00B41C1C" w:rsidP="00B41C1C">
            <w:pPr>
              <w:spacing w:line="360" w:lineRule="auto"/>
              <w:jc w:val="center"/>
              <w:rPr>
                <w:rFonts w:ascii="Times New Roman" w:hAnsi="Times New Roman"/>
                <w:sz w:val="24"/>
                <w:szCs w:val="24"/>
              </w:rPr>
            </w:pPr>
            <w:r w:rsidRPr="00A518CC">
              <w:rPr>
                <w:rFonts w:ascii="Times New Roman" w:hAnsi="Times New Roman"/>
                <w:b/>
                <w:sz w:val="24"/>
                <w:szCs w:val="24"/>
                <w:lang w:val="en-GB"/>
              </w:rPr>
              <w:t xml:space="preserve">Authors </w:t>
            </w:r>
          </w:p>
        </w:tc>
        <w:tc>
          <w:tcPr>
            <w:tcW w:w="1843" w:type="dxa"/>
            <w:tcBorders>
              <w:top w:val="single" w:sz="4" w:space="0" w:color="auto"/>
              <w:bottom w:val="single" w:sz="4" w:space="0" w:color="auto"/>
            </w:tcBorders>
          </w:tcPr>
          <w:p w:rsidR="00B41C1C" w:rsidRPr="00A518CC" w:rsidRDefault="00B41C1C" w:rsidP="00B41C1C">
            <w:pPr>
              <w:spacing w:line="360" w:lineRule="auto"/>
              <w:jc w:val="center"/>
              <w:rPr>
                <w:rFonts w:ascii="Times New Roman" w:hAnsi="Times New Roman"/>
                <w:sz w:val="24"/>
                <w:szCs w:val="24"/>
              </w:rPr>
            </w:pPr>
            <w:r w:rsidRPr="00A518CC">
              <w:rPr>
                <w:rFonts w:ascii="Times New Roman" w:hAnsi="Times New Roman"/>
                <w:b/>
                <w:sz w:val="24"/>
                <w:szCs w:val="24"/>
                <w:lang w:val="en-GB"/>
              </w:rPr>
              <w:t xml:space="preserve">Objective </w:t>
            </w:r>
          </w:p>
        </w:tc>
        <w:tc>
          <w:tcPr>
            <w:tcW w:w="2551" w:type="dxa"/>
            <w:tcBorders>
              <w:top w:val="single" w:sz="4" w:space="0" w:color="auto"/>
              <w:bottom w:val="single" w:sz="4" w:space="0" w:color="auto"/>
            </w:tcBorders>
          </w:tcPr>
          <w:p w:rsidR="00B41C1C" w:rsidRPr="00A518CC" w:rsidRDefault="00B41C1C" w:rsidP="00B41C1C">
            <w:pPr>
              <w:spacing w:line="360" w:lineRule="auto"/>
              <w:jc w:val="center"/>
              <w:rPr>
                <w:rFonts w:ascii="Times New Roman" w:hAnsi="Times New Roman"/>
                <w:sz w:val="24"/>
                <w:szCs w:val="24"/>
              </w:rPr>
            </w:pPr>
            <w:r w:rsidRPr="00A518CC">
              <w:rPr>
                <w:rFonts w:ascii="Times New Roman" w:hAnsi="Times New Roman"/>
                <w:b/>
                <w:sz w:val="24"/>
                <w:szCs w:val="24"/>
                <w:lang w:val="en-GB"/>
              </w:rPr>
              <w:t>Experimental model</w:t>
            </w:r>
          </w:p>
        </w:tc>
        <w:tc>
          <w:tcPr>
            <w:tcW w:w="1843" w:type="dxa"/>
            <w:tcBorders>
              <w:top w:val="single" w:sz="4" w:space="0" w:color="auto"/>
              <w:bottom w:val="single" w:sz="4" w:space="0" w:color="auto"/>
            </w:tcBorders>
          </w:tcPr>
          <w:p w:rsidR="00B41C1C" w:rsidRPr="00A518CC" w:rsidRDefault="00B41C1C" w:rsidP="00B41C1C">
            <w:pPr>
              <w:spacing w:line="360" w:lineRule="auto"/>
              <w:jc w:val="center"/>
              <w:rPr>
                <w:rFonts w:ascii="Times New Roman" w:hAnsi="Times New Roman"/>
                <w:sz w:val="24"/>
                <w:szCs w:val="24"/>
              </w:rPr>
            </w:pPr>
            <w:r w:rsidRPr="00A518CC">
              <w:rPr>
                <w:rFonts w:ascii="Times New Roman" w:hAnsi="Times New Roman"/>
                <w:b/>
                <w:sz w:val="24"/>
                <w:szCs w:val="24"/>
                <w:lang w:val="en-GB"/>
              </w:rPr>
              <w:t>Dose and administration route</w:t>
            </w:r>
          </w:p>
        </w:tc>
        <w:tc>
          <w:tcPr>
            <w:tcW w:w="2410" w:type="dxa"/>
            <w:tcBorders>
              <w:top w:val="single" w:sz="4" w:space="0" w:color="auto"/>
              <w:bottom w:val="single" w:sz="4" w:space="0" w:color="auto"/>
            </w:tcBorders>
          </w:tcPr>
          <w:p w:rsidR="00B41C1C" w:rsidRPr="00A518CC" w:rsidRDefault="00B41C1C" w:rsidP="00B41C1C">
            <w:pPr>
              <w:spacing w:line="360" w:lineRule="auto"/>
              <w:jc w:val="center"/>
              <w:rPr>
                <w:rFonts w:ascii="Times New Roman" w:hAnsi="Times New Roman"/>
                <w:sz w:val="24"/>
                <w:szCs w:val="24"/>
                <w:lang w:val="en-US"/>
              </w:rPr>
            </w:pPr>
            <w:r w:rsidRPr="00A518CC">
              <w:rPr>
                <w:rFonts w:ascii="Times New Roman" w:hAnsi="Times New Roman"/>
                <w:b/>
                <w:sz w:val="24"/>
                <w:szCs w:val="24"/>
                <w:lang w:val="en-GB"/>
              </w:rPr>
              <w:t>Pharmacokinetics, pharmacodynamics or behavioural changes</w:t>
            </w:r>
          </w:p>
        </w:tc>
        <w:tc>
          <w:tcPr>
            <w:tcW w:w="2835" w:type="dxa"/>
            <w:tcBorders>
              <w:top w:val="single" w:sz="4" w:space="0" w:color="auto"/>
              <w:bottom w:val="single" w:sz="4" w:space="0" w:color="auto"/>
            </w:tcBorders>
          </w:tcPr>
          <w:p w:rsidR="00B41C1C" w:rsidRPr="00A518CC" w:rsidRDefault="00B41C1C" w:rsidP="00B41C1C">
            <w:pPr>
              <w:spacing w:line="360" w:lineRule="auto"/>
              <w:jc w:val="center"/>
              <w:rPr>
                <w:rFonts w:ascii="Times New Roman" w:hAnsi="Times New Roman"/>
                <w:sz w:val="24"/>
                <w:szCs w:val="24"/>
              </w:rPr>
            </w:pPr>
            <w:r w:rsidRPr="00A518CC">
              <w:rPr>
                <w:rFonts w:ascii="Times New Roman" w:hAnsi="Times New Roman"/>
                <w:b/>
                <w:sz w:val="24"/>
                <w:szCs w:val="24"/>
                <w:lang w:val="en-GB"/>
              </w:rPr>
              <w:t>Conclusion</w:t>
            </w:r>
          </w:p>
        </w:tc>
      </w:tr>
      <w:tr w:rsidR="00B41C1C" w:rsidRPr="00A518CC" w:rsidTr="00B41C1C">
        <w:tc>
          <w:tcPr>
            <w:tcW w:w="1418" w:type="dxa"/>
            <w:tcBorders>
              <w:top w:val="single" w:sz="4" w:space="0" w:color="auto"/>
            </w:tcBorders>
          </w:tcPr>
          <w:p w:rsidR="00B41C1C" w:rsidRPr="00A518CC" w:rsidRDefault="00A2062B" w:rsidP="00B41C1C">
            <w:pPr>
              <w:spacing w:line="360" w:lineRule="auto"/>
              <w:jc w:val="both"/>
              <w:rPr>
                <w:rFonts w:ascii="Times New Roman" w:hAnsi="Times New Roman"/>
                <w:sz w:val="24"/>
                <w:szCs w:val="24"/>
                <w:lang w:val="en-US"/>
              </w:rPr>
            </w:pPr>
            <w:r w:rsidRPr="00A518CC">
              <w:rPr>
                <w:rFonts w:ascii="Times New Roman" w:hAnsi="Times New Roman"/>
                <w:sz w:val="24"/>
                <w:szCs w:val="24"/>
                <w:lang w:val="en-US"/>
              </w:rPr>
              <w:fldChar w:fldCharType="begin" w:fldLock="1"/>
            </w:r>
            <w:r w:rsidR="00B41C1C" w:rsidRPr="00A518CC">
              <w:rPr>
                <w:rFonts w:ascii="Times New Roman" w:hAnsi="Times New Roman"/>
                <w:sz w:val="24"/>
                <w:szCs w:val="24"/>
                <w:lang w:val="en-US"/>
              </w:rPr>
              <w:instrText>ADDIN CSL_CITATION { "citationItems" : [ { "id" : "ITEM-1", "itemData" : { "DOI" : "10.1111/j.1365-2885.2010.01194.x", "ISSN" : "01407783", "PMID" : "21219345", "abstract" : "Yohimbine is an alpha 2 adrenergic receptor antagonist used most commonly in veterinary medicine to reverse the effects of the alpha 2 receptor agonists, xylazine and detomidine. Most notably, yohimbine has been shown to counteract the CNS depressant effects of alpha 2 receptor agonists in a number of species. The recent identification of a yohimbine positive urine sample collected from a horse racing in California has led to the investigation of the pharmacokinetics of this compound. Eight healthy adult horses received a single intravenous dose of 0.12\u2003mg/kg yohimbine. Blood samples were collected at time 0 (prior to drug administration) and at various times up to 72\u2003h post drug administration. Plasma samples were analyzed using liquid chromatography-mass spectrometry (LC-MS) and data analyzed using both noncompartmental and compartmental analysis. Peak plasma concentration was 114.5\u2003+\u200331.8\u2003ng/mL and occurred at 0.09\u2003+\u20030.03\u2003h. Mean\u2003\u00b1\u2003SD systemic clearance (Cls) and steady-state volume of distribution (Vdss) were 13.5\u2003+\u20032.1\u2003mL/min/kg and 3.3\u2003+\u20031.3\u2003L/kg following noncompartmental analysis. For compartmental analysis, plasma yohimbine vs. time data were best fitted to a two compartment model. Mean\u2003\u00b1\u2003SD Cls and Vdss of yohimbine were 13.6\u2003\u00b1\u20032.0\u2003mL/min/kg and 3.2\u2003\u00b1\u20031.1\u2003L/kg, respectively. Mean\u2003\u00b1\u2003SD terminal elimination half-life was 4.4\u2003\u00b1\u20030.9\u2003h following noncompartmental analysis. Immediately following administration, two horses showed signs of sedation, while the other six appeared behaviorally unaffected. Gastrointestinal sounds were moderately increased compared to baseline while fecal consistency appeared normal.", "author" : [ { "dropping-particle" : "", "family" : "Dimaio Knych", "given" : "H. K.", "non-dropping-particle" : "", "parse-names" : false, "suffix" : "" }, { "dropping-particle" : "", "family" : "Steffey", "given" : "E. P.", "non-dropping-particle" : "", "parse-names" : false, "suffix" : "" }, { "dropping-particle" : "", "family" : "Deuel", "given" : "J. L.", "non-dropping-particle" : "", "parse-names" : false, "suffix" : "" }, { "dropping-particle" : "", "family" : "Shepard", "given" : "R. a.", "non-dropping-particle" : "", "parse-names" : false, "suffix" : "" }, { "dropping-particle" : "", "family" : "Stanley", "given" : "S. D.", "non-dropping-particle" : "", "parse-names" : false, "suffix" : "" } ], "container-title" : "Journal of Veterinary Pharmacology and Therapeutics", "id" : "ITEM-1", "issue" : "1", "issued" : { "date-parts" : [ [ "2011" ] ] }, "page" : "58-63", "title" : "Pharmacokinetics of yohimbine following intravenous administration to horses", "type" : "article-journal", "volume" : "34" }, "uris" : [ "http://www.mendeley.com/documents/?uuid=70cf13dc-bfaa-4fb4-a3a1-bfb670f17d8a" ] } ], "mendeley" : { "formattedCitation" : "(H. K. Dimaio Knych et al. 2011)", "plainTextFormattedCitation" : "(H. K. Dimaio Knych et al. 2011)", "previouslyFormattedCitation" : "(H. K. Dimaio Knych et al. 2011)" }, "properties" : { "noteIndex" : 0 }, "schema" : "https://github.com/citation-style-language/schema/raw/master/csl-citation.json" }</w:instrText>
            </w:r>
            <w:r w:rsidRPr="00A518CC">
              <w:rPr>
                <w:rFonts w:ascii="Times New Roman" w:hAnsi="Times New Roman"/>
                <w:sz w:val="24"/>
                <w:szCs w:val="24"/>
                <w:lang w:val="en-US"/>
              </w:rPr>
              <w:fldChar w:fldCharType="separate"/>
            </w:r>
            <w:r w:rsidR="00B41C1C" w:rsidRPr="00A518CC">
              <w:rPr>
                <w:rFonts w:ascii="Times New Roman" w:hAnsi="Times New Roman"/>
                <w:noProof/>
                <w:sz w:val="24"/>
                <w:szCs w:val="24"/>
                <w:lang w:val="en-US"/>
              </w:rPr>
              <w:t xml:space="preserve">(Dimaio Knych </w:t>
            </w:r>
            <w:r w:rsidR="00B41C1C" w:rsidRPr="00A518CC">
              <w:rPr>
                <w:rFonts w:ascii="Times New Roman" w:hAnsi="Times New Roman"/>
                <w:i/>
                <w:noProof/>
                <w:sz w:val="24"/>
                <w:szCs w:val="24"/>
                <w:lang w:val="en-US"/>
              </w:rPr>
              <w:t>et al</w:t>
            </w:r>
            <w:r w:rsidR="00B41C1C" w:rsidRPr="00A518CC">
              <w:rPr>
                <w:rFonts w:ascii="Times New Roman" w:hAnsi="Times New Roman"/>
                <w:noProof/>
                <w:sz w:val="24"/>
                <w:szCs w:val="24"/>
                <w:lang w:val="en-US"/>
              </w:rPr>
              <w:t>. 2011)</w:t>
            </w:r>
            <w:r w:rsidRPr="00A518CC">
              <w:rPr>
                <w:rFonts w:ascii="Times New Roman" w:hAnsi="Times New Roman"/>
                <w:sz w:val="24"/>
                <w:szCs w:val="24"/>
                <w:lang w:val="en-US"/>
              </w:rPr>
              <w:fldChar w:fldCharType="end"/>
            </w:r>
          </w:p>
        </w:tc>
        <w:tc>
          <w:tcPr>
            <w:tcW w:w="1843" w:type="dxa"/>
            <w:tcBorders>
              <w:top w:val="single" w:sz="4" w:space="0" w:color="auto"/>
            </w:tcBorders>
          </w:tcPr>
          <w:p w:rsidR="00B41C1C" w:rsidRPr="00A518CC" w:rsidRDefault="00B41C1C" w:rsidP="00B41C1C">
            <w:pPr>
              <w:autoSpaceDE w:val="0"/>
              <w:autoSpaceDN w:val="0"/>
              <w:adjustRightInd w:val="0"/>
              <w:spacing w:line="360" w:lineRule="auto"/>
              <w:jc w:val="both"/>
              <w:rPr>
                <w:rFonts w:ascii="Times New Roman" w:hAnsi="Times New Roman"/>
                <w:sz w:val="24"/>
                <w:szCs w:val="24"/>
                <w:lang w:val="en-GB"/>
              </w:rPr>
            </w:pPr>
            <w:r w:rsidRPr="00A518CC">
              <w:rPr>
                <w:rFonts w:ascii="Times New Roman" w:hAnsi="Times New Roman"/>
                <w:sz w:val="24"/>
                <w:szCs w:val="24"/>
                <w:lang w:val="en-GB"/>
              </w:rPr>
              <w:t>Determine the pharmacokinetic profile of IV administered YOH in horse.</w:t>
            </w:r>
          </w:p>
        </w:tc>
        <w:tc>
          <w:tcPr>
            <w:tcW w:w="2551" w:type="dxa"/>
            <w:tcBorders>
              <w:top w:val="single" w:sz="4" w:space="0" w:color="auto"/>
            </w:tcBorders>
          </w:tcPr>
          <w:p w:rsidR="00B41C1C" w:rsidRPr="00A518CC" w:rsidRDefault="00B41C1C" w:rsidP="00B41C1C">
            <w:pPr>
              <w:autoSpaceDE w:val="0"/>
              <w:autoSpaceDN w:val="0"/>
              <w:adjustRightInd w:val="0"/>
              <w:spacing w:line="360" w:lineRule="auto"/>
              <w:jc w:val="both"/>
              <w:rPr>
                <w:rFonts w:ascii="Times New Roman" w:hAnsi="Times New Roman"/>
                <w:sz w:val="24"/>
                <w:szCs w:val="24"/>
                <w:lang w:val="en-GB"/>
              </w:rPr>
            </w:pPr>
            <w:r w:rsidRPr="00A518CC">
              <w:rPr>
                <w:rFonts w:ascii="Times New Roman" w:hAnsi="Times New Roman"/>
                <w:sz w:val="24"/>
                <w:szCs w:val="24"/>
                <w:lang w:val="en-GB"/>
              </w:rPr>
              <w:t>Eight healthy unmedicated adult horses including seven thoroughbreds and one Standardbred.</w:t>
            </w:r>
          </w:p>
          <w:p w:rsidR="00B41C1C" w:rsidRPr="00A518CC" w:rsidRDefault="00B41C1C" w:rsidP="00B41C1C">
            <w:pPr>
              <w:spacing w:line="360" w:lineRule="auto"/>
              <w:jc w:val="both"/>
              <w:rPr>
                <w:rFonts w:ascii="Times New Roman" w:hAnsi="Times New Roman"/>
                <w:sz w:val="24"/>
                <w:szCs w:val="24"/>
                <w:lang w:val="en-GB"/>
              </w:rPr>
            </w:pPr>
            <w:r w:rsidRPr="00A518CC">
              <w:rPr>
                <w:rFonts w:ascii="Times New Roman" w:hAnsi="Times New Roman"/>
                <w:sz w:val="24"/>
                <w:szCs w:val="24"/>
                <w:lang w:val="en-GB"/>
              </w:rPr>
              <w:t>Blood samples were collected prior and at various times up to 72 h post drug administration. Data analysed using both noncompartmental and compartmental analysis.</w:t>
            </w:r>
          </w:p>
          <w:p w:rsidR="00B41C1C" w:rsidRPr="00A518CC" w:rsidRDefault="00B41C1C" w:rsidP="00B41C1C">
            <w:pPr>
              <w:spacing w:line="360" w:lineRule="auto"/>
              <w:jc w:val="both"/>
              <w:rPr>
                <w:rFonts w:ascii="Times New Roman" w:hAnsi="Times New Roman"/>
                <w:sz w:val="24"/>
                <w:szCs w:val="24"/>
                <w:lang w:val="en-GB"/>
              </w:rPr>
            </w:pPr>
          </w:p>
        </w:tc>
        <w:tc>
          <w:tcPr>
            <w:tcW w:w="1843" w:type="dxa"/>
            <w:tcBorders>
              <w:top w:val="single" w:sz="4" w:space="0" w:color="auto"/>
            </w:tcBorders>
          </w:tcPr>
          <w:p w:rsidR="00B41C1C" w:rsidRPr="00A518CC" w:rsidRDefault="00B41C1C" w:rsidP="00B41C1C">
            <w:pPr>
              <w:autoSpaceDE w:val="0"/>
              <w:autoSpaceDN w:val="0"/>
              <w:adjustRightInd w:val="0"/>
              <w:spacing w:line="360" w:lineRule="auto"/>
              <w:jc w:val="both"/>
              <w:rPr>
                <w:rFonts w:ascii="Times New Roman" w:hAnsi="Times New Roman"/>
                <w:sz w:val="24"/>
                <w:szCs w:val="24"/>
                <w:lang w:val="en-GB"/>
              </w:rPr>
            </w:pPr>
            <w:r w:rsidRPr="00A518CC">
              <w:rPr>
                <w:rFonts w:ascii="Times New Roman" w:hAnsi="Times New Roman"/>
                <w:sz w:val="24"/>
                <w:szCs w:val="24"/>
                <w:lang w:val="en-GB"/>
              </w:rPr>
              <w:t>0.12 mg</w:t>
            </w:r>
            <w:r w:rsidRPr="00A518CC">
              <w:rPr>
                <w:rFonts w:ascii="Times New Roman" w:eastAsia="AdvPSSym" w:hAnsi="Times New Roman"/>
                <w:sz w:val="24"/>
                <w:szCs w:val="24"/>
                <w:lang w:val="en-GB"/>
              </w:rPr>
              <w:t>⁄</w:t>
            </w:r>
            <w:r w:rsidRPr="00A518CC">
              <w:rPr>
                <w:rFonts w:ascii="Times New Roman" w:hAnsi="Times New Roman"/>
                <w:sz w:val="24"/>
                <w:szCs w:val="24"/>
                <w:lang w:val="en-GB"/>
              </w:rPr>
              <w:t>Kg YOH (Yobine, Lloyd Laboratories, Shenandoah, IA, USA) an IV dose administered slowly over 1 min.</w:t>
            </w:r>
          </w:p>
        </w:tc>
        <w:tc>
          <w:tcPr>
            <w:tcW w:w="2410" w:type="dxa"/>
            <w:tcBorders>
              <w:top w:val="single" w:sz="4" w:space="0" w:color="auto"/>
            </w:tcBorders>
          </w:tcPr>
          <w:p w:rsidR="00B41C1C" w:rsidRPr="00A518CC" w:rsidRDefault="00B41C1C" w:rsidP="00B41C1C">
            <w:pPr>
              <w:spacing w:line="360" w:lineRule="auto"/>
              <w:jc w:val="both"/>
              <w:rPr>
                <w:rFonts w:ascii="Times New Roman" w:hAnsi="Times New Roman"/>
                <w:sz w:val="24"/>
                <w:szCs w:val="24"/>
                <w:lang w:val="en-GB"/>
              </w:rPr>
            </w:pPr>
            <w:r w:rsidRPr="00A518CC">
              <w:rPr>
                <w:rFonts w:ascii="Times New Roman" w:hAnsi="Times New Roman"/>
                <w:sz w:val="24"/>
                <w:szCs w:val="24"/>
                <w:lang w:val="en-GB"/>
              </w:rPr>
              <w:t>Peak plasma concentration was 114.5±31.8 ng/mL, occurred at 0.09±0.03 h. Systemic clearance and steady-state volume of distribution were 13.5±2.1 mL/min/Kg and 3.3±1.3 L/Kg following noncompartmental analysis. Terminal elimination half-life was 4.4±0.9 h.</w:t>
            </w:r>
          </w:p>
          <w:p w:rsidR="00B41C1C" w:rsidRPr="00A518CC" w:rsidRDefault="00B41C1C" w:rsidP="00B41C1C">
            <w:pPr>
              <w:spacing w:line="360" w:lineRule="auto"/>
              <w:jc w:val="both"/>
              <w:rPr>
                <w:rFonts w:ascii="Times New Roman" w:hAnsi="Times New Roman"/>
                <w:sz w:val="24"/>
                <w:szCs w:val="24"/>
                <w:lang w:val="en-GB"/>
              </w:rPr>
            </w:pPr>
            <w:r w:rsidRPr="00A518CC">
              <w:rPr>
                <w:rFonts w:ascii="Times New Roman" w:hAnsi="Times New Roman"/>
                <w:sz w:val="24"/>
                <w:szCs w:val="24"/>
                <w:lang w:val="en-GB"/>
              </w:rPr>
              <w:t xml:space="preserve">For compartmental </w:t>
            </w:r>
            <w:r w:rsidRPr="00A518CC">
              <w:rPr>
                <w:rFonts w:ascii="Times New Roman" w:hAnsi="Times New Roman"/>
                <w:sz w:val="24"/>
                <w:szCs w:val="24"/>
                <w:lang w:val="en-GB"/>
              </w:rPr>
              <w:lastRenderedPageBreak/>
              <w:t xml:space="preserve">analysis, plasma YOH </w:t>
            </w:r>
            <w:r w:rsidRPr="00A518CC">
              <w:rPr>
                <w:rFonts w:ascii="Times New Roman" w:hAnsi="Times New Roman"/>
                <w:i/>
                <w:sz w:val="24"/>
                <w:szCs w:val="24"/>
                <w:lang w:val="en-GB"/>
              </w:rPr>
              <w:t>vs.</w:t>
            </w:r>
            <w:r w:rsidRPr="00A518CC">
              <w:rPr>
                <w:rFonts w:ascii="Times New Roman" w:hAnsi="Times New Roman"/>
                <w:sz w:val="24"/>
                <w:szCs w:val="24"/>
                <w:lang w:val="en-GB"/>
              </w:rPr>
              <w:t xml:space="preserve"> time data were best fitted to a two compartment model, systemic clearance and steady-state volume of distribution of YOH were 13.6±2.0 mL/min/Kg and 3.2±1.1 L/Kg. </w:t>
            </w:r>
          </w:p>
        </w:tc>
        <w:tc>
          <w:tcPr>
            <w:tcW w:w="2835" w:type="dxa"/>
            <w:tcBorders>
              <w:top w:val="single" w:sz="4" w:space="0" w:color="auto"/>
            </w:tcBorders>
          </w:tcPr>
          <w:p w:rsidR="00B41C1C" w:rsidRPr="00A518CC" w:rsidRDefault="00B41C1C" w:rsidP="00B41C1C">
            <w:pPr>
              <w:spacing w:line="360" w:lineRule="auto"/>
              <w:jc w:val="both"/>
              <w:rPr>
                <w:rFonts w:ascii="Times New Roman" w:hAnsi="Times New Roman"/>
                <w:sz w:val="24"/>
                <w:szCs w:val="24"/>
                <w:lang w:val="en-GB"/>
              </w:rPr>
            </w:pPr>
            <w:r w:rsidRPr="00A518CC">
              <w:rPr>
                <w:rFonts w:ascii="Times New Roman" w:hAnsi="Times New Roman"/>
                <w:sz w:val="24"/>
                <w:szCs w:val="24"/>
                <w:lang w:val="en-GB"/>
              </w:rPr>
              <w:lastRenderedPageBreak/>
              <w:t xml:space="preserve">They were able to detect YOH in plasma samples at 12 h post drug administration, suggests that YOH is characterized by prolonged elimination, most likely as a result of sequestration and slow release over time. </w:t>
            </w:r>
          </w:p>
          <w:p w:rsidR="00B41C1C" w:rsidRPr="00A518CC" w:rsidRDefault="00B41C1C" w:rsidP="00B41C1C">
            <w:pPr>
              <w:spacing w:line="360" w:lineRule="auto"/>
              <w:jc w:val="both"/>
              <w:rPr>
                <w:rFonts w:ascii="Times New Roman" w:hAnsi="Times New Roman"/>
                <w:sz w:val="24"/>
                <w:szCs w:val="24"/>
                <w:lang w:val="en-GB"/>
              </w:rPr>
            </w:pPr>
            <w:r w:rsidRPr="00A518CC">
              <w:rPr>
                <w:rFonts w:ascii="Times New Roman" w:hAnsi="Times New Roman"/>
                <w:sz w:val="24"/>
                <w:szCs w:val="24"/>
                <w:lang w:val="en-GB"/>
              </w:rPr>
              <w:t xml:space="preserve">A dose of 0.12 mg/Kg IV to horse has a large volume of distribution. Large volume of distribution coupled with slower systemic clearance determined support the </w:t>
            </w:r>
            <w:r w:rsidRPr="00A518CC">
              <w:rPr>
                <w:rFonts w:ascii="Times New Roman" w:hAnsi="Times New Roman"/>
                <w:sz w:val="24"/>
                <w:szCs w:val="24"/>
                <w:lang w:val="en-GB"/>
              </w:rPr>
              <w:lastRenderedPageBreak/>
              <w:t xml:space="preserve">longer terminal elimination half-life. </w:t>
            </w:r>
          </w:p>
        </w:tc>
      </w:tr>
      <w:tr w:rsidR="00B41C1C" w:rsidRPr="00A518CC" w:rsidTr="00B41C1C">
        <w:tc>
          <w:tcPr>
            <w:tcW w:w="1418" w:type="dxa"/>
          </w:tcPr>
          <w:p w:rsidR="00B41C1C" w:rsidRPr="00A518CC" w:rsidRDefault="00A2062B" w:rsidP="00B41C1C">
            <w:pPr>
              <w:spacing w:line="360" w:lineRule="auto"/>
              <w:jc w:val="both"/>
              <w:rPr>
                <w:rFonts w:ascii="Times New Roman" w:hAnsi="Times New Roman"/>
                <w:sz w:val="24"/>
                <w:szCs w:val="24"/>
                <w:lang w:val="en-US"/>
              </w:rPr>
            </w:pPr>
            <w:r w:rsidRPr="00A518CC">
              <w:rPr>
                <w:rFonts w:ascii="Times New Roman" w:hAnsi="Times New Roman"/>
                <w:sz w:val="24"/>
                <w:szCs w:val="24"/>
              </w:rPr>
              <w:lastRenderedPageBreak/>
              <w:fldChar w:fldCharType="begin" w:fldLock="1"/>
            </w:r>
            <w:r w:rsidR="00B41C1C" w:rsidRPr="00A518CC">
              <w:rPr>
                <w:rFonts w:ascii="Times New Roman" w:hAnsi="Times New Roman"/>
                <w:sz w:val="24"/>
                <w:szCs w:val="24"/>
                <w:lang w:val="en-US"/>
              </w:rPr>
              <w:instrText xml:space="preserve">ADDIN CSL_CITATION { "citationItems" : [ { "id" : "ITEM-1", "itemData" : { "DOI" : "10.1111/j.1365-2885.2010.01234.x", "ISSN" : "01407783", "PMID" : "20950351", </w:instrText>
            </w:r>
            <w:r w:rsidR="00B41C1C" w:rsidRPr="00A518CC">
              <w:rPr>
                <w:rFonts w:ascii="Times New Roman" w:hAnsi="Times New Roman"/>
                <w:sz w:val="24"/>
                <w:szCs w:val="24"/>
              </w:rPr>
              <w:instrText>"abstract" : "Yohimbine is an alpha 2 adrenergic receptor antagonist, which has been shown to counteract the CNS depressant effects of alpha 2 receptor agonists in a number of species. Recently, our laboratory identified yohimbine in the absence of detectable concentrations of an alpha 2 agonist in a regulatory sample collected from a horse racing in California. This coupled with anecdotal reports of CNS stimulation and documented reports of cardiovascular changes when administered in conjunction with an agonist led us to investigate the pharmacokinetics and pharmacodynamics of yohimbine when administered alone. Nine healthy adult horses received a single intravenous dose of 0.1, 0.2, and 0.4 mg/kg yohimbine. Blood samples were collected at time 0 (prior to drug administration) and at various times up to 24 h postdrug administration. Plasma samples were analyzed using liquid chromatography-mass spectrometry (LC-MS), and resulting data analyzed using both noncompartmental and compartmental analysis. Peak plasma concentrations were 106.0 \u00b1 28.9, 156.7 \u00b1 34.3, and 223.0 \u00b1 44.5 ng/mL for doses of 0.1, 0.2, and 0.4 mg/kg, respectively. Immediately following administration, two horses showed signs of sedation, one horse appeared excited, while the other six appeared behaviorally unaffected. Episodes of tachycardia were noted within minutes of administration for all horses at all doses; however, there was no correlation between behavioral responses and episodes of increased heart rate. Sixty-three percent of the horses (8, 6, and 4 of the 9 horses in the 0.1, 0.2, and 0.4 mg/kg dose groups, respectively</w:instrText>
            </w:r>
            <w:r w:rsidR="00B41C1C" w:rsidRPr="00A518CC">
              <w:rPr>
                <w:rFonts w:ascii="Times New Roman" w:hAnsi="Times New Roman"/>
                <w:sz w:val="24"/>
                <w:szCs w:val="24"/>
                <w:lang w:val="en-US"/>
              </w:rPr>
              <w:instrText>) exhibited second-degree atrial-ventricular conduction blocks and bradycardia prior to drug administration that transiently improved or disappeared upon administration of yohimbine. Gastrointestinal sounds were transiently increased following all doses.", "author" : [ { "dropping-particle" : "", "family" : "Dimaio Knych", "given" : "H. K.", "non-dropping-particle" : "", "parse-names" : false, "suffix" : "" }, { "dropping-particle" : "", "family" : "Steffey", "given" : "E. P.", "non-dropping-particle" : "", "parse-names" : false, "suffix" : "" }, { "dropping-particle" : "", "family" : "Stanley", "given" : "S. D.", "non-dropping-particle" : "", "parse-names" : false, "suffix" : "" } ], "container-title" : "Journal of Veterinary Pharmacology and Therapeutics", "id" : "ITEM-1", "issue" : "4", "issued" : { "date-parts" : [ [ "2011" ] ] }, "page" : "359-366", "title" : "Pharmacokinetics and pharmacodynamics of three intravenous doses of yohimbine in the horse", "type" : "article-journal", "volume" : "34" }, "uris" : [ "http://www.mendeley.com/documents/?uuid=d645ee91-9693-41fb-832b-d1731ea5f76f" ] } ], "mendeley" : { "formattedCitation" : "(H. K. Dimaio Knych, Steffey, and Stanley 2011)", "plainTextFormattedCitation" : "(H. K. Dimaio Knych, Steffey, and Stanley 2011)", "previouslyFormattedCitation" : "(H. K. Dimaio Knych, Steffey, and Stanley 2011)" }, "properties" : { "noteIndex" : 0 }, "schema" : "https://github.com/citation-style-language/schema/raw/master/csl-citation.json" }</w:instrText>
            </w:r>
            <w:r w:rsidRPr="00A518CC">
              <w:rPr>
                <w:rFonts w:ascii="Times New Roman" w:hAnsi="Times New Roman"/>
                <w:sz w:val="24"/>
                <w:szCs w:val="24"/>
              </w:rPr>
              <w:fldChar w:fldCharType="separate"/>
            </w:r>
            <w:r w:rsidR="00B41C1C" w:rsidRPr="00A518CC">
              <w:rPr>
                <w:rFonts w:ascii="Times New Roman" w:hAnsi="Times New Roman"/>
                <w:noProof/>
                <w:sz w:val="24"/>
                <w:szCs w:val="24"/>
                <w:lang w:val="en-US"/>
              </w:rPr>
              <w:t>(H. K. Dimaio Knych, Steffey, and Stanley 2011)</w:t>
            </w:r>
            <w:r w:rsidRPr="00A518CC">
              <w:rPr>
                <w:rFonts w:ascii="Times New Roman" w:hAnsi="Times New Roman"/>
                <w:sz w:val="24"/>
                <w:szCs w:val="24"/>
              </w:rPr>
              <w:fldChar w:fldCharType="end"/>
            </w:r>
          </w:p>
        </w:tc>
        <w:tc>
          <w:tcPr>
            <w:tcW w:w="1843" w:type="dxa"/>
          </w:tcPr>
          <w:p w:rsidR="00B41C1C" w:rsidRPr="00A518CC" w:rsidRDefault="00B41C1C" w:rsidP="00B41C1C">
            <w:pPr>
              <w:autoSpaceDE w:val="0"/>
              <w:autoSpaceDN w:val="0"/>
              <w:adjustRightInd w:val="0"/>
              <w:spacing w:line="360" w:lineRule="auto"/>
              <w:jc w:val="both"/>
              <w:rPr>
                <w:rFonts w:ascii="Times New Roman" w:hAnsi="Times New Roman"/>
                <w:sz w:val="24"/>
                <w:szCs w:val="24"/>
                <w:lang w:val="en-US"/>
              </w:rPr>
            </w:pPr>
            <w:r w:rsidRPr="00A518CC">
              <w:rPr>
                <w:rFonts w:ascii="Times New Roman" w:hAnsi="Times New Roman"/>
                <w:sz w:val="24"/>
                <w:szCs w:val="24"/>
                <w:lang w:val="en-US"/>
              </w:rPr>
              <w:t>Investigate the pharmacokinetics and pharmacodynamics of YOH when administered IV to horse.</w:t>
            </w:r>
          </w:p>
          <w:p w:rsidR="00B41C1C" w:rsidRPr="00A518CC" w:rsidRDefault="00B41C1C" w:rsidP="00B41C1C">
            <w:pPr>
              <w:spacing w:line="360" w:lineRule="auto"/>
              <w:jc w:val="both"/>
              <w:rPr>
                <w:rFonts w:ascii="Times New Roman" w:hAnsi="Times New Roman"/>
                <w:sz w:val="24"/>
                <w:szCs w:val="24"/>
                <w:lang w:val="en-US"/>
              </w:rPr>
            </w:pPr>
          </w:p>
        </w:tc>
        <w:tc>
          <w:tcPr>
            <w:tcW w:w="2551" w:type="dxa"/>
          </w:tcPr>
          <w:p w:rsidR="00B41C1C" w:rsidRPr="00A518CC" w:rsidRDefault="00B41C1C" w:rsidP="00B41C1C">
            <w:pPr>
              <w:spacing w:line="360" w:lineRule="auto"/>
              <w:jc w:val="both"/>
              <w:rPr>
                <w:rFonts w:ascii="Times New Roman" w:hAnsi="Times New Roman"/>
                <w:sz w:val="24"/>
                <w:szCs w:val="24"/>
                <w:lang w:val="en-US"/>
              </w:rPr>
            </w:pPr>
            <w:r w:rsidRPr="00A518CC">
              <w:rPr>
                <w:rFonts w:ascii="Times New Roman" w:hAnsi="Times New Roman"/>
                <w:sz w:val="24"/>
                <w:szCs w:val="24"/>
                <w:lang w:val="en-US"/>
              </w:rPr>
              <w:t xml:space="preserve">Nine healthy unmedicated adult horses including 8 Thoroughbreds and 1 Standardbred </w:t>
            </w:r>
          </w:p>
          <w:p w:rsidR="00B41C1C" w:rsidRPr="00A518CC" w:rsidRDefault="00B41C1C" w:rsidP="00B41C1C">
            <w:pPr>
              <w:spacing w:line="360" w:lineRule="auto"/>
              <w:jc w:val="both"/>
              <w:rPr>
                <w:rFonts w:ascii="Times New Roman" w:hAnsi="Times New Roman"/>
                <w:sz w:val="24"/>
                <w:szCs w:val="24"/>
                <w:lang w:val="en-US"/>
              </w:rPr>
            </w:pPr>
            <w:r w:rsidRPr="00A518CC">
              <w:rPr>
                <w:rFonts w:ascii="Times New Roman" w:hAnsi="Times New Roman"/>
                <w:sz w:val="24"/>
                <w:szCs w:val="24"/>
                <w:lang w:val="en-US"/>
              </w:rPr>
              <w:t>A minimum of 1 week was allowed to elapse between administrations of additional doses to the same horse.</w:t>
            </w:r>
          </w:p>
          <w:p w:rsidR="00B41C1C" w:rsidRPr="00A518CC" w:rsidRDefault="00B41C1C" w:rsidP="00B41C1C">
            <w:pPr>
              <w:spacing w:line="360" w:lineRule="auto"/>
              <w:jc w:val="both"/>
              <w:rPr>
                <w:rFonts w:ascii="Times New Roman" w:hAnsi="Times New Roman"/>
                <w:sz w:val="24"/>
                <w:szCs w:val="24"/>
                <w:lang w:val="en-US"/>
              </w:rPr>
            </w:pPr>
            <w:r w:rsidRPr="00A518CC">
              <w:rPr>
                <w:rFonts w:ascii="Times New Roman" w:hAnsi="Times New Roman"/>
                <w:sz w:val="24"/>
                <w:szCs w:val="24"/>
                <w:lang w:val="en-GB"/>
              </w:rPr>
              <w:lastRenderedPageBreak/>
              <w:t>Blood samples were collected prior and at various times up to 24 h post drug administration, were analyzed using liquid chromatography–mass spectrometry. Data analyzed using both noncompartmental and compartmental analysis.</w:t>
            </w:r>
          </w:p>
          <w:p w:rsidR="00B41C1C" w:rsidRPr="00A518CC" w:rsidRDefault="00B41C1C" w:rsidP="00B41C1C">
            <w:pPr>
              <w:spacing w:line="360" w:lineRule="auto"/>
              <w:jc w:val="both"/>
              <w:rPr>
                <w:rFonts w:ascii="Times New Roman" w:hAnsi="Times New Roman"/>
                <w:sz w:val="24"/>
                <w:szCs w:val="24"/>
                <w:lang w:val="en-US"/>
              </w:rPr>
            </w:pPr>
          </w:p>
        </w:tc>
        <w:tc>
          <w:tcPr>
            <w:tcW w:w="1843" w:type="dxa"/>
          </w:tcPr>
          <w:p w:rsidR="00B41C1C" w:rsidRPr="00A518CC" w:rsidRDefault="00B41C1C" w:rsidP="00B41C1C">
            <w:pPr>
              <w:autoSpaceDE w:val="0"/>
              <w:autoSpaceDN w:val="0"/>
              <w:adjustRightInd w:val="0"/>
              <w:spacing w:line="360" w:lineRule="auto"/>
              <w:jc w:val="both"/>
              <w:rPr>
                <w:rFonts w:ascii="Times New Roman" w:hAnsi="Times New Roman"/>
                <w:sz w:val="24"/>
                <w:szCs w:val="24"/>
                <w:lang w:val="en-US"/>
              </w:rPr>
            </w:pPr>
            <w:r w:rsidRPr="00A518CC">
              <w:rPr>
                <w:rFonts w:ascii="Times New Roman" w:hAnsi="Times New Roman"/>
                <w:sz w:val="24"/>
                <w:szCs w:val="24"/>
                <w:lang w:val="en-US"/>
              </w:rPr>
              <w:lastRenderedPageBreak/>
              <w:t>0.1, 0.2, and 0.4 mg</w:t>
            </w:r>
            <w:r w:rsidRPr="00A518CC">
              <w:rPr>
                <w:rFonts w:ascii="Times New Roman" w:eastAsia="AdvPSSym" w:hAnsi="Times New Roman"/>
                <w:sz w:val="24"/>
                <w:szCs w:val="24"/>
                <w:lang w:val="en-US"/>
              </w:rPr>
              <w:t>⁄K</w:t>
            </w:r>
            <w:r w:rsidRPr="00A518CC">
              <w:rPr>
                <w:rFonts w:ascii="Times New Roman" w:hAnsi="Times New Roman"/>
                <w:sz w:val="24"/>
                <w:szCs w:val="24"/>
                <w:lang w:val="en-US"/>
              </w:rPr>
              <w:t xml:space="preserve">g YOH (Yobine; Lloyd Laboratories, Iowa), IV administered slowly over 1 min. </w:t>
            </w:r>
          </w:p>
          <w:p w:rsidR="00B41C1C" w:rsidRPr="00A518CC" w:rsidRDefault="00B41C1C" w:rsidP="00B41C1C">
            <w:pPr>
              <w:spacing w:line="360" w:lineRule="auto"/>
              <w:jc w:val="both"/>
              <w:rPr>
                <w:rFonts w:ascii="Times New Roman" w:hAnsi="Times New Roman"/>
                <w:sz w:val="24"/>
                <w:szCs w:val="24"/>
                <w:lang w:val="en-US"/>
              </w:rPr>
            </w:pPr>
          </w:p>
        </w:tc>
        <w:tc>
          <w:tcPr>
            <w:tcW w:w="2410" w:type="dxa"/>
          </w:tcPr>
          <w:p w:rsidR="00B41C1C" w:rsidRPr="00A518CC" w:rsidRDefault="00B41C1C" w:rsidP="00B41C1C">
            <w:pPr>
              <w:spacing w:line="360" w:lineRule="auto"/>
              <w:jc w:val="both"/>
              <w:rPr>
                <w:rFonts w:ascii="Times New Roman" w:hAnsi="Times New Roman"/>
                <w:sz w:val="24"/>
                <w:szCs w:val="24"/>
                <w:lang w:val="en-GB"/>
              </w:rPr>
            </w:pPr>
            <w:r w:rsidRPr="00A518CC">
              <w:rPr>
                <w:rFonts w:ascii="Times New Roman" w:hAnsi="Times New Roman"/>
                <w:sz w:val="24"/>
                <w:szCs w:val="24"/>
                <w:lang w:val="en-GB"/>
              </w:rPr>
              <w:t xml:space="preserve">Peak plasma concentration was 106.0±28.9, 156.7±34.3 and 223.0±44.5 ng/mL </w:t>
            </w:r>
            <w:r w:rsidRPr="00A518CC">
              <w:rPr>
                <w:rFonts w:ascii="Times New Roman" w:hAnsi="Times New Roman"/>
                <w:sz w:val="24"/>
                <w:szCs w:val="24"/>
                <w:lang w:val="en-US"/>
              </w:rPr>
              <w:t>for doses of 0.1, 0.2, and 0.4 mg⁄Kg,</w:t>
            </w:r>
            <w:r w:rsidRPr="00A518CC">
              <w:rPr>
                <w:rFonts w:ascii="Times New Roman" w:hAnsi="Times New Roman"/>
                <w:sz w:val="24"/>
                <w:szCs w:val="24"/>
                <w:lang w:val="en-GB"/>
              </w:rPr>
              <w:t xml:space="preserve"> occurred at 0.09±0.03 hours. Systemic clearance and steady-state volume of distribution </w:t>
            </w:r>
            <w:r w:rsidRPr="00A518CC">
              <w:rPr>
                <w:rFonts w:ascii="Times New Roman" w:hAnsi="Times New Roman"/>
                <w:sz w:val="24"/>
                <w:szCs w:val="24"/>
                <w:lang w:val="en-GB"/>
              </w:rPr>
              <w:lastRenderedPageBreak/>
              <w:t xml:space="preserve">were 12.0, 12.2 and 17.9 mL/min/Kg and 2.1, 2.6 and 2.9 L/kg following noncompartmental analysis. Terminal elimination half-life was 43.6, 3.3 and 2.9 h </w:t>
            </w:r>
            <w:r w:rsidRPr="00A518CC">
              <w:rPr>
                <w:rFonts w:ascii="Times New Roman" w:hAnsi="Times New Roman"/>
                <w:sz w:val="24"/>
                <w:szCs w:val="24"/>
                <w:lang w:val="en-US"/>
              </w:rPr>
              <w:t>for doses of 0.1, 0.2, and 0.4 mg⁄Kg</w:t>
            </w:r>
            <w:r w:rsidRPr="00A518CC">
              <w:rPr>
                <w:rFonts w:ascii="Times New Roman" w:hAnsi="Times New Roman"/>
                <w:sz w:val="24"/>
                <w:szCs w:val="24"/>
                <w:lang w:val="en-GB"/>
              </w:rPr>
              <w:t>.</w:t>
            </w:r>
          </w:p>
          <w:p w:rsidR="00B41C1C" w:rsidRPr="00A518CC" w:rsidRDefault="00B41C1C" w:rsidP="00B41C1C">
            <w:pPr>
              <w:spacing w:line="360" w:lineRule="auto"/>
              <w:jc w:val="both"/>
              <w:rPr>
                <w:rFonts w:ascii="Times New Roman" w:hAnsi="Times New Roman"/>
                <w:sz w:val="24"/>
                <w:szCs w:val="24"/>
                <w:lang w:val="en-GB"/>
              </w:rPr>
            </w:pPr>
            <w:r w:rsidRPr="00A518CC">
              <w:rPr>
                <w:rFonts w:ascii="Times New Roman" w:hAnsi="Times New Roman"/>
                <w:sz w:val="24"/>
                <w:szCs w:val="24"/>
                <w:lang w:val="en-GB"/>
              </w:rPr>
              <w:t xml:space="preserve">For compartmental analysis, plasma YOH </w:t>
            </w:r>
            <w:r w:rsidRPr="00A518CC">
              <w:rPr>
                <w:rFonts w:ascii="Times New Roman" w:hAnsi="Times New Roman"/>
                <w:i/>
                <w:sz w:val="24"/>
                <w:szCs w:val="24"/>
                <w:lang w:val="en-GB"/>
              </w:rPr>
              <w:t>vs.</w:t>
            </w:r>
            <w:r w:rsidRPr="00A518CC">
              <w:rPr>
                <w:rFonts w:ascii="Times New Roman" w:hAnsi="Times New Roman"/>
                <w:sz w:val="24"/>
                <w:szCs w:val="24"/>
                <w:lang w:val="en-GB"/>
              </w:rPr>
              <w:t xml:space="preserve"> time data were best fitted to a two compartment model, systemic clearance and steady-state volume of distribution of YOH were 11.1 mL/min/Kg and 2.3 L/kg. </w:t>
            </w:r>
          </w:p>
        </w:tc>
        <w:tc>
          <w:tcPr>
            <w:tcW w:w="2835" w:type="dxa"/>
          </w:tcPr>
          <w:p w:rsidR="00B41C1C" w:rsidRPr="00A518CC" w:rsidRDefault="00B41C1C" w:rsidP="00B41C1C">
            <w:pPr>
              <w:spacing w:line="360" w:lineRule="auto"/>
              <w:jc w:val="both"/>
              <w:rPr>
                <w:rFonts w:ascii="Times New Roman" w:hAnsi="Times New Roman"/>
                <w:sz w:val="24"/>
                <w:szCs w:val="24"/>
                <w:lang w:val="en-US"/>
              </w:rPr>
            </w:pPr>
            <w:r w:rsidRPr="00A518CC">
              <w:rPr>
                <w:rFonts w:ascii="Times New Roman" w:hAnsi="Times New Roman"/>
                <w:sz w:val="24"/>
                <w:szCs w:val="24"/>
                <w:lang w:val="en-US"/>
              </w:rPr>
              <w:lastRenderedPageBreak/>
              <w:t xml:space="preserve">Behavioral responses following YOH administration are highly variable between horses. YOH had profound effects on heart rate and rhythm, with maximal heart rates exceeding </w:t>
            </w:r>
            <w:proofErr w:type="gramStart"/>
            <w:r w:rsidRPr="00A518CC">
              <w:rPr>
                <w:rFonts w:ascii="Times New Roman" w:hAnsi="Times New Roman"/>
                <w:sz w:val="24"/>
                <w:szCs w:val="24"/>
                <w:lang w:val="en-US"/>
              </w:rPr>
              <w:t>100 beats/minute in some horses</w:t>
            </w:r>
            <w:proofErr w:type="gramEnd"/>
            <w:r w:rsidRPr="00A518CC">
              <w:rPr>
                <w:rFonts w:ascii="Times New Roman" w:hAnsi="Times New Roman"/>
                <w:sz w:val="24"/>
                <w:szCs w:val="24"/>
                <w:lang w:val="en-US"/>
              </w:rPr>
              <w:t>.</w:t>
            </w:r>
          </w:p>
          <w:p w:rsidR="00B41C1C" w:rsidRPr="00A518CC" w:rsidRDefault="00B41C1C" w:rsidP="00B41C1C">
            <w:pPr>
              <w:spacing w:line="360" w:lineRule="auto"/>
              <w:jc w:val="both"/>
              <w:rPr>
                <w:rFonts w:ascii="Times New Roman" w:hAnsi="Times New Roman"/>
                <w:sz w:val="24"/>
                <w:szCs w:val="24"/>
                <w:lang w:val="en-US"/>
              </w:rPr>
            </w:pPr>
            <w:r w:rsidRPr="00A518CC">
              <w:rPr>
                <w:rFonts w:ascii="Times New Roman" w:hAnsi="Times New Roman"/>
                <w:sz w:val="24"/>
                <w:szCs w:val="24"/>
                <w:lang w:val="en-US"/>
              </w:rPr>
              <w:t xml:space="preserve">YOH should be used with </w:t>
            </w:r>
            <w:r w:rsidRPr="00A518CC">
              <w:rPr>
                <w:rFonts w:ascii="Times New Roman" w:hAnsi="Times New Roman"/>
                <w:sz w:val="24"/>
                <w:szCs w:val="24"/>
                <w:lang w:val="en-US"/>
              </w:rPr>
              <w:lastRenderedPageBreak/>
              <w:t>caution as there is the potential for unpredictable harmful effects.</w:t>
            </w:r>
          </w:p>
        </w:tc>
      </w:tr>
      <w:tr w:rsidR="00B41C1C" w:rsidRPr="00A518CC" w:rsidTr="00B41C1C">
        <w:tc>
          <w:tcPr>
            <w:tcW w:w="1418" w:type="dxa"/>
          </w:tcPr>
          <w:p w:rsidR="00B41C1C" w:rsidRPr="00A518CC" w:rsidRDefault="00A2062B" w:rsidP="00B41C1C">
            <w:pPr>
              <w:spacing w:line="360" w:lineRule="auto"/>
              <w:jc w:val="both"/>
              <w:rPr>
                <w:rFonts w:ascii="Times New Roman" w:hAnsi="Times New Roman"/>
                <w:sz w:val="24"/>
                <w:szCs w:val="24"/>
                <w:lang w:val="en-US"/>
              </w:rPr>
            </w:pPr>
            <w:r w:rsidRPr="00A518CC">
              <w:rPr>
                <w:rFonts w:ascii="Times New Roman" w:hAnsi="Times New Roman"/>
                <w:sz w:val="24"/>
                <w:szCs w:val="24"/>
                <w:lang w:val="en-US"/>
              </w:rPr>
              <w:lastRenderedPageBreak/>
              <w:fldChar w:fldCharType="begin" w:fldLock="1"/>
            </w:r>
            <w:r w:rsidR="00B41C1C" w:rsidRPr="00A518CC">
              <w:rPr>
                <w:rFonts w:ascii="Times New Roman" w:hAnsi="Times New Roman"/>
                <w:sz w:val="24"/>
                <w:szCs w:val="24"/>
                <w:lang w:val="en-US"/>
              </w:rPr>
              <w:instrText>ADDIN CSL_CITATION { "citationItems" : [ { "id" : "ITEM-1", "itemData" : { "ISBN" : "0830-9000", "ISSN" : "08309000", "PMID" : "3370551", "abstract" : "In steers, horses and dogs, the comparative pharmacokinetics of yohimbine were determined using model-independent analysis. The intravenous dose of yohimbine was 0.25 mg/kg of body weight in steers, 0.075 or 0.15 mg/kg in horses, and 0.4 mg/kg in dogs. The mean residence time (+/- SD) of yohimbine was 86.7 +/- 46.2 min in steers, 106.2 +/- 72.1 to 118.7 +/- 35.0 min in horses, and 163.6 +/- 49.7 min in dogs. The mean apparent volume of distribution of yohimbine at steady state was 4.9 +/- 1.4 L/kg for steers, 2.7 +/- 1.0 to 4.6 +/- 1.9 L/kg for horses, and 4.5 +/- 1.8 L/kg for dogs. The total body clearance of yohimbine was 69.6 +/- 35.1 mL/min/kg for steers, 34.0 +/- 19.4 to 39.6 +/- 16.6 mL/min/kg for horses, and 29.6 +/- 14.7 mL/min/kg for dogs. Between-species comparisons indicated that the mean area under the serum concentration versus time curve was significantly greater (P less than 0.05) in dogs than in horses. There were no significant differences (P greater than 0.05) between the means for the apparent volume of distribution, clearance, mean residence time, terminal rate constant, and area under the curve between horses given the two doses of yohimbine. The harmonic mean effective half-life (+/- pseudo standard deviation) of yohimbine was 46.7 +/- 24.4 min in steers, 52.8 +/- 27.8 to 76.1 +/- 23.1 min in horses, and 104.1 +/- 32.1 min in dogs. The data may explain why steers, horses, and dogs given certain sedatives and anesthetics do not relapse when aroused by an intravenous injection of yohimbine hydrochloride.", "author" : [ { "dropping-particle" : "", "family" : "Jernigan", "given" : "a. D.", "non-dropping-particle" : "", "parse-names" : false, "suffix" : "" }, { "dropping-particle" : "", "family" : "Wilson", "given" : "R. C.", "non-dropping-particle" : "", "parse-names" : false, "suffix" : "" }, { "dropping-particle" : "", "family" : "Booth", "given" : "N. H.", "non-dropping-particle" : "", "parse-names" : false, "suffix" : "" }, { "dropping-particle" : "", "family" : "Hatch", "given" : "R. C.", "non-dropping-particle" : "", "parse-names" : false, "suffix" : "" }, { "dropping-particle" : "", "family" : "Akbari", "given" : "a.", "non-dropping-particle" : "", "parse-names" : false, "suffix" : "" } ], "container-title" : "Canadian Journal of Veterinary Research", "id" : "ITEM-1", "issue" : "2", "issued" : { "date-parts" : [ [ "1988" ] ] }, "page" : "172-176", "title" : "Comparative pharmacokinetics of yohimbine in steers, horses and dogs", "type" : "article-journal", "volume" : "52" }, "uris" : [ "http://www.mendeley.com/documents/?uuid=59381179-0c72-403f-9bab-8d8dd9db2ac3" ] } ], "mendeley" : { "formattedCitation" : "(Jernigan et al. 1988)", "plainTextFormattedCitation" : "(Jernigan et al. 1988)", "previouslyFormattedCitation" : "(Jernigan et al. 1988)" }, "properties" : { "noteIndex" : 0 }, "schema" : "https://github.com/citation-style-language/schema/raw/master/csl-citation.json" }</w:instrText>
            </w:r>
            <w:r w:rsidRPr="00A518CC">
              <w:rPr>
                <w:rFonts w:ascii="Times New Roman" w:hAnsi="Times New Roman"/>
                <w:sz w:val="24"/>
                <w:szCs w:val="24"/>
                <w:lang w:val="en-US"/>
              </w:rPr>
              <w:fldChar w:fldCharType="separate"/>
            </w:r>
            <w:r w:rsidR="00B41C1C" w:rsidRPr="00A518CC">
              <w:rPr>
                <w:rFonts w:ascii="Times New Roman" w:hAnsi="Times New Roman"/>
                <w:noProof/>
                <w:sz w:val="24"/>
                <w:szCs w:val="24"/>
                <w:lang w:val="en-US"/>
              </w:rPr>
              <w:t xml:space="preserve">(Jernigan </w:t>
            </w:r>
            <w:r w:rsidR="00B41C1C" w:rsidRPr="00A518CC">
              <w:rPr>
                <w:rFonts w:ascii="Times New Roman" w:hAnsi="Times New Roman"/>
                <w:i/>
                <w:noProof/>
                <w:sz w:val="24"/>
                <w:szCs w:val="24"/>
                <w:lang w:val="en-US"/>
              </w:rPr>
              <w:t>et al.</w:t>
            </w:r>
            <w:r w:rsidR="00B41C1C" w:rsidRPr="00A518CC">
              <w:rPr>
                <w:rFonts w:ascii="Times New Roman" w:hAnsi="Times New Roman"/>
                <w:noProof/>
                <w:sz w:val="24"/>
                <w:szCs w:val="24"/>
                <w:lang w:val="en-US"/>
              </w:rPr>
              <w:t xml:space="preserve"> 1988)</w:t>
            </w:r>
            <w:r w:rsidRPr="00A518CC">
              <w:rPr>
                <w:rFonts w:ascii="Times New Roman" w:hAnsi="Times New Roman"/>
                <w:sz w:val="24"/>
                <w:szCs w:val="24"/>
                <w:lang w:val="en-US"/>
              </w:rPr>
              <w:fldChar w:fldCharType="end"/>
            </w:r>
            <w:r w:rsidR="00B41C1C" w:rsidRPr="00A518CC">
              <w:rPr>
                <w:rFonts w:ascii="Times New Roman" w:hAnsi="Times New Roman"/>
                <w:sz w:val="24"/>
                <w:szCs w:val="24"/>
                <w:lang w:val="en-US"/>
              </w:rPr>
              <w:t xml:space="preserve"> </w:t>
            </w:r>
          </w:p>
        </w:tc>
        <w:tc>
          <w:tcPr>
            <w:tcW w:w="1843" w:type="dxa"/>
          </w:tcPr>
          <w:p w:rsidR="00B41C1C" w:rsidRPr="00A518CC" w:rsidRDefault="00B41C1C" w:rsidP="00B41C1C">
            <w:pPr>
              <w:autoSpaceDE w:val="0"/>
              <w:autoSpaceDN w:val="0"/>
              <w:adjustRightInd w:val="0"/>
              <w:spacing w:line="360" w:lineRule="auto"/>
              <w:jc w:val="both"/>
              <w:rPr>
                <w:rFonts w:ascii="Times New Roman" w:hAnsi="Times New Roman"/>
                <w:sz w:val="24"/>
                <w:szCs w:val="24"/>
                <w:lang w:val="en-US"/>
              </w:rPr>
            </w:pPr>
            <w:r w:rsidRPr="00A518CC">
              <w:rPr>
                <w:rFonts w:ascii="Times New Roman" w:hAnsi="Times New Roman"/>
                <w:sz w:val="24"/>
                <w:szCs w:val="24"/>
                <w:lang w:val="en-US"/>
              </w:rPr>
              <w:t xml:space="preserve">Characterize the pharmacokinetics </w:t>
            </w:r>
            <w:r w:rsidRPr="00A518CC">
              <w:rPr>
                <w:rFonts w:ascii="Times New Roman" w:hAnsi="Times New Roman"/>
                <w:sz w:val="24"/>
                <w:szCs w:val="24"/>
                <w:lang w:val="en-GB"/>
              </w:rPr>
              <w:t xml:space="preserve">profile </w:t>
            </w:r>
            <w:r w:rsidRPr="00A518CC">
              <w:rPr>
                <w:rFonts w:ascii="Times New Roman" w:hAnsi="Times New Roman"/>
                <w:sz w:val="24"/>
                <w:szCs w:val="24"/>
                <w:lang w:val="en-US"/>
              </w:rPr>
              <w:t>and determine the half-life of YOH with two dosages in horses.</w:t>
            </w:r>
          </w:p>
        </w:tc>
        <w:tc>
          <w:tcPr>
            <w:tcW w:w="2551" w:type="dxa"/>
          </w:tcPr>
          <w:p w:rsidR="00B41C1C" w:rsidRPr="00A518CC" w:rsidRDefault="00B41C1C" w:rsidP="00B41C1C">
            <w:pPr>
              <w:spacing w:line="360" w:lineRule="auto"/>
              <w:jc w:val="both"/>
              <w:rPr>
                <w:rFonts w:ascii="Times New Roman" w:hAnsi="Times New Roman"/>
                <w:sz w:val="24"/>
                <w:szCs w:val="24"/>
                <w:lang w:val="en-US"/>
              </w:rPr>
            </w:pPr>
            <w:r w:rsidRPr="00A518CC">
              <w:rPr>
                <w:rFonts w:ascii="Times New Roman" w:hAnsi="Times New Roman"/>
                <w:sz w:val="24"/>
                <w:szCs w:val="24"/>
                <w:lang w:val="en-US"/>
              </w:rPr>
              <w:t xml:space="preserve">Two groups of horses (11 Crossbred horses; seven geldings and four mares) were used to determine whether the half-life varied when the dose was changed. </w:t>
            </w:r>
          </w:p>
          <w:p w:rsidR="00B41C1C" w:rsidRPr="00A518CC" w:rsidRDefault="00B41C1C" w:rsidP="00B41C1C">
            <w:pPr>
              <w:spacing w:line="360" w:lineRule="auto"/>
              <w:jc w:val="both"/>
              <w:rPr>
                <w:rFonts w:ascii="Times New Roman" w:hAnsi="Times New Roman"/>
                <w:sz w:val="24"/>
                <w:szCs w:val="24"/>
                <w:lang w:val="en-GB"/>
              </w:rPr>
            </w:pPr>
            <w:r w:rsidRPr="00A518CC">
              <w:rPr>
                <w:rFonts w:ascii="Times New Roman" w:hAnsi="Times New Roman"/>
                <w:sz w:val="24"/>
                <w:szCs w:val="24"/>
                <w:lang w:val="en-GB"/>
              </w:rPr>
              <w:t>Blood samples were collected prior and at various times up to 3 h post drug administration.</w:t>
            </w:r>
          </w:p>
          <w:p w:rsidR="00B41C1C" w:rsidRPr="00A518CC" w:rsidRDefault="00B41C1C" w:rsidP="00B41C1C">
            <w:pPr>
              <w:spacing w:line="360" w:lineRule="auto"/>
              <w:jc w:val="both"/>
              <w:rPr>
                <w:rFonts w:ascii="Times New Roman" w:hAnsi="Times New Roman"/>
                <w:sz w:val="24"/>
                <w:szCs w:val="24"/>
                <w:lang w:val="en-US"/>
              </w:rPr>
            </w:pPr>
            <w:r w:rsidRPr="00A518CC">
              <w:rPr>
                <w:rFonts w:ascii="Times New Roman" w:hAnsi="Times New Roman"/>
                <w:sz w:val="24"/>
                <w:szCs w:val="24"/>
                <w:lang w:val="en-US"/>
              </w:rPr>
              <w:t>For pharmacokinetic analysis, a noncompartamental approach using statistical moment theory was used.</w:t>
            </w:r>
          </w:p>
        </w:tc>
        <w:tc>
          <w:tcPr>
            <w:tcW w:w="1843" w:type="dxa"/>
          </w:tcPr>
          <w:p w:rsidR="00B41C1C" w:rsidRPr="00A518CC" w:rsidRDefault="00B41C1C" w:rsidP="00B41C1C">
            <w:pPr>
              <w:spacing w:line="360" w:lineRule="auto"/>
              <w:jc w:val="both"/>
              <w:rPr>
                <w:rFonts w:ascii="Times New Roman" w:hAnsi="Times New Roman"/>
                <w:sz w:val="24"/>
                <w:szCs w:val="24"/>
                <w:lang w:val="en-US"/>
              </w:rPr>
            </w:pPr>
            <w:r w:rsidRPr="00A518CC">
              <w:rPr>
                <w:rFonts w:ascii="Times New Roman" w:hAnsi="Times New Roman"/>
                <w:sz w:val="24"/>
                <w:szCs w:val="24"/>
                <w:lang w:val="en-US"/>
              </w:rPr>
              <w:t>YOH hydrochloride (Sigma Chemical Co., St. Louis, Missouri) was prepared as a 0.4% w/v.</w:t>
            </w:r>
          </w:p>
          <w:p w:rsidR="00B41C1C" w:rsidRPr="00A518CC" w:rsidRDefault="00B41C1C" w:rsidP="00B41C1C">
            <w:pPr>
              <w:spacing w:line="360" w:lineRule="auto"/>
              <w:jc w:val="both"/>
              <w:rPr>
                <w:rFonts w:ascii="Times New Roman" w:hAnsi="Times New Roman"/>
                <w:sz w:val="24"/>
                <w:szCs w:val="24"/>
                <w:lang w:val="en-US"/>
              </w:rPr>
            </w:pPr>
            <w:r w:rsidRPr="00A518CC">
              <w:rPr>
                <w:rFonts w:ascii="Times New Roman" w:hAnsi="Times New Roman"/>
                <w:sz w:val="24"/>
                <w:szCs w:val="24"/>
                <w:lang w:val="en-US"/>
              </w:rPr>
              <w:t>0.075 (seven horse) or 0.15 (four horse) mg</w:t>
            </w:r>
            <w:r w:rsidRPr="00A518CC">
              <w:rPr>
                <w:rFonts w:ascii="Times New Roman" w:eastAsia="AdvPSSym" w:hAnsi="Times New Roman"/>
                <w:sz w:val="24"/>
                <w:szCs w:val="24"/>
                <w:lang w:val="en-US"/>
              </w:rPr>
              <w:t>⁄K</w:t>
            </w:r>
            <w:r w:rsidRPr="00A518CC">
              <w:rPr>
                <w:rFonts w:ascii="Times New Roman" w:hAnsi="Times New Roman"/>
                <w:sz w:val="24"/>
                <w:szCs w:val="24"/>
                <w:lang w:val="en-US"/>
              </w:rPr>
              <w:t>g was injected into the apposite jugular vein.</w:t>
            </w:r>
          </w:p>
        </w:tc>
        <w:tc>
          <w:tcPr>
            <w:tcW w:w="2410" w:type="dxa"/>
          </w:tcPr>
          <w:p w:rsidR="00B41C1C" w:rsidRPr="00A518CC" w:rsidRDefault="00B41C1C" w:rsidP="00B41C1C">
            <w:pPr>
              <w:spacing w:line="360" w:lineRule="auto"/>
              <w:jc w:val="both"/>
              <w:rPr>
                <w:rFonts w:ascii="Times New Roman" w:hAnsi="Times New Roman"/>
                <w:sz w:val="24"/>
                <w:szCs w:val="24"/>
                <w:lang w:val="en-US"/>
              </w:rPr>
            </w:pPr>
            <w:r w:rsidRPr="00A518CC">
              <w:rPr>
                <w:rFonts w:ascii="Times New Roman" w:hAnsi="Times New Roman"/>
                <w:sz w:val="24"/>
                <w:szCs w:val="24"/>
                <w:lang w:val="en-US"/>
              </w:rPr>
              <w:t>No significant differences in any of the pharmacokinetic parameters between doses of YOH.</w:t>
            </w:r>
          </w:p>
          <w:p w:rsidR="00B41C1C" w:rsidRPr="00A518CC" w:rsidRDefault="00B41C1C" w:rsidP="00B41C1C">
            <w:pPr>
              <w:spacing w:line="360" w:lineRule="auto"/>
              <w:jc w:val="both"/>
              <w:rPr>
                <w:rFonts w:ascii="Times New Roman" w:hAnsi="Times New Roman"/>
                <w:sz w:val="24"/>
                <w:szCs w:val="24"/>
                <w:lang w:val="en-US"/>
              </w:rPr>
            </w:pPr>
            <w:r w:rsidRPr="00A518CC">
              <w:rPr>
                <w:rFonts w:ascii="Times New Roman" w:hAnsi="Times New Roman"/>
                <w:sz w:val="24"/>
                <w:szCs w:val="24"/>
                <w:lang w:val="en-GB"/>
              </w:rPr>
              <w:t xml:space="preserve">Systemic clearance and steady-state volume of distribution of YOH were 39.6±16.6 </w:t>
            </w:r>
            <w:r w:rsidRPr="00A518CC">
              <w:rPr>
                <w:rFonts w:ascii="Times New Roman" w:hAnsi="Times New Roman"/>
                <w:i/>
                <w:sz w:val="24"/>
                <w:szCs w:val="24"/>
                <w:lang w:val="en-GB"/>
              </w:rPr>
              <w:t>vs</w:t>
            </w:r>
            <w:r w:rsidRPr="00A518CC">
              <w:rPr>
                <w:rFonts w:ascii="Times New Roman" w:hAnsi="Times New Roman"/>
                <w:sz w:val="24"/>
                <w:szCs w:val="24"/>
                <w:lang w:val="en-GB"/>
              </w:rPr>
              <w:t xml:space="preserve">. 34.0±19.4 mL/min/Kg and 4.6±1.9 </w:t>
            </w:r>
            <w:r w:rsidRPr="00A518CC">
              <w:rPr>
                <w:rFonts w:ascii="Times New Roman" w:hAnsi="Times New Roman"/>
                <w:i/>
                <w:sz w:val="24"/>
                <w:szCs w:val="24"/>
                <w:lang w:val="en-GB"/>
              </w:rPr>
              <w:t>vs</w:t>
            </w:r>
            <w:r w:rsidRPr="00A518CC">
              <w:rPr>
                <w:rFonts w:ascii="Times New Roman" w:hAnsi="Times New Roman"/>
                <w:sz w:val="24"/>
                <w:szCs w:val="24"/>
                <w:lang w:val="en-GB"/>
              </w:rPr>
              <w:t xml:space="preserve">. 2.7±1.0 L/kg </w:t>
            </w:r>
            <w:r w:rsidRPr="00A518CC">
              <w:rPr>
                <w:rFonts w:ascii="Times New Roman" w:hAnsi="Times New Roman"/>
                <w:sz w:val="24"/>
                <w:szCs w:val="24"/>
                <w:lang w:val="en-US"/>
              </w:rPr>
              <w:t>in horses given doses.</w:t>
            </w:r>
          </w:p>
          <w:p w:rsidR="00B41C1C" w:rsidRPr="00A518CC" w:rsidRDefault="00B41C1C" w:rsidP="00B41C1C">
            <w:pPr>
              <w:spacing w:line="360" w:lineRule="auto"/>
              <w:jc w:val="both"/>
              <w:rPr>
                <w:rFonts w:ascii="Times New Roman" w:hAnsi="Times New Roman"/>
                <w:sz w:val="24"/>
                <w:szCs w:val="24"/>
                <w:lang w:val="en-US"/>
              </w:rPr>
            </w:pPr>
            <w:r w:rsidRPr="00A518CC">
              <w:rPr>
                <w:rFonts w:ascii="Times New Roman" w:hAnsi="Times New Roman"/>
                <w:sz w:val="24"/>
                <w:szCs w:val="24"/>
                <w:lang w:val="en-US"/>
              </w:rPr>
              <w:t>The mean effective half-life for YOH was 76.1</w:t>
            </w:r>
            <w:r w:rsidRPr="00A518CC">
              <w:rPr>
                <w:rFonts w:ascii="Times New Roman" w:hAnsi="Times New Roman"/>
                <w:sz w:val="24"/>
                <w:szCs w:val="24"/>
                <w:lang w:val="en-GB"/>
              </w:rPr>
              <w:t>±</w:t>
            </w:r>
            <w:r w:rsidRPr="00A518CC">
              <w:rPr>
                <w:rFonts w:ascii="Times New Roman" w:hAnsi="Times New Roman"/>
                <w:sz w:val="24"/>
                <w:szCs w:val="24"/>
                <w:lang w:val="en-US"/>
              </w:rPr>
              <w:t>23.1 min and 52.8</w:t>
            </w:r>
            <w:r w:rsidRPr="00A518CC">
              <w:rPr>
                <w:rFonts w:ascii="Times New Roman" w:hAnsi="Times New Roman"/>
                <w:sz w:val="24"/>
                <w:szCs w:val="24"/>
                <w:lang w:val="en-GB"/>
              </w:rPr>
              <w:t>±</w:t>
            </w:r>
            <w:r w:rsidRPr="00A518CC">
              <w:rPr>
                <w:rFonts w:ascii="Times New Roman" w:hAnsi="Times New Roman"/>
                <w:sz w:val="24"/>
                <w:szCs w:val="24"/>
                <w:lang w:val="en-US"/>
              </w:rPr>
              <w:t>27.8 min in horses given small or large doses of YOH.</w:t>
            </w:r>
          </w:p>
        </w:tc>
        <w:tc>
          <w:tcPr>
            <w:tcW w:w="2835" w:type="dxa"/>
          </w:tcPr>
          <w:p w:rsidR="00B41C1C" w:rsidRPr="00A518CC" w:rsidRDefault="00B41C1C" w:rsidP="00B41C1C">
            <w:pPr>
              <w:autoSpaceDE w:val="0"/>
              <w:autoSpaceDN w:val="0"/>
              <w:adjustRightInd w:val="0"/>
              <w:spacing w:line="360" w:lineRule="auto"/>
              <w:jc w:val="both"/>
              <w:rPr>
                <w:rFonts w:ascii="Times New Roman" w:hAnsi="Times New Roman"/>
                <w:sz w:val="24"/>
                <w:szCs w:val="24"/>
                <w:lang w:val="en-US"/>
              </w:rPr>
            </w:pPr>
            <w:r w:rsidRPr="00A518CC">
              <w:rPr>
                <w:rFonts w:ascii="Times New Roman" w:hAnsi="Times New Roman"/>
                <w:sz w:val="24"/>
                <w:szCs w:val="24"/>
                <w:lang w:val="en-US"/>
              </w:rPr>
              <w:t xml:space="preserve">The large volume of distribution, due to YOH's lipid solubility and ability to cross membranes was seen. </w:t>
            </w:r>
          </w:p>
          <w:p w:rsidR="00B41C1C" w:rsidRPr="00A518CC" w:rsidRDefault="00B41C1C" w:rsidP="00B41C1C">
            <w:pPr>
              <w:autoSpaceDE w:val="0"/>
              <w:autoSpaceDN w:val="0"/>
              <w:adjustRightInd w:val="0"/>
              <w:spacing w:line="360" w:lineRule="auto"/>
              <w:jc w:val="both"/>
              <w:rPr>
                <w:rFonts w:ascii="Times New Roman" w:hAnsi="Times New Roman"/>
                <w:sz w:val="24"/>
                <w:szCs w:val="24"/>
                <w:lang w:val="en-US"/>
              </w:rPr>
            </w:pPr>
            <w:r w:rsidRPr="00A518CC">
              <w:rPr>
                <w:rFonts w:ascii="Times New Roman" w:hAnsi="Times New Roman"/>
                <w:sz w:val="24"/>
                <w:szCs w:val="24"/>
                <w:lang w:val="en-US"/>
              </w:rPr>
              <w:t>Their results indicated relatively long serum half-live of YOH in horses.</w:t>
            </w:r>
          </w:p>
          <w:p w:rsidR="00B41C1C" w:rsidRPr="00A518CC" w:rsidRDefault="00B41C1C" w:rsidP="00B41C1C">
            <w:pPr>
              <w:autoSpaceDE w:val="0"/>
              <w:autoSpaceDN w:val="0"/>
              <w:adjustRightInd w:val="0"/>
              <w:spacing w:line="360" w:lineRule="auto"/>
              <w:jc w:val="both"/>
              <w:rPr>
                <w:rFonts w:ascii="Times New Roman" w:hAnsi="Times New Roman"/>
                <w:sz w:val="24"/>
                <w:szCs w:val="24"/>
                <w:lang w:val="en-US"/>
              </w:rPr>
            </w:pPr>
          </w:p>
        </w:tc>
      </w:tr>
    </w:tbl>
    <w:p w:rsidR="00B41C1C" w:rsidRPr="00A518CC" w:rsidRDefault="00B41C1C">
      <w:pPr>
        <w:spacing w:line="360" w:lineRule="auto"/>
        <w:rPr>
          <w:rFonts w:ascii="Times New Roman" w:hAnsi="Times New Roman"/>
          <w:b/>
          <w:sz w:val="24"/>
          <w:szCs w:val="24"/>
          <w:lang w:val="en-US"/>
        </w:rPr>
      </w:pPr>
      <w:r w:rsidRPr="00A518CC">
        <w:rPr>
          <w:rFonts w:ascii="Times New Roman" w:hAnsi="Times New Roman"/>
          <w:b/>
          <w:sz w:val="24"/>
          <w:szCs w:val="24"/>
          <w:lang w:val="en-US"/>
        </w:rPr>
        <w:br w:type="page"/>
      </w:r>
    </w:p>
    <w:p w:rsidR="00B41C1C" w:rsidRPr="00A518CC" w:rsidRDefault="00B41C1C" w:rsidP="00B41C1C">
      <w:pPr>
        <w:spacing w:line="360" w:lineRule="auto"/>
        <w:rPr>
          <w:rFonts w:ascii="Times New Roman" w:hAnsi="Times New Roman"/>
          <w:sz w:val="24"/>
          <w:szCs w:val="24"/>
          <w:lang w:val="en-US"/>
        </w:rPr>
      </w:pPr>
      <w:proofErr w:type="gramStart"/>
      <w:r w:rsidRPr="00A518CC">
        <w:rPr>
          <w:rFonts w:ascii="Times New Roman" w:hAnsi="Times New Roman"/>
          <w:b/>
          <w:sz w:val="24"/>
          <w:szCs w:val="24"/>
          <w:lang w:val="en-US"/>
        </w:rPr>
        <w:lastRenderedPageBreak/>
        <w:t>Table 3.</w:t>
      </w:r>
      <w:proofErr w:type="gramEnd"/>
      <w:r w:rsidRPr="00A518CC">
        <w:rPr>
          <w:rFonts w:ascii="Times New Roman" w:hAnsi="Times New Roman"/>
          <w:sz w:val="24"/>
          <w:szCs w:val="24"/>
          <w:lang w:val="en-US"/>
        </w:rPr>
        <w:t xml:space="preserve"> </w:t>
      </w:r>
      <w:proofErr w:type="gramStart"/>
      <w:r w:rsidRPr="00A518CC">
        <w:rPr>
          <w:rFonts w:ascii="Times New Roman" w:hAnsi="Times New Roman"/>
          <w:sz w:val="24"/>
          <w:szCs w:val="24"/>
          <w:lang w:val="en-US"/>
        </w:rPr>
        <w:t>Effects of yohimbine on changes in behavior, pharmacodynamics or pharmacokinetics parameters of detomidine in the horse.</w:t>
      </w:r>
      <w:proofErr w:type="gramEnd"/>
    </w:p>
    <w:tbl>
      <w:tblPr>
        <w:tblStyle w:val="Tablaconcuadrcula"/>
        <w:tblW w:w="12866"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384"/>
        <w:gridCol w:w="1843"/>
        <w:gridCol w:w="2551"/>
        <w:gridCol w:w="1843"/>
        <w:gridCol w:w="2410"/>
        <w:gridCol w:w="2835"/>
      </w:tblGrid>
      <w:tr w:rsidR="00B41C1C" w:rsidRPr="00A518CC" w:rsidTr="00B41C1C">
        <w:tc>
          <w:tcPr>
            <w:tcW w:w="1384" w:type="dxa"/>
            <w:tcBorders>
              <w:top w:val="single" w:sz="4" w:space="0" w:color="auto"/>
              <w:bottom w:val="single" w:sz="4" w:space="0" w:color="auto"/>
            </w:tcBorders>
          </w:tcPr>
          <w:p w:rsidR="00B41C1C" w:rsidRPr="00A518CC" w:rsidRDefault="00B41C1C" w:rsidP="00B41C1C">
            <w:pPr>
              <w:spacing w:line="360" w:lineRule="auto"/>
              <w:jc w:val="center"/>
              <w:rPr>
                <w:rFonts w:ascii="Times New Roman" w:hAnsi="Times New Roman"/>
                <w:b/>
                <w:sz w:val="24"/>
                <w:szCs w:val="24"/>
                <w:lang w:val="en-US"/>
              </w:rPr>
            </w:pPr>
            <w:r w:rsidRPr="00A518CC">
              <w:rPr>
                <w:rFonts w:ascii="Times New Roman" w:hAnsi="Times New Roman"/>
                <w:b/>
                <w:sz w:val="24"/>
                <w:szCs w:val="24"/>
                <w:lang w:val="en-US"/>
              </w:rPr>
              <w:t>Authors</w:t>
            </w:r>
          </w:p>
        </w:tc>
        <w:tc>
          <w:tcPr>
            <w:tcW w:w="1843" w:type="dxa"/>
            <w:tcBorders>
              <w:top w:val="single" w:sz="4" w:space="0" w:color="auto"/>
              <w:bottom w:val="single" w:sz="4" w:space="0" w:color="auto"/>
            </w:tcBorders>
          </w:tcPr>
          <w:p w:rsidR="00B41C1C" w:rsidRPr="00A518CC" w:rsidRDefault="00B41C1C" w:rsidP="00B41C1C">
            <w:pPr>
              <w:spacing w:line="360" w:lineRule="auto"/>
              <w:jc w:val="center"/>
              <w:rPr>
                <w:rFonts w:ascii="Times New Roman" w:hAnsi="Times New Roman"/>
                <w:b/>
                <w:sz w:val="24"/>
                <w:szCs w:val="24"/>
                <w:lang w:val="en-US"/>
              </w:rPr>
            </w:pPr>
            <w:r w:rsidRPr="00A518CC">
              <w:rPr>
                <w:rFonts w:ascii="Times New Roman" w:hAnsi="Times New Roman"/>
                <w:b/>
                <w:sz w:val="24"/>
                <w:szCs w:val="24"/>
                <w:lang w:val="en-US"/>
              </w:rPr>
              <w:t>Objective</w:t>
            </w:r>
          </w:p>
        </w:tc>
        <w:tc>
          <w:tcPr>
            <w:tcW w:w="2551" w:type="dxa"/>
            <w:tcBorders>
              <w:top w:val="single" w:sz="4" w:space="0" w:color="auto"/>
              <w:bottom w:val="single" w:sz="4" w:space="0" w:color="auto"/>
            </w:tcBorders>
          </w:tcPr>
          <w:p w:rsidR="00B41C1C" w:rsidRPr="00A518CC" w:rsidRDefault="00B41C1C" w:rsidP="00B41C1C">
            <w:pPr>
              <w:spacing w:line="360" w:lineRule="auto"/>
              <w:jc w:val="center"/>
              <w:rPr>
                <w:rFonts w:ascii="Times New Roman" w:hAnsi="Times New Roman"/>
                <w:b/>
                <w:sz w:val="24"/>
                <w:szCs w:val="24"/>
                <w:lang w:val="en-US"/>
              </w:rPr>
            </w:pPr>
            <w:r w:rsidRPr="00A518CC">
              <w:rPr>
                <w:rFonts w:ascii="Times New Roman" w:hAnsi="Times New Roman"/>
                <w:b/>
                <w:sz w:val="24"/>
                <w:szCs w:val="24"/>
                <w:lang w:val="en-US"/>
              </w:rPr>
              <w:t>Experimental model</w:t>
            </w:r>
          </w:p>
        </w:tc>
        <w:tc>
          <w:tcPr>
            <w:tcW w:w="1843" w:type="dxa"/>
            <w:tcBorders>
              <w:top w:val="single" w:sz="4" w:space="0" w:color="auto"/>
              <w:bottom w:val="single" w:sz="4" w:space="0" w:color="auto"/>
            </w:tcBorders>
          </w:tcPr>
          <w:p w:rsidR="00B41C1C" w:rsidRPr="00A518CC" w:rsidRDefault="00B41C1C" w:rsidP="00B41C1C">
            <w:pPr>
              <w:spacing w:line="360" w:lineRule="auto"/>
              <w:jc w:val="center"/>
              <w:rPr>
                <w:rFonts w:ascii="Times New Roman" w:hAnsi="Times New Roman"/>
                <w:b/>
                <w:sz w:val="24"/>
                <w:szCs w:val="24"/>
                <w:lang w:val="en-US"/>
              </w:rPr>
            </w:pPr>
            <w:r w:rsidRPr="00A518CC">
              <w:rPr>
                <w:rFonts w:ascii="Times New Roman" w:hAnsi="Times New Roman"/>
                <w:b/>
                <w:sz w:val="24"/>
                <w:szCs w:val="24"/>
                <w:lang w:val="en-US"/>
              </w:rPr>
              <w:t>Dose and administration route</w:t>
            </w:r>
          </w:p>
        </w:tc>
        <w:tc>
          <w:tcPr>
            <w:tcW w:w="2410" w:type="dxa"/>
            <w:tcBorders>
              <w:top w:val="single" w:sz="4" w:space="0" w:color="auto"/>
              <w:bottom w:val="single" w:sz="4" w:space="0" w:color="auto"/>
            </w:tcBorders>
          </w:tcPr>
          <w:p w:rsidR="00B41C1C" w:rsidRPr="00A518CC" w:rsidRDefault="00B41C1C" w:rsidP="00B41C1C">
            <w:pPr>
              <w:spacing w:line="360" w:lineRule="auto"/>
              <w:jc w:val="center"/>
              <w:rPr>
                <w:rFonts w:ascii="Times New Roman" w:hAnsi="Times New Roman"/>
                <w:b/>
                <w:sz w:val="24"/>
                <w:szCs w:val="24"/>
                <w:lang w:val="en-US"/>
              </w:rPr>
            </w:pPr>
            <w:r w:rsidRPr="00A518CC">
              <w:rPr>
                <w:rFonts w:ascii="Times New Roman" w:hAnsi="Times New Roman"/>
                <w:b/>
                <w:sz w:val="24"/>
                <w:szCs w:val="24"/>
                <w:lang w:val="en-US"/>
              </w:rPr>
              <w:t>Pharmacokinetics, pharmacodynamics or behavioural changes</w:t>
            </w:r>
          </w:p>
        </w:tc>
        <w:tc>
          <w:tcPr>
            <w:tcW w:w="2835" w:type="dxa"/>
            <w:tcBorders>
              <w:top w:val="single" w:sz="4" w:space="0" w:color="auto"/>
              <w:bottom w:val="single" w:sz="4" w:space="0" w:color="auto"/>
            </w:tcBorders>
          </w:tcPr>
          <w:p w:rsidR="00B41C1C" w:rsidRPr="00A518CC" w:rsidRDefault="00B41C1C" w:rsidP="00B41C1C">
            <w:pPr>
              <w:spacing w:line="360" w:lineRule="auto"/>
              <w:jc w:val="center"/>
              <w:rPr>
                <w:rFonts w:ascii="Times New Roman" w:hAnsi="Times New Roman"/>
                <w:b/>
                <w:sz w:val="24"/>
                <w:szCs w:val="24"/>
                <w:lang w:val="en-US"/>
              </w:rPr>
            </w:pPr>
            <w:r w:rsidRPr="00A518CC">
              <w:rPr>
                <w:rFonts w:ascii="Times New Roman" w:hAnsi="Times New Roman"/>
                <w:b/>
                <w:sz w:val="24"/>
                <w:szCs w:val="24"/>
                <w:lang w:val="en-US"/>
              </w:rPr>
              <w:t>Conclusion</w:t>
            </w:r>
          </w:p>
        </w:tc>
      </w:tr>
      <w:tr w:rsidR="00B41C1C" w:rsidRPr="00A518CC" w:rsidTr="00B41C1C">
        <w:tc>
          <w:tcPr>
            <w:tcW w:w="1384" w:type="dxa"/>
            <w:tcBorders>
              <w:top w:val="single" w:sz="4" w:space="0" w:color="auto"/>
            </w:tcBorders>
          </w:tcPr>
          <w:p w:rsidR="00B41C1C" w:rsidRPr="00A518CC" w:rsidRDefault="00A2062B" w:rsidP="00B41C1C">
            <w:pPr>
              <w:spacing w:line="360" w:lineRule="auto"/>
              <w:rPr>
                <w:rFonts w:ascii="Times New Roman" w:hAnsi="Times New Roman"/>
                <w:sz w:val="24"/>
                <w:szCs w:val="24"/>
                <w:lang w:val="en-US"/>
              </w:rPr>
            </w:pPr>
            <w:r w:rsidRPr="00A518CC">
              <w:rPr>
                <w:rFonts w:ascii="Times New Roman" w:hAnsi="Times New Roman"/>
                <w:sz w:val="24"/>
                <w:szCs w:val="24"/>
              </w:rPr>
              <w:fldChar w:fldCharType="begin" w:fldLock="1"/>
            </w:r>
            <w:r w:rsidR="00B41C1C" w:rsidRPr="00A518CC">
              <w:rPr>
                <w:rFonts w:ascii="Times New Roman" w:hAnsi="Times New Roman"/>
                <w:sz w:val="24"/>
                <w:szCs w:val="24"/>
                <w:lang w:val="en-US"/>
              </w:rPr>
              <w:instrText>ADDIN CSL_CITATION { "cita</w:instrText>
            </w:r>
            <w:r w:rsidR="00B41C1C" w:rsidRPr="00A518CC">
              <w:rPr>
                <w:rFonts w:ascii="Times New Roman" w:hAnsi="Times New Roman"/>
                <w:sz w:val="24"/>
                <w:szCs w:val="24"/>
              </w:rPr>
              <w:instrText>tionItems" : [ { "id" : "ITEM-1", "itemData" : { "DOI" : "10.1111/j.1467-2995.2012.00776.x", "ISSN" : "14672987", "PMID" : "23035904", "abstract" : "OBJECTIVE: To describe selected pharmacodynamic effects of detomidine and yohimbine when administered alone and in sequence.\\n\\nSTUDY DESIGN: Randomized crossover design.\\n\\nANIMALS: Nine healthy adult horses aged 9 \u00b1 4 years and weighing 561 \u00b1 56 kg.\\n\\nMETHODS: Three dose regimens were employed in the current study. 1) 0.03 mg kg(-1) detomidine IV, 2) 0.2 mg kg(-1) yohimbine IV and 3) 0.03 mg kg(-1) detomidine IV followed 15 minutes later by 0.2 mg kg(-1) yohimbine IV. Each horse received all three treatments with a minimum of 1 week between treatments. Blood samples were obtained and plasma analyzed for detomidine and yohimbine concentrations by liquid chromatography-mass spectrometry. Behavioral effects, heart rate and rhythm, glucose, packed cell volume and plasma proteins were monitored.\\n\\nRESULTS: Yohimbine rapidly reversed the sedative effects of detomidine in the horse. Additionally, yohimbine effectively returned heart rate and the percent of atrio-ventricular conduction disturbances to pre-detomidine values when administered 15 minutes post-detomidine administration. Plasma glucose was significantly increased following detomidine administration. The detomidine induced hyperglycemia was effectively reduced by yohimbine administration. Effects on packed cell volume and plasma pro</w:instrText>
            </w:r>
            <w:r w:rsidR="00B41C1C" w:rsidRPr="00A518CC">
              <w:rPr>
                <w:rFonts w:ascii="Times New Roman" w:hAnsi="Times New Roman"/>
                <w:sz w:val="24"/>
                <w:szCs w:val="24"/>
                <w:lang w:val="en-US"/>
              </w:rPr>
              <w:instrText>teins were variable.\\n\\nCONCLUSIONS AND CLINICAL RELEVANCE: Intravenous administration of yohimbine effectively reversed detomidine induced sedation, bradycardia, atrio-ventricular heart block and hyperglycemia.", "author" : [ { "dropping-particle" : "", "family" : "Dimaio Knych", "given" : "Heather K.", "non-dropping-particle" : "", "parse-names" : false, "suffix" : "" }, { "dropping-particle" : "", "family" : "Covarrubias", "given" : "Vanessa", "non-dropping-particle" : "", "parse-names" : false, "suffix" : "" }, { "dropping-particle" : "", "family" : "Steffey", "given" : "Eugene P.", "non-dropping-particle" : "", "parse-names" : false, "suffix" : "" } ], "container-title" : "Veterinary Anaesthesia and Analgesia", "id" : "ITEM-1", "issue" : "6", "issued" : { "date-parts" : [ [ "2012" ] ] }, "page" : "574-583", "title" : "Effect of yohimbine on detomidine induced changes in behavior, cardiac and blood parameters in the horse", "type" : "article-journal", "volume" : "39" }, "uris" : [ "http://www.mendeley.com/documents/?uuid=22ec7d39-3121-498d-b24c-8a19caec533c" ] } ], "mendeley" : { "formattedCitation" : "(Heather K. Dimaio Knych, Covarrubias, and Steffey 2012)", "plainTextFormattedCitation" : "(Heather K. Dimaio Knych, Covarrubias, and Steffey 2012)", "previouslyFormattedCitation" : "(Heather K. Dimaio Knych, Covarrubias, and Steffey 2012)" }, "properties" : { "noteIndex" : 0 }, "schema" : "https://github.com/citation-style-language/schema/raw/master/csl-citation.json" }</w:instrText>
            </w:r>
            <w:r w:rsidRPr="00A518CC">
              <w:rPr>
                <w:rFonts w:ascii="Times New Roman" w:hAnsi="Times New Roman"/>
                <w:sz w:val="24"/>
                <w:szCs w:val="24"/>
              </w:rPr>
              <w:fldChar w:fldCharType="separate"/>
            </w:r>
            <w:r w:rsidR="00B41C1C" w:rsidRPr="00A518CC">
              <w:rPr>
                <w:rFonts w:ascii="Times New Roman" w:hAnsi="Times New Roman"/>
                <w:noProof/>
                <w:sz w:val="24"/>
                <w:szCs w:val="24"/>
                <w:lang w:val="en-US"/>
              </w:rPr>
              <w:t xml:space="preserve">(Heather K. Dimaio Knych, </w:t>
            </w:r>
            <w:r w:rsidR="00B41C1C" w:rsidRPr="00A518CC">
              <w:rPr>
                <w:rFonts w:ascii="Times New Roman" w:hAnsi="Times New Roman"/>
                <w:i/>
                <w:noProof/>
                <w:sz w:val="24"/>
                <w:szCs w:val="24"/>
                <w:lang w:val="en-US"/>
              </w:rPr>
              <w:t>et al</w:t>
            </w:r>
            <w:r w:rsidR="00B41C1C" w:rsidRPr="00A518CC">
              <w:rPr>
                <w:rFonts w:ascii="Times New Roman" w:hAnsi="Times New Roman"/>
                <w:noProof/>
                <w:sz w:val="24"/>
                <w:szCs w:val="24"/>
                <w:lang w:val="en-US"/>
              </w:rPr>
              <w:t>., 2012)</w:t>
            </w:r>
            <w:r w:rsidRPr="00A518CC">
              <w:rPr>
                <w:rFonts w:ascii="Times New Roman" w:hAnsi="Times New Roman"/>
                <w:sz w:val="24"/>
                <w:szCs w:val="24"/>
              </w:rPr>
              <w:fldChar w:fldCharType="end"/>
            </w:r>
          </w:p>
        </w:tc>
        <w:tc>
          <w:tcPr>
            <w:tcW w:w="1843" w:type="dxa"/>
            <w:tcBorders>
              <w:top w:val="single" w:sz="4" w:space="0" w:color="auto"/>
            </w:tcBorders>
          </w:tcPr>
          <w:p w:rsidR="00B41C1C" w:rsidRPr="00A518CC" w:rsidRDefault="00B41C1C" w:rsidP="00B41C1C">
            <w:pPr>
              <w:spacing w:line="360" w:lineRule="auto"/>
              <w:jc w:val="both"/>
              <w:rPr>
                <w:rFonts w:ascii="Times New Roman" w:hAnsi="Times New Roman"/>
                <w:sz w:val="24"/>
                <w:szCs w:val="24"/>
                <w:lang w:val="en-US"/>
              </w:rPr>
            </w:pPr>
            <w:r w:rsidRPr="00A518CC">
              <w:rPr>
                <w:rFonts w:ascii="Times New Roman" w:hAnsi="Times New Roman"/>
                <w:sz w:val="24"/>
                <w:szCs w:val="24"/>
                <w:lang w:val="en-US"/>
              </w:rPr>
              <w:t>Describe pharmacodynamics effects of DET and YOH when administered alone and in sequence.</w:t>
            </w:r>
          </w:p>
        </w:tc>
        <w:tc>
          <w:tcPr>
            <w:tcW w:w="2551" w:type="dxa"/>
            <w:tcBorders>
              <w:top w:val="single" w:sz="4" w:space="0" w:color="auto"/>
            </w:tcBorders>
          </w:tcPr>
          <w:p w:rsidR="00B41C1C" w:rsidRPr="00A518CC" w:rsidRDefault="00B41C1C" w:rsidP="00B41C1C">
            <w:pPr>
              <w:spacing w:line="360" w:lineRule="auto"/>
              <w:jc w:val="both"/>
              <w:rPr>
                <w:rFonts w:ascii="Times New Roman" w:hAnsi="Times New Roman"/>
                <w:sz w:val="24"/>
                <w:szCs w:val="24"/>
                <w:lang w:val="en-US"/>
              </w:rPr>
            </w:pPr>
            <w:r w:rsidRPr="00A518CC">
              <w:rPr>
                <w:rFonts w:ascii="Times New Roman" w:hAnsi="Times New Roman"/>
                <w:sz w:val="24"/>
                <w:szCs w:val="24"/>
                <w:lang w:val="en-US"/>
              </w:rPr>
              <w:t>Nine adult horses (eight Thoroughbreds and one Standardbred).</w:t>
            </w:r>
          </w:p>
          <w:p w:rsidR="00B41C1C" w:rsidRPr="00A518CC" w:rsidRDefault="00B41C1C" w:rsidP="00B41C1C">
            <w:pPr>
              <w:spacing w:line="360" w:lineRule="auto"/>
              <w:jc w:val="both"/>
              <w:rPr>
                <w:rFonts w:ascii="Times New Roman" w:hAnsi="Times New Roman"/>
                <w:sz w:val="24"/>
                <w:szCs w:val="24"/>
                <w:lang w:val="en-GB"/>
              </w:rPr>
            </w:pPr>
            <w:r w:rsidRPr="00A518CC">
              <w:rPr>
                <w:rFonts w:ascii="Times New Roman" w:hAnsi="Times New Roman"/>
                <w:sz w:val="24"/>
                <w:szCs w:val="24"/>
                <w:lang w:val="en-GB"/>
              </w:rPr>
              <w:t xml:space="preserve">Blood samples were </w:t>
            </w:r>
            <w:r w:rsidRPr="00A518CC">
              <w:rPr>
                <w:rFonts w:ascii="Times New Roman" w:hAnsi="Times New Roman"/>
                <w:sz w:val="24"/>
                <w:szCs w:val="24"/>
                <w:lang w:val="en-US"/>
              </w:rPr>
              <w:t xml:space="preserve">obtained </w:t>
            </w:r>
            <w:r w:rsidRPr="00A518CC">
              <w:rPr>
                <w:rFonts w:ascii="Times New Roman" w:hAnsi="Times New Roman"/>
                <w:sz w:val="24"/>
                <w:szCs w:val="24"/>
                <w:lang w:val="en-GB"/>
              </w:rPr>
              <w:t xml:space="preserve">prior and at various times up to 72 h post drug administration. </w:t>
            </w:r>
          </w:p>
          <w:p w:rsidR="00B41C1C" w:rsidRPr="00A518CC" w:rsidRDefault="00B41C1C" w:rsidP="00B41C1C">
            <w:pPr>
              <w:spacing w:line="360" w:lineRule="auto"/>
              <w:jc w:val="both"/>
              <w:rPr>
                <w:rFonts w:ascii="Times New Roman" w:hAnsi="Times New Roman"/>
                <w:sz w:val="24"/>
                <w:szCs w:val="24"/>
                <w:lang w:val="en-GB"/>
              </w:rPr>
            </w:pPr>
            <w:r w:rsidRPr="00A518CC">
              <w:rPr>
                <w:rFonts w:ascii="Times New Roman" w:hAnsi="Times New Roman"/>
                <w:sz w:val="24"/>
                <w:szCs w:val="24"/>
                <w:lang w:val="en-GB"/>
              </w:rPr>
              <w:t>Plasma samples were analyzed using liquid chromatography–mass spectrometry.</w:t>
            </w:r>
          </w:p>
          <w:p w:rsidR="00B41C1C" w:rsidRPr="00A518CC" w:rsidRDefault="00B41C1C" w:rsidP="00B41C1C">
            <w:pPr>
              <w:spacing w:line="360" w:lineRule="auto"/>
              <w:jc w:val="both"/>
              <w:rPr>
                <w:rFonts w:ascii="Times New Roman" w:hAnsi="Times New Roman"/>
                <w:sz w:val="24"/>
                <w:szCs w:val="24"/>
                <w:lang w:val="en-US"/>
              </w:rPr>
            </w:pPr>
            <w:r w:rsidRPr="00A518CC">
              <w:rPr>
                <w:rFonts w:ascii="Times New Roman" w:hAnsi="Times New Roman"/>
                <w:sz w:val="24"/>
                <w:szCs w:val="24"/>
                <w:lang w:val="en-US"/>
              </w:rPr>
              <w:t xml:space="preserve">Behavioral effects, heart rate and rhythm, glucose, packed cell volume (PCV) and </w:t>
            </w:r>
            <w:r w:rsidRPr="00A518CC">
              <w:rPr>
                <w:rFonts w:ascii="Times New Roman" w:hAnsi="Times New Roman"/>
                <w:sz w:val="24"/>
                <w:szCs w:val="24"/>
                <w:lang w:val="en-US"/>
              </w:rPr>
              <w:lastRenderedPageBreak/>
              <w:t>plasma proteins were monitored.</w:t>
            </w:r>
          </w:p>
        </w:tc>
        <w:tc>
          <w:tcPr>
            <w:tcW w:w="1843" w:type="dxa"/>
            <w:tcBorders>
              <w:top w:val="single" w:sz="4" w:space="0" w:color="auto"/>
            </w:tcBorders>
          </w:tcPr>
          <w:p w:rsidR="00B41C1C" w:rsidRPr="00A518CC" w:rsidRDefault="00B41C1C" w:rsidP="00B41C1C">
            <w:pPr>
              <w:spacing w:line="360" w:lineRule="auto"/>
              <w:jc w:val="both"/>
              <w:rPr>
                <w:rFonts w:ascii="Times New Roman" w:hAnsi="Times New Roman"/>
                <w:sz w:val="24"/>
                <w:szCs w:val="24"/>
                <w:lang w:val="en-US"/>
              </w:rPr>
            </w:pPr>
            <w:r w:rsidRPr="00A518CC">
              <w:rPr>
                <w:rFonts w:ascii="Times New Roman" w:hAnsi="Times New Roman"/>
                <w:sz w:val="24"/>
                <w:szCs w:val="24"/>
                <w:lang w:val="en-US"/>
              </w:rPr>
              <w:lastRenderedPageBreak/>
              <w:t>Three dose regimens were employed. 1) 0.03 mg kg</w:t>
            </w:r>
            <w:r w:rsidRPr="00A518CC">
              <w:rPr>
                <w:rFonts w:ascii="Times New Roman" w:hAnsi="Times New Roman"/>
                <w:sz w:val="24"/>
                <w:szCs w:val="24"/>
                <w:vertAlign w:val="superscript"/>
                <w:lang w:val="en-US"/>
              </w:rPr>
              <w:t>-1</w:t>
            </w:r>
            <w:r w:rsidRPr="00A518CC">
              <w:rPr>
                <w:rFonts w:ascii="Times New Roman" w:hAnsi="Times New Roman"/>
                <w:sz w:val="24"/>
                <w:szCs w:val="24"/>
                <w:lang w:val="en-US"/>
              </w:rPr>
              <w:t xml:space="preserve"> DET (Dormosedan, Pfizer Animal Health, PA, USA) IV. 2) 0.2 mg kg</w:t>
            </w:r>
            <w:r w:rsidRPr="00A518CC">
              <w:rPr>
                <w:rFonts w:ascii="Times New Roman" w:hAnsi="Times New Roman"/>
                <w:sz w:val="24"/>
                <w:szCs w:val="24"/>
                <w:vertAlign w:val="superscript"/>
                <w:lang w:val="en-US"/>
              </w:rPr>
              <w:t>-1</w:t>
            </w:r>
            <w:r w:rsidRPr="00A518CC">
              <w:rPr>
                <w:rFonts w:ascii="Times New Roman" w:hAnsi="Times New Roman"/>
                <w:sz w:val="24"/>
                <w:szCs w:val="24"/>
                <w:lang w:val="en-US"/>
              </w:rPr>
              <w:t xml:space="preserve"> YOH (Yobine, Lloyd Laboratories, IA, USA) IV. 3) 0.03 mg kg</w:t>
            </w:r>
            <w:r w:rsidRPr="00A518CC">
              <w:rPr>
                <w:rFonts w:ascii="Times New Roman" w:hAnsi="Times New Roman"/>
                <w:sz w:val="24"/>
                <w:szCs w:val="24"/>
                <w:vertAlign w:val="superscript"/>
                <w:lang w:val="en-US"/>
              </w:rPr>
              <w:t>-1</w:t>
            </w:r>
            <w:r w:rsidRPr="00A518CC">
              <w:rPr>
                <w:rFonts w:ascii="Times New Roman" w:hAnsi="Times New Roman"/>
                <w:sz w:val="24"/>
                <w:szCs w:val="24"/>
                <w:lang w:val="en-US"/>
              </w:rPr>
              <w:t xml:space="preserve"> DET IV followed 15 min </w:t>
            </w:r>
            <w:r w:rsidRPr="00A518CC">
              <w:rPr>
                <w:rFonts w:ascii="Times New Roman" w:hAnsi="Times New Roman"/>
                <w:sz w:val="24"/>
                <w:szCs w:val="24"/>
                <w:lang w:val="en-US"/>
              </w:rPr>
              <w:lastRenderedPageBreak/>
              <w:t>later by 0.2 mg kg</w:t>
            </w:r>
            <w:r w:rsidRPr="00A518CC">
              <w:rPr>
                <w:rFonts w:ascii="Times New Roman" w:hAnsi="Times New Roman"/>
                <w:sz w:val="24"/>
                <w:szCs w:val="24"/>
                <w:vertAlign w:val="superscript"/>
                <w:lang w:val="en-US"/>
              </w:rPr>
              <w:t>-1</w:t>
            </w:r>
            <w:r w:rsidRPr="00A518CC">
              <w:rPr>
                <w:rFonts w:ascii="Times New Roman" w:hAnsi="Times New Roman"/>
                <w:sz w:val="24"/>
                <w:szCs w:val="24"/>
                <w:lang w:val="en-US"/>
              </w:rPr>
              <w:t xml:space="preserve"> YOH IV. </w:t>
            </w:r>
          </w:p>
          <w:p w:rsidR="00B41C1C" w:rsidRPr="00A518CC" w:rsidRDefault="00B41C1C" w:rsidP="00B41C1C">
            <w:pPr>
              <w:spacing w:line="360" w:lineRule="auto"/>
              <w:jc w:val="both"/>
              <w:rPr>
                <w:rFonts w:ascii="Times New Roman" w:hAnsi="Times New Roman"/>
                <w:sz w:val="24"/>
                <w:szCs w:val="24"/>
                <w:lang w:val="en-US"/>
              </w:rPr>
            </w:pPr>
            <w:r w:rsidRPr="00A518CC">
              <w:rPr>
                <w:rFonts w:ascii="Times New Roman" w:hAnsi="Times New Roman"/>
                <w:sz w:val="24"/>
                <w:szCs w:val="24"/>
                <w:lang w:val="en-US"/>
              </w:rPr>
              <w:t xml:space="preserve">Each horse received all three treatments with a minimum of 1 week between treatments. </w:t>
            </w:r>
          </w:p>
        </w:tc>
        <w:tc>
          <w:tcPr>
            <w:tcW w:w="2410" w:type="dxa"/>
            <w:tcBorders>
              <w:top w:val="single" w:sz="4" w:space="0" w:color="auto"/>
            </w:tcBorders>
          </w:tcPr>
          <w:p w:rsidR="00B41C1C" w:rsidRPr="00A518CC" w:rsidRDefault="00B41C1C" w:rsidP="00B41C1C">
            <w:pPr>
              <w:spacing w:line="360" w:lineRule="auto"/>
              <w:jc w:val="both"/>
              <w:rPr>
                <w:rFonts w:ascii="Times New Roman" w:hAnsi="Times New Roman"/>
                <w:sz w:val="24"/>
                <w:szCs w:val="24"/>
                <w:lang w:val="en-US"/>
              </w:rPr>
            </w:pPr>
            <w:r w:rsidRPr="00A518CC">
              <w:rPr>
                <w:rFonts w:ascii="Times New Roman" w:hAnsi="Times New Roman"/>
                <w:sz w:val="24"/>
                <w:szCs w:val="24"/>
                <w:lang w:val="en-US"/>
              </w:rPr>
              <w:lastRenderedPageBreak/>
              <w:t xml:space="preserve">Heart rate decreased significantly for all horses, following DET administration. The maximal decrease (15 bpm) was present 2 min post-DET. Bradycardia persisted for up to 1 h post-DET administration. YOH returned heart rate and the percent of AV conduction disturbances to pre-DET values when administered 15 </w:t>
            </w:r>
            <w:r w:rsidRPr="00A518CC">
              <w:rPr>
                <w:rFonts w:ascii="Times New Roman" w:hAnsi="Times New Roman"/>
                <w:sz w:val="24"/>
                <w:szCs w:val="24"/>
                <w:lang w:val="en-US"/>
              </w:rPr>
              <w:lastRenderedPageBreak/>
              <w:t xml:space="preserve">minutes post-DET. </w:t>
            </w:r>
          </w:p>
          <w:p w:rsidR="00B41C1C" w:rsidRPr="00A518CC" w:rsidRDefault="00B41C1C" w:rsidP="00B41C1C">
            <w:pPr>
              <w:spacing w:line="360" w:lineRule="auto"/>
              <w:jc w:val="both"/>
              <w:rPr>
                <w:rFonts w:ascii="Times New Roman" w:hAnsi="Times New Roman"/>
                <w:sz w:val="24"/>
                <w:szCs w:val="24"/>
                <w:lang w:val="en-US"/>
              </w:rPr>
            </w:pPr>
            <w:r w:rsidRPr="00A518CC">
              <w:rPr>
                <w:rFonts w:ascii="Times New Roman" w:hAnsi="Times New Roman"/>
                <w:sz w:val="24"/>
                <w:szCs w:val="24"/>
                <w:lang w:val="en-US"/>
              </w:rPr>
              <w:t>Plasma glucose concentrations increased by 30 min post-DET administration, both for the DET only and the DET+YOH dose groups (44 and 32 mg/dL</w:t>
            </w:r>
            <w:r w:rsidRPr="00A518CC">
              <w:rPr>
                <w:rFonts w:ascii="Times New Roman" w:hAnsi="Times New Roman"/>
                <w:sz w:val="24"/>
                <w:szCs w:val="24"/>
                <w:vertAlign w:val="superscript"/>
                <w:lang w:val="en-US"/>
              </w:rPr>
              <w:t>-1</w:t>
            </w:r>
            <w:r w:rsidRPr="00A518CC">
              <w:rPr>
                <w:rFonts w:ascii="Times New Roman" w:hAnsi="Times New Roman"/>
                <w:sz w:val="24"/>
                <w:szCs w:val="24"/>
                <w:lang w:val="en-US"/>
              </w:rPr>
              <w:t xml:space="preserve">). </w:t>
            </w:r>
          </w:p>
        </w:tc>
        <w:tc>
          <w:tcPr>
            <w:tcW w:w="2835" w:type="dxa"/>
            <w:tcBorders>
              <w:top w:val="single" w:sz="4" w:space="0" w:color="auto"/>
            </w:tcBorders>
          </w:tcPr>
          <w:p w:rsidR="00B41C1C" w:rsidRPr="00A518CC" w:rsidRDefault="00B41C1C" w:rsidP="00B41C1C">
            <w:pPr>
              <w:spacing w:line="360" w:lineRule="auto"/>
              <w:jc w:val="both"/>
              <w:rPr>
                <w:rFonts w:ascii="Times New Roman" w:hAnsi="Times New Roman"/>
                <w:sz w:val="24"/>
                <w:szCs w:val="24"/>
                <w:lang w:val="en-US"/>
              </w:rPr>
            </w:pPr>
            <w:r w:rsidRPr="00A518CC">
              <w:rPr>
                <w:rFonts w:ascii="Times New Roman" w:hAnsi="Times New Roman"/>
                <w:sz w:val="24"/>
                <w:szCs w:val="24"/>
                <w:lang w:val="en-US"/>
              </w:rPr>
              <w:lastRenderedPageBreak/>
              <w:t>DET is effective in inducing sedation with pronounced effects on cardiac effects, including a notable decrease in heart rate and an increased incidence of AV conduction blocks. IV administration of YOH is effective in reversing the behavioral and cardiovascular effects of IV administered DET. YOH induced sedation, bradycardia, AV heart block and hyperglycemia.</w:t>
            </w:r>
          </w:p>
        </w:tc>
      </w:tr>
      <w:tr w:rsidR="00B41C1C" w:rsidRPr="00A518CC" w:rsidTr="00B41C1C">
        <w:tc>
          <w:tcPr>
            <w:tcW w:w="1384" w:type="dxa"/>
          </w:tcPr>
          <w:p w:rsidR="00B41C1C" w:rsidRPr="00A518CC" w:rsidRDefault="00A2062B" w:rsidP="00B41C1C">
            <w:pPr>
              <w:spacing w:line="360" w:lineRule="auto"/>
              <w:rPr>
                <w:rFonts w:ascii="Times New Roman" w:hAnsi="Times New Roman"/>
                <w:sz w:val="24"/>
                <w:szCs w:val="24"/>
                <w:lang w:val="en-US"/>
              </w:rPr>
            </w:pPr>
            <w:r w:rsidRPr="00A518CC">
              <w:rPr>
                <w:rFonts w:ascii="Times New Roman" w:hAnsi="Times New Roman"/>
                <w:sz w:val="24"/>
                <w:szCs w:val="24"/>
              </w:rPr>
              <w:lastRenderedPageBreak/>
              <w:fldChar w:fldCharType="begin" w:fldLock="1"/>
            </w:r>
            <w:r w:rsidR="00B41C1C" w:rsidRPr="00A518CC">
              <w:rPr>
                <w:rFonts w:ascii="Times New Roman" w:hAnsi="Times New Roman"/>
                <w:sz w:val="24"/>
                <w:szCs w:val="24"/>
              </w:rPr>
              <w:instrText xml:space="preserve">ADDIN CSL_CITATION { "citationItems" : [ { "id" : "ITEM-1", "itemData" : { "DOI" : "10.1111/j.1467-2995.2011.00690.x", "ISSN" : "14672987", "PMID" : "22405129", "abstract" : "OBJECTIVE: To describe the pharmacokinetics of detomidine and yohimbine when administered in combination.\\n\\nSTUDY DESIGN: Randomized crossover design.\\n\\nANIMALS: Nine healthy adult horses aged 9 \u00b1 4 years and weighing of 561 \u00b1 56 kg.\\n\\nMETHODS: Three dose regimens were employed in the current study. 1) 0.03 mg kg(-1) detomidine IV (D), 2) 0.2 mg kg(-1) yohimbine IV (Y) and 3) 0.03 mg kg(-1) detomidine IV followed 15 minutes later by 0.2 mg kg(-1) yohimbine IV (DY). Each horse received all three dose regimens with a minimum of 1 week in between subsequent regimens. Blood samples were obtained and plasma analyzed for detomidine and yohimbine concentrations by liquid chromatography-mass spectrometry. Data were analyzed using both non-compartmental and compartmental analysis.\\n\\nRESULTS: The maximum measured detomidine concentrations were 76.0 and 129.9 ng mL(-1) for the D and DY treatments, respectively. Systemic clearance and volume of distribution of detomidine were not significantly different for either treatment. There was a significant increase in the maximum measured yohimbine plasma concentrations from Y (173.9 ng mL(-1)) to DY (289.8 ng mL(-1)). Both the Cl and V(d) for yohimbine were significantly less (6.8 mL minute(-1) kg(-1) (Cl) and 1.7 L kg(-1) (V(d) )) for the DY as compared to the Y treatments (13.9 mL minute(-1) kg(-1) (Cl) and 2.7 L kg(-1) (V(d))). Plasma concentrations were below the limit of quantitation (0.05 and 0.5 ng mL(-1)) by 18 hours for both detomidine and yohimbine.\\n\\nCONCLUSION AND CLINICAL RELEVANCE: The Cl and V(d) of yohimbine were affected by prior administration of detomidine. The elimination half </w:instrText>
            </w:r>
            <w:r w:rsidR="00B41C1C" w:rsidRPr="00A518CC">
              <w:rPr>
                <w:rFonts w:ascii="Times New Roman" w:hAnsi="Times New Roman"/>
                <w:sz w:val="24"/>
                <w:szCs w:val="24"/>
                <w:lang w:val="en-US"/>
              </w:rPr>
              <w:instrText>life of yohimbine remained unaffected when administered subsequent to detomidine. However, the increased plasma concentrations in the presence of detomidine has the potential to cause untoward effects and therefore further studies to assess the physiologic effects of this combination of drugs are warranted.", "author" : [ { "dropping-particle" : "", "family" : "Knych", "given" : "Heather K.", "non-dropping-particle" : "", "parse-names" : false, "suffix" : "" }, { "dropping-particle" : "", "family" : "Steffey", "given" : "Eugene P.", "non-dropping-particle" : "", "parse-names" : false, "suffix" : "" }, { "dropping-particle" : "", "family" : "Stanley", "given" : "Scott D.", "non-dropping-particle" : "", "parse-names" : false, "suffix" : "" } ], "container-title" : "Veterinary Anaesthesia and Analgesia", "id" : "ITEM-1", "issue" : "3", "issued" : { "date-parts" : [ [ "2012" ] ] }, "page" : "221-229", "title" : "The effects of yohimbine on the pharmacokinetic parameters of detomidine in the horse", "type" : "article-journal", "volume" : "39" }, "uris" : [ "http://www.mendeley.com/documents/?uuid=0bee472b-93d6-4056-b8e8-6c1df4527d01" ] } ], "mendeley" : { "formattedCitation" : "(Knych, Steffey, and Stanley 2012)", "plainTextFormattedCitation" : "(Knych, Steffey, and Stanley 2012)", "previouslyFormattedCitation" : "(Knych, Steffey, and Stanley 2012)" }, "properties" : { "noteIndex" : 0 }, "schema" : "https://github.com/citation-style-language/schema/raw/master/csl-citation.json" }</w:instrText>
            </w:r>
            <w:r w:rsidRPr="00A518CC">
              <w:rPr>
                <w:rFonts w:ascii="Times New Roman" w:hAnsi="Times New Roman"/>
                <w:sz w:val="24"/>
                <w:szCs w:val="24"/>
              </w:rPr>
              <w:fldChar w:fldCharType="separate"/>
            </w:r>
            <w:r w:rsidR="00B41C1C" w:rsidRPr="00A518CC">
              <w:rPr>
                <w:rFonts w:ascii="Times New Roman" w:hAnsi="Times New Roman"/>
                <w:noProof/>
                <w:sz w:val="24"/>
                <w:szCs w:val="24"/>
                <w:lang w:val="en-US"/>
              </w:rPr>
              <w:t>(Knych</w:t>
            </w:r>
            <w:r w:rsidR="00B41C1C" w:rsidRPr="00A518CC">
              <w:rPr>
                <w:rFonts w:ascii="Times New Roman" w:hAnsi="Times New Roman"/>
                <w:i/>
                <w:noProof/>
                <w:sz w:val="24"/>
                <w:szCs w:val="24"/>
                <w:lang w:val="en-US"/>
              </w:rPr>
              <w:t>et al</w:t>
            </w:r>
            <w:r w:rsidR="00B41C1C" w:rsidRPr="00A518CC">
              <w:rPr>
                <w:rFonts w:ascii="Times New Roman" w:hAnsi="Times New Roman"/>
                <w:noProof/>
                <w:sz w:val="24"/>
                <w:szCs w:val="24"/>
                <w:lang w:val="en-US"/>
              </w:rPr>
              <w:t>.,  2012)</w:t>
            </w:r>
            <w:r w:rsidRPr="00A518CC">
              <w:rPr>
                <w:rFonts w:ascii="Times New Roman" w:hAnsi="Times New Roman"/>
                <w:sz w:val="24"/>
                <w:szCs w:val="24"/>
              </w:rPr>
              <w:fldChar w:fldCharType="end"/>
            </w:r>
          </w:p>
        </w:tc>
        <w:tc>
          <w:tcPr>
            <w:tcW w:w="1843" w:type="dxa"/>
          </w:tcPr>
          <w:p w:rsidR="00B41C1C" w:rsidRPr="00A518CC" w:rsidRDefault="00B41C1C" w:rsidP="00B41C1C">
            <w:pPr>
              <w:spacing w:line="360" w:lineRule="auto"/>
              <w:jc w:val="both"/>
              <w:rPr>
                <w:rFonts w:ascii="Times New Roman" w:hAnsi="Times New Roman"/>
                <w:sz w:val="24"/>
                <w:szCs w:val="24"/>
                <w:lang w:val="en-US"/>
              </w:rPr>
            </w:pPr>
            <w:r w:rsidRPr="00A518CC">
              <w:rPr>
                <w:rFonts w:ascii="Times New Roman" w:hAnsi="Times New Roman"/>
                <w:sz w:val="24"/>
                <w:szCs w:val="24"/>
                <w:lang w:val="en-US"/>
              </w:rPr>
              <w:t>Describe the pharmacokinetics of DET and YOH when administered in combination.</w:t>
            </w:r>
          </w:p>
        </w:tc>
        <w:tc>
          <w:tcPr>
            <w:tcW w:w="2551" w:type="dxa"/>
          </w:tcPr>
          <w:p w:rsidR="00B41C1C" w:rsidRPr="00A518CC" w:rsidRDefault="00B41C1C" w:rsidP="00B41C1C">
            <w:pPr>
              <w:spacing w:line="360" w:lineRule="auto"/>
              <w:jc w:val="both"/>
              <w:rPr>
                <w:rFonts w:ascii="Times New Roman" w:hAnsi="Times New Roman"/>
                <w:sz w:val="24"/>
                <w:szCs w:val="24"/>
                <w:lang w:val="en-US"/>
              </w:rPr>
            </w:pPr>
            <w:r w:rsidRPr="00A518CC">
              <w:rPr>
                <w:rFonts w:ascii="Times New Roman" w:hAnsi="Times New Roman"/>
                <w:sz w:val="24"/>
                <w:szCs w:val="24"/>
                <w:lang w:val="en-US"/>
              </w:rPr>
              <w:t xml:space="preserve">Nine adult horses (eight Thoroughbreds and one Standardbred) were studied. Each horse received all three dose regimens with a minimum of 1 week in between subsequent regimens. </w:t>
            </w:r>
          </w:p>
          <w:p w:rsidR="00B41C1C" w:rsidRPr="00A518CC" w:rsidRDefault="00B41C1C" w:rsidP="00B41C1C">
            <w:pPr>
              <w:spacing w:line="360" w:lineRule="auto"/>
              <w:jc w:val="both"/>
              <w:rPr>
                <w:rFonts w:ascii="Times New Roman" w:hAnsi="Times New Roman"/>
                <w:sz w:val="24"/>
                <w:szCs w:val="24"/>
                <w:lang w:val="en-US"/>
              </w:rPr>
            </w:pPr>
            <w:r w:rsidRPr="00A518CC">
              <w:rPr>
                <w:rFonts w:ascii="Times New Roman" w:hAnsi="Times New Roman"/>
                <w:sz w:val="24"/>
                <w:szCs w:val="24"/>
                <w:lang w:val="en-US"/>
              </w:rPr>
              <w:t xml:space="preserve">Blood samples were collected at time 0 </w:t>
            </w:r>
            <w:r w:rsidRPr="00A518CC">
              <w:rPr>
                <w:rFonts w:ascii="Times New Roman" w:hAnsi="Times New Roman"/>
                <w:sz w:val="24"/>
                <w:szCs w:val="24"/>
                <w:lang w:val="en-US"/>
              </w:rPr>
              <w:lastRenderedPageBreak/>
              <w:t>(immediately prior to DET administration) and at 1 h post DET administration (immediately prior to antagonist administration) and at 5, 10, 15, 30, 45 min and 1, 1.5, 2, 2.5, 3, 4, 5, 6, 8, 12, 18, 24, 36, 48 and 72 h post administration of the DET and YOH treatment.</w:t>
            </w:r>
          </w:p>
          <w:p w:rsidR="00B41C1C" w:rsidRPr="00A518CC" w:rsidRDefault="00B41C1C" w:rsidP="00B41C1C">
            <w:pPr>
              <w:spacing w:line="360" w:lineRule="auto"/>
              <w:jc w:val="both"/>
              <w:rPr>
                <w:rFonts w:ascii="Times New Roman" w:hAnsi="Times New Roman"/>
                <w:sz w:val="24"/>
                <w:szCs w:val="24"/>
                <w:lang w:val="en-US"/>
              </w:rPr>
            </w:pPr>
            <w:r w:rsidRPr="00A518CC">
              <w:rPr>
                <w:rFonts w:ascii="Times New Roman" w:hAnsi="Times New Roman"/>
                <w:sz w:val="24"/>
                <w:szCs w:val="24"/>
                <w:lang w:val="en-US"/>
              </w:rPr>
              <w:t>Plasma was analyzed for DET and YOH concentrations by liquid chromatography-mass spectrometry. Data were analyzed using both non-</w:t>
            </w:r>
            <w:r w:rsidRPr="00A518CC">
              <w:rPr>
                <w:rFonts w:ascii="Times New Roman" w:hAnsi="Times New Roman"/>
                <w:sz w:val="24"/>
                <w:szCs w:val="24"/>
                <w:lang w:val="en-US"/>
              </w:rPr>
              <w:lastRenderedPageBreak/>
              <w:t>compartmental and compartmental analysis.</w:t>
            </w:r>
          </w:p>
        </w:tc>
        <w:tc>
          <w:tcPr>
            <w:tcW w:w="1843" w:type="dxa"/>
          </w:tcPr>
          <w:p w:rsidR="00B41C1C" w:rsidRPr="00A518CC" w:rsidRDefault="00B41C1C" w:rsidP="00B41C1C">
            <w:pPr>
              <w:spacing w:line="360" w:lineRule="auto"/>
              <w:jc w:val="both"/>
              <w:rPr>
                <w:rFonts w:ascii="Times New Roman" w:hAnsi="Times New Roman"/>
                <w:sz w:val="24"/>
                <w:szCs w:val="24"/>
                <w:lang w:val="en-US"/>
              </w:rPr>
            </w:pPr>
            <w:r w:rsidRPr="00A518CC">
              <w:rPr>
                <w:rFonts w:ascii="Times New Roman" w:hAnsi="Times New Roman"/>
                <w:sz w:val="24"/>
                <w:szCs w:val="24"/>
                <w:lang w:val="en-US"/>
              </w:rPr>
              <w:lastRenderedPageBreak/>
              <w:t>Three dose regimens were employed. 1) 0.03 mg kg</w:t>
            </w:r>
            <w:r w:rsidRPr="00A518CC">
              <w:rPr>
                <w:rFonts w:ascii="Times New Roman" w:hAnsi="Times New Roman"/>
                <w:sz w:val="24"/>
                <w:szCs w:val="24"/>
                <w:vertAlign w:val="superscript"/>
                <w:lang w:val="en-US"/>
              </w:rPr>
              <w:t>-1</w:t>
            </w:r>
            <w:r w:rsidRPr="00A518CC">
              <w:rPr>
                <w:rFonts w:ascii="Times New Roman" w:hAnsi="Times New Roman"/>
                <w:sz w:val="24"/>
                <w:szCs w:val="24"/>
                <w:lang w:val="en-US"/>
              </w:rPr>
              <w:t xml:space="preserve"> DET (Dormosedan, Pfizer Animal Health, PA, USA) IV. 2) 0.2 mg kg</w:t>
            </w:r>
            <w:r w:rsidRPr="00A518CC">
              <w:rPr>
                <w:rFonts w:ascii="Times New Roman" w:hAnsi="Times New Roman"/>
                <w:sz w:val="24"/>
                <w:szCs w:val="24"/>
                <w:vertAlign w:val="superscript"/>
                <w:lang w:val="en-US"/>
              </w:rPr>
              <w:t>-1</w:t>
            </w:r>
            <w:r w:rsidRPr="00A518CC">
              <w:rPr>
                <w:rFonts w:ascii="Times New Roman" w:hAnsi="Times New Roman"/>
                <w:sz w:val="24"/>
                <w:szCs w:val="24"/>
                <w:lang w:val="en-US"/>
              </w:rPr>
              <w:t xml:space="preserve"> YOH (Yobine, Lloyd </w:t>
            </w:r>
            <w:r w:rsidRPr="00A518CC">
              <w:rPr>
                <w:rFonts w:ascii="Times New Roman" w:hAnsi="Times New Roman"/>
                <w:sz w:val="24"/>
                <w:szCs w:val="24"/>
                <w:lang w:val="en-US"/>
              </w:rPr>
              <w:lastRenderedPageBreak/>
              <w:t>Laboratories, IA, USA) IV. 3) 0.03 mg kg</w:t>
            </w:r>
            <w:r w:rsidRPr="00A518CC">
              <w:rPr>
                <w:rFonts w:ascii="Times New Roman" w:hAnsi="Times New Roman"/>
                <w:sz w:val="24"/>
                <w:szCs w:val="24"/>
                <w:vertAlign w:val="superscript"/>
                <w:lang w:val="en-US"/>
              </w:rPr>
              <w:t>-1</w:t>
            </w:r>
            <w:r w:rsidRPr="00A518CC">
              <w:rPr>
                <w:rFonts w:ascii="Times New Roman" w:hAnsi="Times New Roman"/>
                <w:sz w:val="24"/>
                <w:szCs w:val="24"/>
                <w:lang w:val="en-US"/>
              </w:rPr>
              <w:t xml:space="preserve"> DET IV followed 15 min later by 0.2 mg kg</w:t>
            </w:r>
            <w:r w:rsidRPr="00A518CC">
              <w:rPr>
                <w:rFonts w:ascii="Times New Roman" w:hAnsi="Times New Roman"/>
                <w:sz w:val="24"/>
                <w:szCs w:val="24"/>
                <w:vertAlign w:val="superscript"/>
                <w:lang w:val="en-US"/>
              </w:rPr>
              <w:t>-1</w:t>
            </w:r>
            <w:r w:rsidRPr="00A518CC">
              <w:rPr>
                <w:rFonts w:ascii="Times New Roman" w:hAnsi="Times New Roman"/>
                <w:sz w:val="24"/>
                <w:szCs w:val="24"/>
                <w:lang w:val="en-US"/>
              </w:rPr>
              <w:t xml:space="preserve"> YOH IV. </w:t>
            </w:r>
          </w:p>
          <w:p w:rsidR="00B41C1C" w:rsidRPr="00A518CC" w:rsidRDefault="00B41C1C" w:rsidP="00B41C1C">
            <w:pPr>
              <w:spacing w:line="360" w:lineRule="auto"/>
              <w:jc w:val="both"/>
              <w:rPr>
                <w:rFonts w:ascii="Times New Roman" w:hAnsi="Times New Roman"/>
                <w:sz w:val="24"/>
                <w:szCs w:val="24"/>
                <w:highlight w:val="green"/>
                <w:lang w:val="en-US"/>
              </w:rPr>
            </w:pPr>
          </w:p>
        </w:tc>
        <w:tc>
          <w:tcPr>
            <w:tcW w:w="2410" w:type="dxa"/>
          </w:tcPr>
          <w:p w:rsidR="00B41C1C" w:rsidRPr="00A518CC" w:rsidRDefault="00B41C1C" w:rsidP="00B41C1C">
            <w:pPr>
              <w:spacing w:line="360" w:lineRule="auto"/>
              <w:jc w:val="both"/>
              <w:rPr>
                <w:rFonts w:ascii="Times New Roman" w:hAnsi="Times New Roman"/>
                <w:sz w:val="24"/>
                <w:szCs w:val="24"/>
                <w:lang w:val="en-US"/>
              </w:rPr>
            </w:pPr>
            <w:r w:rsidRPr="00A518CC">
              <w:rPr>
                <w:rFonts w:ascii="Times New Roman" w:hAnsi="Times New Roman"/>
                <w:sz w:val="24"/>
                <w:szCs w:val="24"/>
                <w:lang w:val="en-US"/>
              </w:rPr>
              <w:lastRenderedPageBreak/>
              <w:t>The Cl system and V</w:t>
            </w:r>
            <w:r w:rsidRPr="00A518CC">
              <w:rPr>
                <w:rFonts w:ascii="Times New Roman" w:hAnsi="Times New Roman"/>
                <w:sz w:val="24"/>
                <w:szCs w:val="24"/>
                <w:vertAlign w:val="subscript"/>
                <w:lang w:val="en-US"/>
              </w:rPr>
              <w:t>d</w:t>
            </w:r>
            <w:r w:rsidRPr="00A518CC">
              <w:rPr>
                <w:rFonts w:ascii="Times New Roman" w:hAnsi="Times New Roman"/>
                <w:sz w:val="24"/>
                <w:szCs w:val="24"/>
                <w:lang w:val="en-US"/>
              </w:rPr>
              <w:t xml:space="preserve"> of DET were not significantly different for either treatment.</w:t>
            </w:r>
          </w:p>
          <w:p w:rsidR="00B41C1C" w:rsidRPr="00A518CC" w:rsidRDefault="00B41C1C" w:rsidP="00B41C1C">
            <w:pPr>
              <w:spacing w:line="360" w:lineRule="auto"/>
              <w:jc w:val="both"/>
              <w:rPr>
                <w:rFonts w:ascii="Times New Roman" w:hAnsi="Times New Roman"/>
                <w:sz w:val="24"/>
                <w:szCs w:val="24"/>
                <w:lang w:val="en-US"/>
              </w:rPr>
            </w:pPr>
            <w:r w:rsidRPr="00A518CC">
              <w:rPr>
                <w:rFonts w:ascii="Times New Roman" w:hAnsi="Times New Roman"/>
                <w:sz w:val="24"/>
                <w:szCs w:val="24"/>
                <w:lang w:val="en-US"/>
              </w:rPr>
              <w:t xml:space="preserve">The maximum measured DET concentrations were 76.0 and </w:t>
            </w:r>
            <w:proofErr w:type="gramStart"/>
            <w:r w:rsidRPr="00A518CC">
              <w:rPr>
                <w:rFonts w:ascii="Times New Roman" w:hAnsi="Times New Roman"/>
                <w:sz w:val="24"/>
                <w:szCs w:val="24"/>
                <w:lang w:val="en-US"/>
              </w:rPr>
              <w:t>129.9 ng mL</w:t>
            </w:r>
            <w:r w:rsidRPr="00A518CC">
              <w:rPr>
                <w:rFonts w:ascii="Times New Roman" w:hAnsi="Times New Roman"/>
                <w:sz w:val="24"/>
                <w:szCs w:val="24"/>
                <w:vertAlign w:val="superscript"/>
                <w:lang w:val="en-US"/>
              </w:rPr>
              <w:t>-1</w:t>
            </w:r>
            <w:r w:rsidRPr="00A518CC">
              <w:rPr>
                <w:rFonts w:ascii="Times New Roman" w:hAnsi="Times New Roman"/>
                <w:sz w:val="24"/>
                <w:szCs w:val="24"/>
                <w:lang w:val="en-US"/>
              </w:rPr>
              <w:t xml:space="preserve"> for the DET and DET-YOH treatments, respectively</w:t>
            </w:r>
            <w:proofErr w:type="gramEnd"/>
            <w:r w:rsidRPr="00A518CC">
              <w:rPr>
                <w:rFonts w:ascii="Times New Roman" w:hAnsi="Times New Roman"/>
                <w:sz w:val="24"/>
                <w:szCs w:val="24"/>
                <w:lang w:val="en-US"/>
              </w:rPr>
              <w:t xml:space="preserve">. Systemic </w:t>
            </w:r>
            <w:r w:rsidRPr="00A518CC">
              <w:rPr>
                <w:rFonts w:ascii="Times New Roman" w:hAnsi="Times New Roman"/>
                <w:sz w:val="24"/>
                <w:szCs w:val="24"/>
                <w:lang w:val="en-US"/>
              </w:rPr>
              <w:lastRenderedPageBreak/>
              <w:t>clearance and V</w:t>
            </w:r>
            <w:r w:rsidRPr="00A518CC">
              <w:rPr>
                <w:rFonts w:ascii="Times New Roman" w:hAnsi="Times New Roman"/>
                <w:sz w:val="24"/>
                <w:szCs w:val="24"/>
                <w:vertAlign w:val="subscript"/>
                <w:lang w:val="en-US"/>
              </w:rPr>
              <w:t>d</w:t>
            </w:r>
            <w:r w:rsidRPr="00A518CC">
              <w:rPr>
                <w:rFonts w:ascii="Times New Roman" w:hAnsi="Times New Roman"/>
                <w:sz w:val="24"/>
                <w:szCs w:val="24"/>
                <w:lang w:val="en-US"/>
              </w:rPr>
              <w:t xml:space="preserve"> of DET were not significantly different for either treatment. </w:t>
            </w:r>
          </w:p>
          <w:p w:rsidR="00B41C1C" w:rsidRPr="00A518CC" w:rsidRDefault="00B41C1C" w:rsidP="00B41C1C">
            <w:pPr>
              <w:spacing w:line="360" w:lineRule="auto"/>
              <w:jc w:val="both"/>
              <w:rPr>
                <w:rFonts w:ascii="Times New Roman" w:hAnsi="Times New Roman"/>
                <w:sz w:val="24"/>
                <w:szCs w:val="24"/>
                <w:lang w:val="en-US"/>
              </w:rPr>
            </w:pPr>
            <w:r w:rsidRPr="00A518CC">
              <w:rPr>
                <w:rFonts w:ascii="Times New Roman" w:hAnsi="Times New Roman"/>
                <w:sz w:val="24"/>
                <w:szCs w:val="24"/>
                <w:lang w:val="en-US"/>
              </w:rPr>
              <w:t>There was a significant increase in the maximum measured YOH plasma concentrations from YOH (173.9 ng mL</w:t>
            </w:r>
            <w:r w:rsidRPr="00A518CC">
              <w:rPr>
                <w:rFonts w:ascii="Times New Roman" w:hAnsi="Times New Roman"/>
                <w:sz w:val="24"/>
                <w:szCs w:val="24"/>
                <w:vertAlign w:val="superscript"/>
                <w:lang w:val="en-US"/>
              </w:rPr>
              <w:t>-1</w:t>
            </w:r>
            <w:r w:rsidRPr="00A518CC">
              <w:rPr>
                <w:rFonts w:ascii="Times New Roman" w:hAnsi="Times New Roman"/>
                <w:sz w:val="24"/>
                <w:szCs w:val="24"/>
                <w:lang w:val="en-US"/>
              </w:rPr>
              <w:t>) to DET-YOH (289.8 ng mL</w:t>
            </w:r>
            <w:r w:rsidRPr="00A518CC">
              <w:rPr>
                <w:rFonts w:ascii="Times New Roman" w:hAnsi="Times New Roman"/>
                <w:sz w:val="24"/>
                <w:szCs w:val="24"/>
                <w:vertAlign w:val="superscript"/>
                <w:lang w:val="en-US"/>
              </w:rPr>
              <w:t>-1</w:t>
            </w:r>
            <w:r w:rsidRPr="00A518CC">
              <w:rPr>
                <w:rFonts w:ascii="Times New Roman" w:hAnsi="Times New Roman"/>
                <w:sz w:val="24"/>
                <w:szCs w:val="24"/>
                <w:lang w:val="en-US"/>
              </w:rPr>
              <w:t>). Both the Cl and V</w:t>
            </w:r>
            <w:r w:rsidRPr="00A518CC">
              <w:rPr>
                <w:rFonts w:ascii="Times New Roman" w:hAnsi="Times New Roman"/>
                <w:sz w:val="24"/>
                <w:szCs w:val="24"/>
                <w:vertAlign w:val="subscript"/>
                <w:lang w:val="en-US"/>
              </w:rPr>
              <w:t>d</w:t>
            </w:r>
            <w:r w:rsidRPr="00A518CC">
              <w:rPr>
                <w:rFonts w:ascii="Times New Roman" w:hAnsi="Times New Roman"/>
                <w:sz w:val="24"/>
                <w:szCs w:val="24"/>
                <w:lang w:val="en-US"/>
              </w:rPr>
              <w:t xml:space="preserve"> for YOH were significantly less (6.8 mL minute</w:t>
            </w:r>
            <w:r w:rsidRPr="00A518CC">
              <w:rPr>
                <w:rFonts w:ascii="Times New Roman" w:hAnsi="Times New Roman"/>
                <w:sz w:val="24"/>
                <w:szCs w:val="24"/>
                <w:vertAlign w:val="superscript"/>
                <w:lang w:val="en-US"/>
              </w:rPr>
              <w:t>-1</w:t>
            </w:r>
            <w:r w:rsidRPr="00A518CC">
              <w:rPr>
                <w:rFonts w:ascii="Times New Roman" w:hAnsi="Times New Roman"/>
                <w:sz w:val="24"/>
                <w:szCs w:val="24"/>
                <w:lang w:val="en-US"/>
              </w:rPr>
              <w:t xml:space="preserve"> kg</w:t>
            </w:r>
            <w:r w:rsidRPr="00A518CC">
              <w:rPr>
                <w:rFonts w:ascii="Times New Roman" w:hAnsi="Times New Roman"/>
                <w:sz w:val="24"/>
                <w:szCs w:val="24"/>
                <w:vertAlign w:val="superscript"/>
                <w:lang w:val="en-US"/>
              </w:rPr>
              <w:t>-1</w:t>
            </w:r>
            <w:r w:rsidRPr="00A518CC">
              <w:rPr>
                <w:rFonts w:ascii="Times New Roman" w:hAnsi="Times New Roman"/>
                <w:sz w:val="24"/>
                <w:szCs w:val="24"/>
                <w:lang w:val="en-US"/>
              </w:rPr>
              <w:t xml:space="preserve"> and 1.7 L kg</w:t>
            </w:r>
            <w:r w:rsidRPr="00A518CC">
              <w:rPr>
                <w:rFonts w:ascii="Times New Roman" w:hAnsi="Times New Roman"/>
                <w:sz w:val="24"/>
                <w:szCs w:val="24"/>
                <w:vertAlign w:val="superscript"/>
                <w:lang w:val="en-US"/>
              </w:rPr>
              <w:t>-1</w:t>
            </w:r>
            <w:r w:rsidRPr="00A518CC">
              <w:rPr>
                <w:rFonts w:ascii="Times New Roman" w:hAnsi="Times New Roman"/>
                <w:sz w:val="24"/>
                <w:szCs w:val="24"/>
                <w:lang w:val="en-US"/>
              </w:rPr>
              <w:t>) for the DET-YOH as compared to the YOH treatments (13.9 mL minute</w:t>
            </w:r>
            <w:r w:rsidRPr="00A518CC">
              <w:rPr>
                <w:rFonts w:ascii="Times New Roman" w:hAnsi="Times New Roman"/>
                <w:sz w:val="24"/>
                <w:szCs w:val="24"/>
                <w:vertAlign w:val="superscript"/>
                <w:lang w:val="en-US"/>
              </w:rPr>
              <w:t>-1</w:t>
            </w:r>
            <w:r w:rsidRPr="00A518CC">
              <w:rPr>
                <w:rFonts w:ascii="Times New Roman" w:hAnsi="Times New Roman"/>
                <w:sz w:val="24"/>
                <w:szCs w:val="24"/>
                <w:lang w:val="en-US"/>
              </w:rPr>
              <w:t xml:space="preserve"> kg</w:t>
            </w:r>
            <w:r w:rsidRPr="00A518CC">
              <w:rPr>
                <w:rFonts w:ascii="Times New Roman" w:hAnsi="Times New Roman"/>
                <w:sz w:val="24"/>
                <w:szCs w:val="24"/>
                <w:vertAlign w:val="superscript"/>
                <w:lang w:val="en-US"/>
              </w:rPr>
              <w:t>-1</w:t>
            </w:r>
            <w:r w:rsidRPr="00A518CC">
              <w:rPr>
                <w:rFonts w:ascii="Times New Roman" w:hAnsi="Times New Roman"/>
                <w:sz w:val="24"/>
                <w:szCs w:val="24"/>
                <w:lang w:val="en-US"/>
              </w:rPr>
              <w:t xml:space="preserve"> and 2.7 </w:t>
            </w:r>
            <w:r w:rsidRPr="00A518CC">
              <w:rPr>
                <w:rFonts w:ascii="Times New Roman" w:hAnsi="Times New Roman"/>
                <w:sz w:val="24"/>
                <w:szCs w:val="24"/>
                <w:lang w:val="en-US"/>
              </w:rPr>
              <w:lastRenderedPageBreak/>
              <w:t>L kg</w:t>
            </w:r>
            <w:r w:rsidRPr="00A518CC">
              <w:rPr>
                <w:rFonts w:ascii="Times New Roman" w:hAnsi="Times New Roman"/>
                <w:sz w:val="24"/>
                <w:szCs w:val="24"/>
                <w:vertAlign w:val="superscript"/>
                <w:lang w:val="en-US"/>
              </w:rPr>
              <w:t>-1</w:t>
            </w:r>
            <w:r w:rsidRPr="00A518CC">
              <w:rPr>
                <w:rFonts w:ascii="Times New Roman" w:hAnsi="Times New Roman"/>
                <w:sz w:val="24"/>
                <w:szCs w:val="24"/>
                <w:lang w:val="en-US"/>
              </w:rPr>
              <w:t xml:space="preserve">). </w:t>
            </w:r>
          </w:p>
        </w:tc>
        <w:tc>
          <w:tcPr>
            <w:tcW w:w="2835" w:type="dxa"/>
          </w:tcPr>
          <w:p w:rsidR="00B41C1C" w:rsidRPr="00A518CC" w:rsidRDefault="00B41C1C" w:rsidP="00B41C1C">
            <w:pPr>
              <w:spacing w:line="360" w:lineRule="auto"/>
              <w:jc w:val="both"/>
              <w:rPr>
                <w:rFonts w:ascii="Times New Roman" w:hAnsi="Times New Roman"/>
                <w:sz w:val="24"/>
                <w:szCs w:val="24"/>
                <w:lang w:val="en-US"/>
              </w:rPr>
            </w:pPr>
            <w:r w:rsidRPr="00A518CC">
              <w:rPr>
                <w:rFonts w:ascii="Times New Roman" w:hAnsi="Times New Roman"/>
                <w:sz w:val="24"/>
                <w:szCs w:val="24"/>
                <w:lang w:val="en-US"/>
              </w:rPr>
              <w:lastRenderedPageBreak/>
              <w:t>DET increases plasma YOH concentrations and decreases the Cl and V</w:t>
            </w:r>
            <w:r w:rsidRPr="00A518CC">
              <w:rPr>
                <w:rFonts w:ascii="Times New Roman" w:hAnsi="Times New Roman"/>
                <w:sz w:val="24"/>
                <w:szCs w:val="24"/>
                <w:vertAlign w:val="subscript"/>
                <w:lang w:val="en-US"/>
              </w:rPr>
              <w:t>d</w:t>
            </w:r>
            <w:r w:rsidRPr="00A518CC">
              <w:rPr>
                <w:rFonts w:ascii="Times New Roman" w:hAnsi="Times New Roman"/>
                <w:sz w:val="24"/>
                <w:szCs w:val="24"/>
                <w:lang w:val="en-US"/>
              </w:rPr>
              <w:t xml:space="preserve"> compared to administration of YOH by itself. </w:t>
            </w:r>
          </w:p>
          <w:p w:rsidR="00B41C1C" w:rsidRPr="00A518CC" w:rsidRDefault="00B41C1C" w:rsidP="00B41C1C">
            <w:pPr>
              <w:spacing w:line="360" w:lineRule="auto"/>
              <w:jc w:val="both"/>
              <w:rPr>
                <w:rFonts w:ascii="Times New Roman" w:hAnsi="Times New Roman"/>
                <w:sz w:val="24"/>
                <w:szCs w:val="24"/>
                <w:lang w:val="en-US"/>
              </w:rPr>
            </w:pPr>
            <w:r w:rsidRPr="00A518CC">
              <w:rPr>
                <w:rFonts w:ascii="Times New Roman" w:hAnsi="Times New Roman"/>
                <w:sz w:val="24"/>
                <w:szCs w:val="24"/>
                <w:lang w:val="en-US"/>
              </w:rPr>
              <w:t xml:space="preserve">The elimination half life of YOH remained unaffected when administered subsequent to DET. However, the increased </w:t>
            </w:r>
            <w:r w:rsidRPr="00A518CC">
              <w:rPr>
                <w:rFonts w:ascii="Times New Roman" w:hAnsi="Times New Roman"/>
                <w:sz w:val="24"/>
                <w:szCs w:val="24"/>
                <w:lang w:val="en-US"/>
              </w:rPr>
              <w:lastRenderedPageBreak/>
              <w:t xml:space="preserve">plasma concentrations in the presence of DET has the potential to cause untoward effects and therefore further studies to assess the physiologic effects of this combination of drugs are warranted.  </w:t>
            </w:r>
          </w:p>
          <w:p w:rsidR="00B41C1C" w:rsidRPr="00A518CC" w:rsidRDefault="00B41C1C" w:rsidP="00B41C1C">
            <w:pPr>
              <w:spacing w:line="360" w:lineRule="auto"/>
              <w:jc w:val="both"/>
              <w:rPr>
                <w:rFonts w:ascii="Times New Roman" w:hAnsi="Times New Roman"/>
                <w:sz w:val="24"/>
                <w:szCs w:val="24"/>
                <w:highlight w:val="green"/>
                <w:lang w:val="en-US"/>
              </w:rPr>
            </w:pPr>
          </w:p>
          <w:p w:rsidR="00B41C1C" w:rsidRPr="00A518CC" w:rsidRDefault="00B41C1C" w:rsidP="00B41C1C">
            <w:pPr>
              <w:spacing w:line="360" w:lineRule="auto"/>
              <w:jc w:val="both"/>
              <w:rPr>
                <w:rFonts w:ascii="Times New Roman" w:hAnsi="Times New Roman"/>
                <w:sz w:val="24"/>
                <w:szCs w:val="24"/>
                <w:highlight w:val="green"/>
                <w:lang w:val="en-US"/>
              </w:rPr>
            </w:pPr>
          </w:p>
        </w:tc>
      </w:tr>
      <w:tr w:rsidR="00B41C1C" w:rsidRPr="00A518CC" w:rsidTr="00B41C1C">
        <w:tc>
          <w:tcPr>
            <w:tcW w:w="1384" w:type="dxa"/>
          </w:tcPr>
          <w:p w:rsidR="00B41C1C" w:rsidRPr="00A518CC" w:rsidRDefault="00A2062B" w:rsidP="00B41C1C">
            <w:pPr>
              <w:spacing w:line="360" w:lineRule="auto"/>
              <w:jc w:val="both"/>
              <w:rPr>
                <w:rFonts w:ascii="Times New Roman" w:hAnsi="Times New Roman"/>
                <w:sz w:val="24"/>
                <w:szCs w:val="24"/>
                <w:lang w:val="en-US"/>
              </w:rPr>
            </w:pPr>
            <w:r w:rsidRPr="00A518CC">
              <w:rPr>
                <w:rFonts w:ascii="Times New Roman" w:hAnsi="Times New Roman"/>
                <w:sz w:val="24"/>
                <w:szCs w:val="24"/>
              </w:rPr>
              <w:lastRenderedPageBreak/>
              <w:fldChar w:fldCharType="begin" w:fldLock="1"/>
            </w:r>
            <w:r w:rsidR="00B41C1C" w:rsidRPr="00A518CC">
              <w:rPr>
                <w:rFonts w:ascii="Times New Roman" w:hAnsi="Times New Roman"/>
                <w:sz w:val="24"/>
                <w:szCs w:val="24"/>
              </w:rPr>
              <w:instrText>ADDIN CSL_CITATION { "citationItems" : [ { "id" : "ITEM-1", "itemData" : { "DOI" : "10.1111/vaa.12081", "ISSN" : "14672987", "PMID" : "24134603", "abstract" : "OBJECTIVE: To describe the effects of alpha2 -adrenergic receptor antagonists on the pharmacodynamics of sublingual (SL) detomidine in the horse.\\n\\nSTUDY DESIGN: Randomized crossover design.\\n\\nANIMALS: Nine healthy adult horses with an average age of 7.6\u00a0\u00b1\u00a06.5\u00a0years.\\n\\nMETHODS: Four treatment groups were studied: 1) 0.04\u00a0mg\u00a0kg(-1) detomidine SL; 2) 0.04\u00a0mg\u00a0kg(-1) detomidine SL followed 1\u00a0hour later by 0.075\u00a0mg\u00a0kg(-1) yohimbine intravenously (IV); 3) 0.04\u00a0mg\u00a0kg(-1) detomidine SL followed 1\u00a0hour later by 4\u00a0mg\u00a0kg(-1) tolazoline IV; and 4) 0.04\u00a0mg\u00a0kg(-1) detomidine SL followed 1\u00a0hour later by 0.12\u00a0mg\u00a0kg(-1) atipamezole IV. Each horse received all treatments with a minimum of 1\u00a0week between treatments. Blood samples were obtained and plasma analyzed for yohimbine, atipamezole and tolazoline concentrations by liquid chromatography-mass spectrometry. Behavioral effects, heart rate and rhythm, glucose, packed cell volume (PCV) and plasma proteins were monitored.\\n\\nRESULTS: Chin-to-ground distance increased following administration of the antagonists, however, this effect was transient, with a return to pre-reversal values as early as 1\u00a0hour. Detomidine induced bradycardia and increased incidence of atrioventricular blocks were either transiently or incompletely ant</w:instrText>
            </w:r>
            <w:r w:rsidR="00B41C1C" w:rsidRPr="00A518CC">
              <w:rPr>
                <w:rFonts w:ascii="Times New Roman" w:hAnsi="Times New Roman"/>
                <w:sz w:val="24"/>
                <w:szCs w:val="24"/>
                <w:lang w:val="en-US"/>
              </w:rPr>
              <w:instrText>agonized by all antagonists. PCV and glucose concentrations increased with tolazoline administration, and atipamezole subjectively increased urination frequency but not volume.\\n\\nCONCLUSIONS AND CLINICAL RELEVANCE: At the doses administered in this study, the alpha2 -adrenergic antagonistic effects of tolazoline, yohimbine and atipamezole on cardiac and behavioral effects elicited by SL administration of detomidine are transient and incomplete.", "author" : [ { "dropping-particle" : "", "family" : "Knych", "given" : "Heather K.", "non-dropping-particle" : "", "parse-names" : false, "suffix" : "" }, { "dropping-particle" : "", "family" : "Stanley", "given" : "Scott D.", "non-dropping-particle" : "", "parse-names" : false, "suffix" : "" } ], "container-title" : "Veterinary Anaesthesia and Analgesia", "id" : "ITEM-1", "issue" : "1", "issued" : { "date-parts" : [ [ "2014" ] ] }, "page" : "36-47", "title" : "Effects of three antagonists on selected pharmacodynamic effects of sublingually administered detomidine in the horse", "type" : "article-journal", "volume" : "41" }, "uris" : [ "http://www.mendeley.com/documents/?uuid=b48e1ff8-e8d2-4ada-aeda-a9bd2c7cad80" ] } ], "mendeley" : { "formattedCitation" : "(Knych and Stanley 2014)", "plainTextFormattedCitation" : "(Knych and Stanley 2014)", "previouslyFormattedCitation" : "(Knych and Stanley 2014)" }, "properties" : { "noteIndex" : 0 }, "schema" : "https://github.com/citation-style-language/schema/raw/master/csl-citation.json" }</w:instrText>
            </w:r>
            <w:r w:rsidRPr="00A518CC">
              <w:rPr>
                <w:rFonts w:ascii="Times New Roman" w:hAnsi="Times New Roman"/>
                <w:sz w:val="24"/>
                <w:szCs w:val="24"/>
              </w:rPr>
              <w:fldChar w:fldCharType="separate"/>
            </w:r>
            <w:r w:rsidR="00B41C1C" w:rsidRPr="00A518CC">
              <w:rPr>
                <w:rFonts w:ascii="Times New Roman" w:hAnsi="Times New Roman"/>
                <w:noProof/>
                <w:sz w:val="24"/>
                <w:szCs w:val="24"/>
                <w:lang w:val="en-US"/>
              </w:rPr>
              <w:t>(Knych &amp; Stanley 2014)</w:t>
            </w:r>
            <w:r w:rsidRPr="00A518CC">
              <w:rPr>
                <w:rFonts w:ascii="Times New Roman" w:hAnsi="Times New Roman"/>
                <w:sz w:val="24"/>
                <w:szCs w:val="24"/>
              </w:rPr>
              <w:fldChar w:fldCharType="end"/>
            </w:r>
          </w:p>
        </w:tc>
        <w:tc>
          <w:tcPr>
            <w:tcW w:w="1843" w:type="dxa"/>
          </w:tcPr>
          <w:p w:rsidR="00B41C1C" w:rsidRPr="00A518CC" w:rsidRDefault="00B41C1C" w:rsidP="00B41C1C">
            <w:pPr>
              <w:spacing w:line="360" w:lineRule="auto"/>
              <w:jc w:val="both"/>
              <w:rPr>
                <w:rFonts w:ascii="Times New Roman" w:hAnsi="Times New Roman"/>
                <w:sz w:val="24"/>
                <w:szCs w:val="24"/>
                <w:lang w:val="en-US"/>
              </w:rPr>
            </w:pPr>
            <w:r w:rsidRPr="00A518CC">
              <w:rPr>
                <w:rFonts w:ascii="Times New Roman" w:hAnsi="Times New Roman"/>
                <w:sz w:val="24"/>
                <w:szCs w:val="24"/>
                <w:lang w:val="en-US"/>
              </w:rPr>
              <w:t xml:space="preserve">Describe the effects of alpha2-adrenergic receptor antagonists on the pharmacodynamics of SL DET in the horse and evaluate effects of alpha2-adrenergic receptor antagonists in reversing its sedative and </w:t>
            </w:r>
            <w:r w:rsidRPr="00A518CC">
              <w:rPr>
                <w:rFonts w:ascii="Times New Roman" w:hAnsi="Times New Roman"/>
                <w:sz w:val="24"/>
                <w:szCs w:val="24"/>
                <w:lang w:val="en-US"/>
              </w:rPr>
              <w:lastRenderedPageBreak/>
              <w:t>cardiovascular effects.</w:t>
            </w:r>
          </w:p>
        </w:tc>
        <w:tc>
          <w:tcPr>
            <w:tcW w:w="2551" w:type="dxa"/>
          </w:tcPr>
          <w:p w:rsidR="00B41C1C" w:rsidRPr="00A518CC" w:rsidRDefault="00B41C1C" w:rsidP="00B41C1C">
            <w:pPr>
              <w:spacing w:line="360" w:lineRule="auto"/>
              <w:jc w:val="both"/>
              <w:rPr>
                <w:rFonts w:ascii="Times New Roman" w:hAnsi="Times New Roman"/>
                <w:sz w:val="24"/>
                <w:szCs w:val="24"/>
                <w:lang w:val="en-US"/>
              </w:rPr>
            </w:pPr>
            <w:r w:rsidRPr="00A518CC">
              <w:rPr>
                <w:rFonts w:ascii="Times New Roman" w:hAnsi="Times New Roman"/>
                <w:sz w:val="24"/>
                <w:szCs w:val="24"/>
                <w:lang w:val="en-US"/>
              </w:rPr>
              <w:lastRenderedPageBreak/>
              <w:t xml:space="preserve">Nine healthy horses consisting of eight Thoroughbreds and one Quarter Horse were studied. Four treatment groups were studied and each horse received all treatments with a minimum of 1 week between treatments. </w:t>
            </w:r>
          </w:p>
          <w:p w:rsidR="00B41C1C" w:rsidRPr="00A518CC" w:rsidRDefault="00B41C1C" w:rsidP="00B41C1C">
            <w:pPr>
              <w:pStyle w:val="HTMLconformatoprevio"/>
              <w:spacing w:line="360" w:lineRule="auto"/>
              <w:rPr>
                <w:rFonts w:ascii="Times New Roman" w:hAnsi="Times New Roman" w:cs="Times New Roman"/>
                <w:sz w:val="24"/>
                <w:szCs w:val="24"/>
              </w:rPr>
            </w:pPr>
            <w:r w:rsidRPr="00A518CC">
              <w:rPr>
                <w:rFonts w:ascii="Times New Roman" w:hAnsi="Times New Roman" w:cs="Times New Roman"/>
                <w:sz w:val="24"/>
                <w:szCs w:val="24"/>
                <w:lang w:val="en-US"/>
              </w:rPr>
              <w:t xml:space="preserve">Blood samples were obtained and plasma analyzed for YOH, atipamezole and tolazoline concentrations by liquid chromatographymass </w:t>
            </w:r>
            <w:r w:rsidRPr="00A518CC">
              <w:rPr>
                <w:rFonts w:ascii="Times New Roman" w:hAnsi="Times New Roman" w:cs="Times New Roman"/>
                <w:sz w:val="24"/>
                <w:szCs w:val="24"/>
                <w:lang w:val="en-US"/>
              </w:rPr>
              <w:lastRenderedPageBreak/>
              <w:t xml:space="preserve">spectrometry. Samples were processed according to the methodology described by </w:t>
            </w:r>
            <w:r w:rsidR="00A2062B" w:rsidRPr="00A518CC">
              <w:rPr>
                <w:rFonts w:ascii="Times New Roman" w:hAnsi="Times New Roman" w:cs="Times New Roman"/>
                <w:sz w:val="24"/>
                <w:szCs w:val="24"/>
              </w:rPr>
              <w:fldChar w:fldCharType="begin" w:fldLock="1"/>
            </w:r>
            <w:r w:rsidRPr="00A518CC">
              <w:rPr>
                <w:rFonts w:ascii="Times New Roman" w:hAnsi="Times New Roman" w:cs="Times New Roman"/>
                <w:sz w:val="24"/>
                <w:szCs w:val="24"/>
                <w:lang w:val="en-US"/>
              </w:rPr>
              <w:instrText>ADDIN CSL_CITATION { "citationItems" : [ { "id" : "ITEM-1", "itemData" : { "DOI" : "10.1111/vaa.12081", "ISSN" : "14672987", "PMID" : "24134603", "abstract" : "OBJECTIVE: To describe the effects of alpha2 -adrenergic receptor antagonists on the pharmacodynamics of sublingual (SL) detomidine in the horse.\\n\\nSTUDY DESIGN: Randomized crossover design.\\n\\nANIMALS: Nine healthy adult horses with an average age of 7.6\u00a0\u00b1\u00a06.5\u00a0years.\\n\\nMETHODS: Four treatment groups were studied: 1) 0.04\u00a0mg\u00a0kg(-1) detomidine SL; 2) 0.04\u00a0mg\u00a0kg(-1) detomidine SL followed 1\u00a0hour later by 0.075\u00a0mg\u00a0kg(-1) yohimbine intravenously (IV); 3) 0.04\u00a0mg\u00a0kg(-1) detomidine SL followed 1\u00a0hour later by 4\u00a0mg\u00a0kg(-1) tolazoline IV; and 4) 0.04\u00a0mg\u00a0kg(-1) detomidine SL f</w:instrText>
            </w:r>
            <w:r w:rsidRPr="00A518CC">
              <w:rPr>
                <w:rFonts w:ascii="Times New Roman" w:hAnsi="Times New Roman" w:cs="Times New Roman"/>
                <w:sz w:val="24"/>
                <w:szCs w:val="24"/>
              </w:rPr>
              <w:instrText>ollowed 1\u00a0hour later by 0.12\u00a0mg\u00a0kg(-1) atipamezole IV. Each horse received all treatments with a minimum of 1\u00a0week between treatments. Blood samples were obtained and plasma analyzed for yohimbine, atipamezole and tolazoline concentrations by liquid chromatography-mass spectrometry. Behavioral effects, heart rate and rhythm, glucose, packed cell volume (PCV) and plasma proteins were monitored.\\n\\nRESULTS: Chin-to-ground distance increased following administration of the antagonists, however, this effect was transient, with a return to pre-reversal values as early as 1\u00a0hour. Detomidine induced bradycardia and increased incidence of atrioventricular blocks were either transiently or incompletely antagonized by all antagonists. PCV and glucose concentrations increased with tolazoline administration, and atipamezole subjectively increased urination frequency but not volume.\\n\\nCONCLUSIONS AND CLINICAL RELEVANCE: At the doses administered in this study, the alpha2 -adrenergic antagonistic effects of tolazoline, yohimbine and atipamezole on cardiac and behavioral effects elicited by SL administration of detomidine are transient and incomplete.", "author" : [ { "dropping-particle" : "", "family" : "Knych", "given" : "Heather K.", "non-dropping-particle" : "", "parse-names" : false, "suffix" : "" }, { "dropping-particle" : "", "family" : "Stanley", "given" : "Scott D.", "non-dropping-particle" : "", "parse-names" : false, "suffix" : "" } ], "container-title" : "Veterinary Anaesthesia and Analgesia", "id" : "ITEM-1", "issue" : "1", "issued" : { "date-parts" : [ [ "2014" ] ] }, "page" : "36-47", "title" : "Effects of three antagonists on selected pharmacodynamic effects of sublingually administered detomidine in the horse", "type" : "article-journal", "volume" : "41" }, "uris" : [ "http://www.mendeley.com/documents/?uuid=b48e1ff8-e8d2-4ada-aeda-a9bd2c7cad80" ] } ], "mendeley" : { "formattedCitation" : "(Knych and Stanley 2014)", "plainTextFormattedCitation" : "(Knych and Stanley 2014)", "previouslyFormattedCitation" : "(Knych and Stanley 2014)" }, "properties" : { "noteIndex" : 0 }, "schema" : "https://github.com/citation-style-language/schema/raw/master/csl-citation.json" }</w:instrText>
            </w:r>
            <w:r w:rsidR="00A2062B" w:rsidRPr="00A518CC">
              <w:rPr>
                <w:rFonts w:ascii="Times New Roman" w:hAnsi="Times New Roman" w:cs="Times New Roman"/>
                <w:sz w:val="24"/>
                <w:szCs w:val="24"/>
              </w:rPr>
              <w:fldChar w:fldCharType="separate"/>
            </w:r>
            <w:r w:rsidRPr="00A518CC">
              <w:rPr>
                <w:rFonts w:ascii="Times New Roman" w:hAnsi="Times New Roman" w:cs="Times New Roman"/>
                <w:noProof/>
                <w:sz w:val="24"/>
                <w:szCs w:val="24"/>
              </w:rPr>
              <w:t>(Knych &amp; Stanley 2014)</w:t>
            </w:r>
            <w:r w:rsidR="00A2062B" w:rsidRPr="00A518CC">
              <w:rPr>
                <w:rFonts w:ascii="Times New Roman" w:hAnsi="Times New Roman" w:cs="Times New Roman"/>
                <w:sz w:val="24"/>
                <w:szCs w:val="24"/>
              </w:rPr>
              <w:fldChar w:fldCharType="end"/>
            </w:r>
            <w:r w:rsidRPr="00A518CC">
              <w:rPr>
                <w:rFonts w:ascii="Times New Roman" w:hAnsi="Times New Roman" w:cs="Times New Roman"/>
                <w:sz w:val="24"/>
                <w:szCs w:val="24"/>
              </w:rPr>
              <w:t>.</w:t>
            </w:r>
          </w:p>
        </w:tc>
        <w:tc>
          <w:tcPr>
            <w:tcW w:w="1843" w:type="dxa"/>
          </w:tcPr>
          <w:p w:rsidR="00B41C1C" w:rsidRPr="00A518CC" w:rsidRDefault="00B41C1C" w:rsidP="00B41C1C">
            <w:pPr>
              <w:spacing w:line="360" w:lineRule="auto"/>
              <w:jc w:val="both"/>
              <w:rPr>
                <w:rFonts w:ascii="Times New Roman" w:hAnsi="Times New Roman"/>
                <w:sz w:val="24"/>
                <w:szCs w:val="24"/>
                <w:lang w:val="en-US"/>
              </w:rPr>
            </w:pPr>
            <w:r w:rsidRPr="00A518CC">
              <w:rPr>
                <w:rFonts w:ascii="Times New Roman" w:hAnsi="Times New Roman"/>
                <w:sz w:val="24"/>
                <w:szCs w:val="24"/>
                <w:lang w:val="en-US"/>
              </w:rPr>
              <w:lastRenderedPageBreak/>
              <w:t>Four treatments were administered 1) 0.04 mg kg</w:t>
            </w:r>
            <w:r w:rsidRPr="00A518CC">
              <w:rPr>
                <w:rFonts w:ascii="Times New Roman" w:hAnsi="Times New Roman"/>
                <w:sz w:val="24"/>
                <w:szCs w:val="24"/>
                <w:vertAlign w:val="superscript"/>
                <w:lang w:val="en-US"/>
              </w:rPr>
              <w:t xml:space="preserve">-1 </w:t>
            </w:r>
            <w:r w:rsidRPr="00A518CC">
              <w:rPr>
                <w:rFonts w:ascii="Times New Roman" w:hAnsi="Times New Roman"/>
                <w:sz w:val="24"/>
                <w:szCs w:val="24"/>
                <w:lang w:val="en-US"/>
              </w:rPr>
              <w:t>DET (Dormosedan Gel, Pfizer Animal Health, NY, USA) SL. 2) 0.04 mg kg</w:t>
            </w:r>
            <w:r w:rsidRPr="00A518CC">
              <w:rPr>
                <w:rFonts w:ascii="Times New Roman" w:hAnsi="Times New Roman"/>
                <w:sz w:val="24"/>
                <w:szCs w:val="24"/>
                <w:vertAlign w:val="superscript"/>
                <w:lang w:val="en-US"/>
              </w:rPr>
              <w:t xml:space="preserve">-1 </w:t>
            </w:r>
            <w:r w:rsidRPr="00A518CC">
              <w:rPr>
                <w:rFonts w:ascii="Times New Roman" w:hAnsi="Times New Roman"/>
                <w:sz w:val="24"/>
                <w:szCs w:val="24"/>
                <w:lang w:val="en-US"/>
              </w:rPr>
              <w:t>DET SL followed 1 h later by 0.075 mg kg</w:t>
            </w:r>
            <w:r w:rsidRPr="00A518CC">
              <w:rPr>
                <w:rFonts w:ascii="Times New Roman" w:hAnsi="Times New Roman"/>
                <w:sz w:val="24"/>
                <w:szCs w:val="24"/>
                <w:vertAlign w:val="superscript"/>
                <w:lang w:val="en-US"/>
              </w:rPr>
              <w:t xml:space="preserve">-1 </w:t>
            </w:r>
            <w:r w:rsidRPr="00A518CC">
              <w:rPr>
                <w:rFonts w:ascii="Times New Roman" w:hAnsi="Times New Roman"/>
                <w:sz w:val="24"/>
                <w:szCs w:val="24"/>
                <w:lang w:val="en-US"/>
              </w:rPr>
              <w:t xml:space="preserve">YOH (Yobine, Lloyd Laboratories, IA, USA) IV. 3) </w:t>
            </w:r>
            <w:r w:rsidRPr="00A518CC">
              <w:rPr>
                <w:rFonts w:ascii="Times New Roman" w:hAnsi="Times New Roman"/>
                <w:sz w:val="24"/>
                <w:szCs w:val="24"/>
                <w:lang w:val="en-US"/>
              </w:rPr>
              <w:lastRenderedPageBreak/>
              <w:t>0.04 mg kg</w:t>
            </w:r>
            <w:r w:rsidRPr="00A518CC">
              <w:rPr>
                <w:rFonts w:ascii="Times New Roman" w:hAnsi="Times New Roman"/>
                <w:sz w:val="24"/>
                <w:szCs w:val="24"/>
                <w:vertAlign w:val="superscript"/>
                <w:lang w:val="en-US"/>
              </w:rPr>
              <w:t xml:space="preserve">-1 </w:t>
            </w:r>
            <w:r w:rsidRPr="00A518CC">
              <w:rPr>
                <w:rFonts w:ascii="Times New Roman" w:hAnsi="Times New Roman"/>
                <w:sz w:val="24"/>
                <w:szCs w:val="24"/>
                <w:lang w:val="en-US"/>
              </w:rPr>
              <w:t>DET SL followed 1 h later by 4 mg kg</w:t>
            </w:r>
            <w:r w:rsidRPr="00A518CC">
              <w:rPr>
                <w:rFonts w:ascii="Times New Roman" w:hAnsi="Times New Roman"/>
                <w:sz w:val="24"/>
                <w:szCs w:val="24"/>
                <w:vertAlign w:val="superscript"/>
                <w:lang w:val="en-US"/>
              </w:rPr>
              <w:t>-1</w:t>
            </w:r>
            <w:r w:rsidRPr="00A518CC">
              <w:rPr>
                <w:rFonts w:ascii="Times New Roman" w:hAnsi="Times New Roman"/>
                <w:sz w:val="24"/>
                <w:szCs w:val="24"/>
                <w:lang w:val="en-US"/>
              </w:rPr>
              <w:t xml:space="preserve"> tolazoline (Tolazine, Lloyd Laboratories) IV. 4) 0.04 mg kg</w:t>
            </w:r>
            <w:r w:rsidRPr="00A518CC">
              <w:rPr>
                <w:rFonts w:ascii="Times New Roman" w:hAnsi="Times New Roman"/>
                <w:sz w:val="24"/>
                <w:szCs w:val="24"/>
                <w:vertAlign w:val="superscript"/>
                <w:lang w:val="en-US"/>
              </w:rPr>
              <w:t>-1</w:t>
            </w:r>
            <w:r w:rsidRPr="00A518CC">
              <w:rPr>
                <w:rFonts w:ascii="Times New Roman" w:hAnsi="Times New Roman"/>
                <w:sz w:val="24"/>
                <w:szCs w:val="24"/>
                <w:lang w:val="en-US"/>
              </w:rPr>
              <w:t xml:space="preserve"> DET SL followed 1 h later by 0.12 mg kg</w:t>
            </w:r>
            <w:r w:rsidRPr="00A518CC">
              <w:rPr>
                <w:rFonts w:ascii="Times New Roman" w:hAnsi="Times New Roman"/>
                <w:sz w:val="24"/>
                <w:szCs w:val="24"/>
                <w:vertAlign w:val="superscript"/>
                <w:lang w:val="en-US"/>
              </w:rPr>
              <w:t>-1</w:t>
            </w:r>
            <w:r w:rsidRPr="00A518CC">
              <w:rPr>
                <w:rFonts w:ascii="Times New Roman" w:hAnsi="Times New Roman"/>
                <w:sz w:val="24"/>
                <w:szCs w:val="24"/>
                <w:lang w:val="en-US"/>
              </w:rPr>
              <w:t xml:space="preserve"> atipamezole (Antisedan, Pfizer Animal Health) IV.</w:t>
            </w:r>
          </w:p>
        </w:tc>
        <w:tc>
          <w:tcPr>
            <w:tcW w:w="2410" w:type="dxa"/>
          </w:tcPr>
          <w:p w:rsidR="00B41C1C" w:rsidRPr="00A518CC" w:rsidRDefault="00B41C1C" w:rsidP="00B41C1C">
            <w:pPr>
              <w:spacing w:line="360" w:lineRule="auto"/>
              <w:jc w:val="both"/>
              <w:rPr>
                <w:rFonts w:ascii="Times New Roman" w:hAnsi="Times New Roman"/>
                <w:sz w:val="24"/>
                <w:szCs w:val="24"/>
                <w:lang w:val="en-US"/>
              </w:rPr>
            </w:pPr>
            <w:r w:rsidRPr="00A518CC">
              <w:rPr>
                <w:rFonts w:ascii="Times New Roman" w:hAnsi="Times New Roman"/>
                <w:sz w:val="24"/>
                <w:szCs w:val="24"/>
                <w:lang w:val="en-US"/>
              </w:rPr>
              <w:lastRenderedPageBreak/>
              <w:t>DET administration significantly increased the prevalence of AV</w:t>
            </w:r>
            <w:r w:rsidRPr="00A518CC">
              <w:rPr>
                <w:rStyle w:val="Refdenotaalpie"/>
                <w:rFonts w:ascii="Times New Roman" w:hAnsi="Times New Roman"/>
                <w:sz w:val="24"/>
                <w:szCs w:val="24"/>
                <w:lang w:val="en-US"/>
              </w:rPr>
              <w:footnoteReference w:id="15"/>
            </w:r>
            <w:r w:rsidRPr="00A518CC">
              <w:rPr>
                <w:rFonts w:ascii="Times New Roman" w:hAnsi="Times New Roman"/>
                <w:sz w:val="24"/>
                <w:szCs w:val="24"/>
                <w:lang w:val="en-US"/>
              </w:rPr>
              <w:t xml:space="preserve"> conduction disturbances. YOH effectively decreased the prevalence of the AV blocks initially, although the number of AV blocks increased again by 1– 2 hours for all drugs.</w:t>
            </w:r>
          </w:p>
          <w:p w:rsidR="00B41C1C" w:rsidRPr="00A518CC" w:rsidRDefault="00B41C1C" w:rsidP="00B41C1C">
            <w:pPr>
              <w:spacing w:line="360" w:lineRule="auto"/>
              <w:jc w:val="both"/>
              <w:rPr>
                <w:rFonts w:ascii="Times New Roman" w:hAnsi="Times New Roman"/>
                <w:sz w:val="24"/>
                <w:szCs w:val="24"/>
                <w:lang w:val="en-US"/>
              </w:rPr>
            </w:pPr>
            <w:r w:rsidRPr="00A518CC">
              <w:rPr>
                <w:rFonts w:ascii="Times New Roman" w:hAnsi="Times New Roman"/>
                <w:sz w:val="24"/>
                <w:szCs w:val="24"/>
                <w:lang w:val="en-US"/>
              </w:rPr>
              <w:t xml:space="preserve">DET significantly increased glucose concentrations by 45 min post administration with </w:t>
            </w:r>
            <w:r w:rsidRPr="00A518CC">
              <w:rPr>
                <w:rFonts w:ascii="Times New Roman" w:hAnsi="Times New Roman"/>
                <w:sz w:val="24"/>
                <w:szCs w:val="24"/>
                <w:lang w:val="en-US"/>
              </w:rPr>
              <w:lastRenderedPageBreak/>
              <w:t>concentrations remaining elevated for 3 h (121</w:t>
            </w:r>
            <w:r w:rsidRPr="00A518CC">
              <w:rPr>
                <w:rFonts w:ascii="Times New Roman" w:hAnsi="Times New Roman"/>
                <w:sz w:val="24"/>
                <w:szCs w:val="24"/>
                <w:lang w:val="en-GB"/>
              </w:rPr>
              <w:t>±</w:t>
            </w:r>
            <w:r w:rsidRPr="00A518CC">
              <w:rPr>
                <w:rFonts w:ascii="Times New Roman" w:hAnsi="Times New Roman"/>
                <w:sz w:val="24"/>
                <w:szCs w:val="24"/>
                <w:lang w:val="en-US"/>
              </w:rPr>
              <w:t>11 and 127</w:t>
            </w:r>
            <w:r w:rsidRPr="00A518CC">
              <w:rPr>
                <w:rFonts w:ascii="Times New Roman" w:hAnsi="Times New Roman"/>
                <w:sz w:val="24"/>
                <w:szCs w:val="24"/>
                <w:lang w:val="en-GB"/>
              </w:rPr>
              <w:t>±</w:t>
            </w:r>
            <w:r w:rsidRPr="00A518CC">
              <w:rPr>
                <w:rFonts w:ascii="Times New Roman" w:hAnsi="Times New Roman"/>
                <w:sz w:val="24"/>
                <w:szCs w:val="24"/>
                <w:lang w:val="en-US"/>
              </w:rPr>
              <w:t>43 mg dL</w:t>
            </w:r>
            <w:r w:rsidRPr="00A518CC">
              <w:rPr>
                <w:rFonts w:ascii="Times New Roman" w:hAnsi="Times New Roman"/>
                <w:sz w:val="24"/>
                <w:szCs w:val="24"/>
                <w:vertAlign w:val="superscript"/>
                <w:lang w:val="en-US"/>
              </w:rPr>
              <w:t>-1</w:t>
            </w:r>
            <w:r w:rsidRPr="00A518CC">
              <w:rPr>
                <w:rFonts w:ascii="Times New Roman" w:hAnsi="Times New Roman"/>
                <w:sz w:val="24"/>
                <w:szCs w:val="24"/>
                <w:lang w:val="en-US"/>
              </w:rPr>
              <w:t>). YOH significantly attenuated the DET induced hyperglycemia.</w:t>
            </w:r>
            <w:r w:rsidRPr="00A518CC">
              <w:rPr>
                <w:rFonts w:ascii="Times New Roman" w:hAnsi="Times New Roman"/>
                <w:sz w:val="24"/>
                <w:szCs w:val="24"/>
              </w:rPr>
              <w:t xml:space="preserve"> </w:t>
            </w:r>
          </w:p>
        </w:tc>
        <w:tc>
          <w:tcPr>
            <w:tcW w:w="2835" w:type="dxa"/>
          </w:tcPr>
          <w:p w:rsidR="00B41C1C" w:rsidRPr="00A518CC" w:rsidRDefault="00B41C1C" w:rsidP="00B41C1C">
            <w:pPr>
              <w:spacing w:line="360" w:lineRule="auto"/>
              <w:jc w:val="both"/>
              <w:rPr>
                <w:rFonts w:ascii="Times New Roman" w:hAnsi="Times New Roman"/>
                <w:sz w:val="24"/>
                <w:szCs w:val="24"/>
                <w:lang w:val="en-US"/>
              </w:rPr>
            </w:pPr>
            <w:r w:rsidRPr="00A518CC">
              <w:rPr>
                <w:rFonts w:ascii="Times New Roman" w:hAnsi="Times New Roman"/>
                <w:sz w:val="24"/>
                <w:szCs w:val="24"/>
                <w:lang w:val="en-US"/>
              </w:rPr>
              <w:lastRenderedPageBreak/>
              <w:t>At the doses of 0.075 mg kg</w:t>
            </w:r>
            <w:r w:rsidRPr="00A518CC">
              <w:rPr>
                <w:rFonts w:ascii="Times New Roman" w:hAnsi="Times New Roman"/>
                <w:sz w:val="24"/>
                <w:szCs w:val="24"/>
                <w:vertAlign w:val="superscript"/>
                <w:lang w:val="en-US"/>
              </w:rPr>
              <w:t>-1</w:t>
            </w:r>
            <w:r w:rsidRPr="00A518CC">
              <w:rPr>
                <w:rFonts w:ascii="Times New Roman" w:hAnsi="Times New Roman"/>
                <w:sz w:val="24"/>
                <w:szCs w:val="24"/>
                <w:lang w:val="en-US"/>
              </w:rPr>
              <w:t>, the effects of YOH on cardiac and behavioral effects elicited by SL administration of DET are transient and incomplete.</w:t>
            </w:r>
          </w:p>
        </w:tc>
      </w:tr>
    </w:tbl>
    <w:p w:rsidR="000529E6" w:rsidRPr="00A518CC" w:rsidRDefault="000529E6" w:rsidP="000529E6">
      <w:pPr>
        <w:spacing w:line="360" w:lineRule="auto"/>
        <w:rPr>
          <w:lang w:val="en-US"/>
        </w:rPr>
      </w:pPr>
    </w:p>
    <w:p w:rsidR="000529E6" w:rsidRPr="00A518CC" w:rsidRDefault="000529E6" w:rsidP="000529E6">
      <w:pPr>
        <w:spacing w:line="360" w:lineRule="auto"/>
        <w:rPr>
          <w:lang w:val="en-US"/>
        </w:rPr>
      </w:pPr>
    </w:p>
    <w:p w:rsidR="00B41C1C" w:rsidRPr="00A518CC" w:rsidRDefault="00B41C1C" w:rsidP="00B41C1C">
      <w:pPr>
        <w:pStyle w:val="NormalWeb"/>
        <w:spacing w:line="360" w:lineRule="auto"/>
        <w:ind w:left="480" w:hanging="480"/>
        <w:rPr>
          <w:rFonts w:ascii="Times New Roman" w:hAnsi="Times New Roman"/>
          <w:sz w:val="24"/>
          <w:szCs w:val="24"/>
          <w:lang w:val="en-US"/>
        </w:rPr>
        <w:sectPr w:rsidR="00B41C1C" w:rsidRPr="00A518CC" w:rsidSect="00B41C1C">
          <w:pgSz w:w="15840" w:h="12240" w:orient="landscape"/>
          <w:pgMar w:top="1701" w:right="1417" w:bottom="1701" w:left="1417" w:header="708" w:footer="708" w:gutter="0"/>
          <w:cols w:space="708"/>
          <w:docGrid w:linePitch="360"/>
        </w:sectPr>
      </w:pPr>
    </w:p>
    <w:p w:rsidR="00395B39" w:rsidRPr="00B41C1C" w:rsidRDefault="006962B3" w:rsidP="00B41C1C">
      <w:pPr>
        <w:pStyle w:val="Ttulo1"/>
        <w:spacing w:line="360" w:lineRule="auto"/>
        <w:jc w:val="center"/>
        <w:rPr>
          <w:sz w:val="24"/>
          <w:szCs w:val="24"/>
        </w:rPr>
      </w:pPr>
      <w:bookmarkStart w:id="20" w:name="_Toc325709847"/>
      <w:r>
        <w:rPr>
          <w:sz w:val="24"/>
          <w:szCs w:val="24"/>
        </w:rPr>
        <w:lastRenderedPageBreak/>
        <w:t>CONCLUSIÓN</w:t>
      </w:r>
      <w:bookmarkEnd w:id="20"/>
    </w:p>
    <w:p w:rsidR="00395B39" w:rsidRPr="00653FDE" w:rsidRDefault="00B41C1C" w:rsidP="00B41C1C">
      <w:pPr>
        <w:pStyle w:val="NormalWeb"/>
        <w:spacing w:line="360" w:lineRule="auto"/>
        <w:jc w:val="both"/>
        <w:rPr>
          <w:rFonts w:ascii="Arial" w:hAnsi="Arial" w:cs="Arial"/>
          <w:sz w:val="24"/>
          <w:szCs w:val="24"/>
        </w:rPr>
      </w:pPr>
      <w:r>
        <w:rPr>
          <w:rFonts w:ascii="Arial" w:hAnsi="Arial" w:cs="Arial"/>
          <w:sz w:val="24"/>
          <w:szCs w:val="24"/>
        </w:rPr>
        <w:t xml:space="preserve">La yohimbina ejerce efectos </w:t>
      </w:r>
      <w:r w:rsidR="008B6B76">
        <w:rPr>
          <w:rFonts w:ascii="Arial" w:hAnsi="Arial" w:cs="Arial"/>
          <w:sz w:val="24"/>
          <w:szCs w:val="24"/>
        </w:rPr>
        <w:t>benéficos</w:t>
      </w:r>
      <w:r>
        <w:rPr>
          <w:rFonts w:ascii="Arial" w:hAnsi="Arial" w:cs="Arial"/>
          <w:sz w:val="24"/>
          <w:szCs w:val="24"/>
        </w:rPr>
        <w:t xml:space="preserve"> sobre los </w:t>
      </w:r>
      <w:r w:rsidR="008B6B76">
        <w:rPr>
          <w:rFonts w:ascii="Arial" w:hAnsi="Arial" w:cs="Arial"/>
          <w:sz w:val="24"/>
          <w:szCs w:val="24"/>
        </w:rPr>
        <w:t>parámetros farmacociné</w:t>
      </w:r>
      <w:r>
        <w:rPr>
          <w:rFonts w:ascii="Arial" w:hAnsi="Arial" w:cs="Arial"/>
          <w:sz w:val="24"/>
          <w:szCs w:val="24"/>
        </w:rPr>
        <w:t xml:space="preserve">ticos y farmacodinamicos en equinos sedados previamente con detomidina, lo que permite revertir efectivamente los efectos adversos  generados por la Detomidina. No obstante, es necesario se realicen más </w:t>
      </w:r>
      <w:r w:rsidR="008B6B76">
        <w:rPr>
          <w:rFonts w:ascii="Arial" w:hAnsi="Arial" w:cs="Arial"/>
          <w:sz w:val="24"/>
          <w:szCs w:val="24"/>
        </w:rPr>
        <w:t>investigaciones</w:t>
      </w:r>
      <w:bookmarkStart w:id="21" w:name="_GoBack"/>
      <w:bookmarkEnd w:id="21"/>
      <w:r>
        <w:rPr>
          <w:rFonts w:ascii="Arial" w:hAnsi="Arial" w:cs="Arial"/>
          <w:sz w:val="24"/>
          <w:szCs w:val="24"/>
        </w:rPr>
        <w:t xml:space="preserve"> con el uso de estos agonistas y antagonistas, pues aun no quedan claros los efectos de ambos sobre los niveles de glucosa en el paciente además de los efectos sobre el comportamiento de  los equinos. </w:t>
      </w:r>
    </w:p>
    <w:p w:rsidR="00395B39" w:rsidRPr="00642BC5" w:rsidRDefault="00B41C1C" w:rsidP="00395B39">
      <w:pPr>
        <w:spacing w:line="360" w:lineRule="auto"/>
        <w:rPr>
          <w:rFonts w:ascii="Times New Roman" w:eastAsiaTheme="minorEastAsia" w:hAnsi="Times New Roman"/>
          <w:color w:val="000000" w:themeColor="text1"/>
          <w:sz w:val="24"/>
          <w:szCs w:val="24"/>
          <w:lang w:val="es-MX"/>
        </w:rPr>
      </w:pPr>
      <w:r w:rsidRPr="00642BC5">
        <w:rPr>
          <w:rFonts w:ascii="Times New Roman" w:hAnsi="Times New Roman"/>
          <w:color w:val="000000" w:themeColor="text1"/>
          <w:sz w:val="24"/>
          <w:szCs w:val="24"/>
          <w:lang w:val="es-MX"/>
        </w:rPr>
        <w:br w:type="page"/>
      </w:r>
    </w:p>
    <w:p w:rsidR="00395B39" w:rsidRPr="007C61CD" w:rsidRDefault="00395B39" w:rsidP="00395B39">
      <w:pPr>
        <w:pStyle w:val="Ttulo1"/>
        <w:spacing w:line="360" w:lineRule="auto"/>
        <w:rPr>
          <w:sz w:val="24"/>
          <w:szCs w:val="24"/>
        </w:rPr>
      </w:pPr>
      <w:bookmarkStart w:id="22" w:name="_Toc349035355"/>
      <w:bookmarkStart w:id="23" w:name="_Toc325709848"/>
      <w:r w:rsidRPr="007C61CD">
        <w:rPr>
          <w:sz w:val="24"/>
          <w:szCs w:val="24"/>
        </w:rPr>
        <w:lastRenderedPageBreak/>
        <w:t>LITERATURA CITADA</w:t>
      </w:r>
      <w:bookmarkEnd w:id="22"/>
      <w:bookmarkEnd w:id="23"/>
    </w:p>
    <w:p w:rsidR="00395B39" w:rsidRDefault="00395B39" w:rsidP="00395B39">
      <w:pPr>
        <w:pStyle w:val="NormalWeb"/>
        <w:spacing w:line="360" w:lineRule="auto"/>
        <w:ind w:left="480" w:hanging="480"/>
        <w:rPr>
          <w:rFonts w:ascii="Arial" w:hAnsi="Arial" w:cs="Arial"/>
          <w:sz w:val="24"/>
          <w:szCs w:val="24"/>
          <w:lang w:val="en-US"/>
        </w:rPr>
      </w:pPr>
      <w:r>
        <w:rPr>
          <w:rFonts w:ascii="Arial" w:hAnsi="Arial" w:cs="Arial"/>
          <w:sz w:val="24"/>
          <w:szCs w:val="24"/>
        </w:rPr>
        <w:t>Dimaio Knych HK, Covarrubias V y Steffey, EP.</w:t>
      </w:r>
      <w:r w:rsidRPr="00980BA8">
        <w:rPr>
          <w:rFonts w:ascii="Arial" w:hAnsi="Arial" w:cs="Arial"/>
          <w:sz w:val="24"/>
          <w:szCs w:val="24"/>
        </w:rPr>
        <w:t xml:space="preserve"> </w:t>
      </w:r>
      <w:r w:rsidRPr="0069749F">
        <w:rPr>
          <w:rFonts w:ascii="Arial" w:hAnsi="Arial" w:cs="Arial"/>
          <w:sz w:val="24"/>
          <w:szCs w:val="24"/>
          <w:lang w:val="en-US"/>
        </w:rPr>
        <w:t xml:space="preserve">(2012). </w:t>
      </w:r>
      <w:r w:rsidRPr="00065198">
        <w:rPr>
          <w:rFonts w:ascii="Arial" w:hAnsi="Arial" w:cs="Arial"/>
          <w:sz w:val="24"/>
          <w:szCs w:val="24"/>
          <w:lang w:val="en-US"/>
        </w:rPr>
        <w:t xml:space="preserve">Effect of yohimbine on detomidine induced changes in behavior, cardiac and blood parameters in the horse. </w:t>
      </w:r>
      <w:r w:rsidRPr="00065198">
        <w:rPr>
          <w:rFonts w:ascii="Arial" w:hAnsi="Arial" w:cs="Arial"/>
          <w:i/>
          <w:iCs/>
          <w:sz w:val="24"/>
          <w:szCs w:val="24"/>
          <w:lang w:val="en-US"/>
        </w:rPr>
        <w:t>Veterinary Anaesthesia and Analgesia</w:t>
      </w:r>
      <w:r>
        <w:rPr>
          <w:rFonts w:ascii="Arial" w:hAnsi="Arial" w:cs="Arial"/>
          <w:sz w:val="24"/>
          <w:szCs w:val="24"/>
          <w:lang w:val="en-US"/>
        </w:rPr>
        <w:t>.</w:t>
      </w:r>
      <w:r w:rsidRPr="00065198">
        <w:rPr>
          <w:rFonts w:ascii="Arial" w:hAnsi="Arial" w:cs="Arial"/>
          <w:sz w:val="24"/>
          <w:szCs w:val="24"/>
          <w:lang w:val="en-US"/>
        </w:rPr>
        <w:t xml:space="preserve"> </w:t>
      </w:r>
      <w:r>
        <w:rPr>
          <w:rFonts w:ascii="Arial" w:hAnsi="Arial" w:cs="Arial"/>
          <w:b/>
          <w:sz w:val="24"/>
          <w:szCs w:val="24"/>
          <w:lang w:val="en-US"/>
        </w:rPr>
        <w:t>39.</w:t>
      </w:r>
      <w:r w:rsidRPr="00065198">
        <w:rPr>
          <w:rFonts w:ascii="Arial" w:hAnsi="Arial" w:cs="Arial"/>
          <w:b/>
          <w:sz w:val="24"/>
          <w:szCs w:val="24"/>
          <w:lang w:val="en-US"/>
        </w:rPr>
        <w:t xml:space="preserve"> </w:t>
      </w:r>
      <w:r w:rsidRPr="00065198">
        <w:rPr>
          <w:rFonts w:ascii="Arial" w:hAnsi="Arial" w:cs="Arial"/>
          <w:sz w:val="24"/>
          <w:szCs w:val="24"/>
          <w:lang w:val="en-US"/>
        </w:rPr>
        <w:t>574–583.</w:t>
      </w:r>
    </w:p>
    <w:p w:rsidR="00395B39" w:rsidRDefault="00395B39" w:rsidP="00395B39">
      <w:pPr>
        <w:pStyle w:val="NormalWeb"/>
        <w:spacing w:line="360" w:lineRule="auto"/>
        <w:ind w:left="480" w:hanging="480"/>
        <w:rPr>
          <w:rFonts w:ascii="Arial" w:hAnsi="Arial" w:cs="Arial"/>
          <w:sz w:val="24"/>
          <w:szCs w:val="24"/>
          <w:lang w:val="en-US"/>
        </w:rPr>
      </w:pPr>
      <w:r>
        <w:rPr>
          <w:rFonts w:ascii="Arial" w:hAnsi="Arial" w:cs="Arial"/>
          <w:sz w:val="24"/>
          <w:szCs w:val="24"/>
          <w:lang w:val="en-US"/>
        </w:rPr>
        <w:t>Dimaio Knych HK</w:t>
      </w:r>
      <w:proofErr w:type="gramStart"/>
      <w:r>
        <w:rPr>
          <w:rFonts w:ascii="Arial" w:hAnsi="Arial" w:cs="Arial"/>
          <w:sz w:val="24"/>
          <w:szCs w:val="24"/>
          <w:lang w:val="en-US"/>
        </w:rPr>
        <w:t>,  Steffey</w:t>
      </w:r>
      <w:proofErr w:type="gramEnd"/>
      <w:r>
        <w:rPr>
          <w:rFonts w:ascii="Arial" w:hAnsi="Arial" w:cs="Arial"/>
          <w:sz w:val="24"/>
          <w:szCs w:val="24"/>
          <w:lang w:val="en-US"/>
        </w:rPr>
        <w:t xml:space="preserve">  EP, Deuel JL , Shepard  RA y Stanley S</w:t>
      </w:r>
      <w:r w:rsidRPr="00980BA8">
        <w:rPr>
          <w:rFonts w:ascii="Arial" w:hAnsi="Arial" w:cs="Arial"/>
          <w:sz w:val="24"/>
          <w:szCs w:val="24"/>
          <w:lang w:val="en-US"/>
        </w:rPr>
        <w:t>D. (2011</w:t>
      </w:r>
      <w:r>
        <w:rPr>
          <w:rFonts w:ascii="Arial" w:hAnsi="Arial" w:cs="Arial"/>
          <w:sz w:val="24"/>
          <w:szCs w:val="24"/>
          <w:lang w:val="en-US"/>
        </w:rPr>
        <w:t>a</w:t>
      </w:r>
      <w:r w:rsidRPr="00980BA8">
        <w:rPr>
          <w:rFonts w:ascii="Arial" w:hAnsi="Arial" w:cs="Arial"/>
          <w:sz w:val="24"/>
          <w:szCs w:val="24"/>
          <w:lang w:val="en-US"/>
        </w:rPr>
        <w:t xml:space="preserve">). </w:t>
      </w:r>
      <w:proofErr w:type="gramStart"/>
      <w:r w:rsidRPr="00065198">
        <w:rPr>
          <w:rFonts w:ascii="Arial" w:hAnsi="Arial" w:cs="Arial"/>
          <w:sz w:val="24"/>
          <w:szCs w:val="24"/>
          <w:lang w:val="en-US"/>
        </w:rPr>
        <w:t>Pharmacokinetics of yohimbine following intravenous administration to horses.</w:t>
      </w:r>
      <w:proofErr w:type="gramEnd"/>
      <w:r w:rsidRPr="00065198">
        <w:rPr>
          <w:rFonts w:ascii="Arial" w:hAnsi="Arial" w:cs="Arial"/>
          <w:sz w:val="24"/>
          <w:szCs w:val="24"/>
          <w:lang w:val="en-US"/>
        </w:rPr>
        <w:t xml:space="preserve"> </w:t>
      </w:r>
      <w:proofErr w:type="gramStart"/>
      <w:r w:rsidRPr="00065198">
        <w:rPr>
          <w:rFonts w:ascii="Arial" w:hAnsi="Arial" w:cs="Arial"/>
          <w:i/>
          <w:iCs/>
          <w:sz w:val="24"/>
          <w:szCs w:val="24"/>
          <w:lang w:val="en-US"/>
        </w:rPr>
        <w:t>Journal of Veterinary Pharmacology and Therapeutics</w:t>
      </w:r>
      <w:r>
        <w:rPr>
          <w:rFonts w:ascii="Arial" w:hAnsi="Arial" w:cs="Arial"/>
          <w:sz w:val="24"/>
          <w:szCs w:val="24"/>
          <w:lang w:val="en-US"/>
        </w:rPr>
        <w:t>.</w:t>
      </w:r>
      <w:proofErr w:type="gramEnd"/>
      <w:r w:rsidRPr="00065198">
        <w:rPr>
          <w:rFonts w:ascii="Arial" w:hAnsi="Arial" w:cs="Arial"/>
          <w:sz w:val="24"/>
          <w:szCs w:val="24"/>
          <w:lang w:val="en-US"/>
        </w:rPr>
        <w:t xml:space="preserve"> </w:t>
      </w:r>
      <w:r>
        <w:rPr>
          <w:rFonts w:ascii="Arial" w:hAnsi="Arial" w:cs="Arial"/>
          <w:b/>
          <w:sz w:val="24"/>
          <w:szCs w:val="24"/>
          <w:lang w:val="en-US"/>
        </w:rPr>
        <w:t>34.</w:t>
      </w:r>
      <w:r w:rsidRPr="00065198">
        <w:rPr>
          <w:rFonts w:ascii="Arial" w:hAnsi="Arial" w:cs="Arial"/>
          <w:sz w:val="24"/>
          <w:szCs w:val="24"/>
          <w:lang w:val="en-US"/>
        </w:rPr>
        <w:t xml:space="preserve"> 58–63.</w:t>
      </w:r>
    </w:p>
    <w:p w:rsidR="00395B39" w:rsidRPr="00065198" w:rsidRDefault="00395B39" w:rsidP="00395B39">
      <w:pPr>
        <w:pStyle w:val="NormalWeb"/>
        <w:spacing w:line="360" w:lineRule="auto"/>
        <w:ind w:left="480" w:hanging="480"/>
        <w:rPr>
          <w:rFonts w:ascii="Arial" w:hAnsi="Arial" w:cs="Arial"/>
          <w:sz w:val="24"/>
          <w:szCs w:val="24"/>
          <w:lang w:val="en-US"/>
        </w:rPr>
      </w:pPr>
      <w:r>
        <w:rPr>
          <w:rFonts w:ascii="Arial" w:hAnsi="Arial" w:cs="Arial"/>
          <w:sz w:val="24"/>
          <w:szCs w:val="24"/>
          <w:lang w:val="en-US"/>
        </w:rPr>
        <w:t>Dimaio Knych HK</w:t>
      </w:r>
      <w:r w:rsidRPr="00065198">
        <w:rPr>
          <w:rFonts w:ascii="Arial" w:hAnsi="Arial" w:cs="Arial"/>
          <w:sz w:val="24"/>
          <w:szCs w:val="24"/>
          <w:lang w:val="en-US"/>
        </w:rPr>
        <w:t xml:space="preserve">, </w:t>
      </w:r>
      <w:proofErr w:type="gramStart"/>
      <w:r w:rsidRPr="00065198">
        <w:rPr>
          <w:rFonts w:ascii="Arial" w:hAnsi="Arial" w:cs="Arial"/>
          <w:sz w:val="24"/>
          <w:szCs w:val="24"/>
          <w:lang w:val="en-US"/>
        </w:rPr>
        <w:t>Steffey</w:t>
      </w:r>
      <w:r>
        <w:rPr>
          <w:rFonts w:ascii="Arial" w:hAnsi="Arial" w:cs="Arial"/>
          <w:sz w:val="24"/>
          <w:szCs w:val="24"/>
          <w:lang w:val="en-US"/>
        </w:rPr>
        <w:t xml:space="preserve">  EP</w:t>
      </w:r>
      <w:proofErr w:type="gramEnd"/>
      <w:r>
        <w:rPr>
          <w:rFonts w:ascii="Arial" w:hAnsi="Arial" w:cs="Arial"/>
          <w:sz w:val="24"/>
          <w:szCs w:val="24"/>
          <w:lang w:val="en-US"/>
        </w:rPr>
        <w:t xml:space="preserve">  y Stanley  SD. </w:t>
      </w:r>
      <w:r w:rsidRPr="00065198">
        <w:rPr>
          <w:rFonts w:ascii="Arial" w:hAnsi="Arial" w:cs="Arial"/>
          <w:sz w:val="24"/>
          <w:szCs w:val="24"/>
          <w:lang w:val="en-US"/>
        </w:rPr>
        <w:t xml:space="preserve"> </w:t>
      </w:r>
      <w:proofErr w:type="gramStart"/>
      <w:r w:rsidRPr="00065198">
        <w:rPr>
          <w:rFonts w:ascii="Arial" w:hAnsi="Arial" w:cs="Arial"/>
          <w:sz w:val="24"/>
          <w:szCs w:val="24"/>
          <w:lang w:val="en-US"/>
        </w:rPr>
        <w:t>(2011</w:t>
      </w:r>
      <w:r>
        <w:rPr>
          <w:rFonts w:ascii="Arial" w:hAnsi="Arial" w:cs="Arial"/>
          <w:sz w:val="24"/>
          <w:szCs w:val="24"/>
          <w:lang w:val="en-US"/>
        </w:rPr>
        <w:t>c</w:t>
      </w:r>
      <w:r w:rsidRPr="00065198">
        <w:rPr>
          <w:rFonts w:ascii="Arial" w:hAnsi="Arial" w:cs="Arial"/>
          <w:sz w:val="24"/>
          <w:szCs w:val="24"/>
          <w:lang w:val="en-US"/>
        </w:rPr>
        <w:t>). Pharmacokinetics and pharmacodynamics of three intravenous doses of yohimbine in the horse.</w:t>
      </w:r>
      <w:proofErr w:type="gramEnd"/>
      <w:r w:rsidRPr="00065198">
        <w:rPr>
          <w:rFonts w:ascii="Arial" w:hAnsi="Arial" w:cs="Arial"/>
          <w:sz w:val="24"/>
          <w:szCs w:val="24"/>
          <w:lang w:val="en-US"/>
        </w:rPr>
        <w:t xml:space="preserve"> </w:t>
      </w:r>
      <w:proofErr w:type="gramStart"/>
      <w:r w:rsidRPr="00065198">
        <w:rPr>
          <w:rFonts w:ascii="Arial" w:hAnsi="Arial" w:cs="Arial"/>
          <w:i/>
          <w:iCs/>
          <w:sz w:val="24"/>
          <w:szCs w:val="24"/>
          <w:lang w:val="en-US"/>
        </w:rPr>
        <w:t>Journal of Veterinary Pharmacology and Therapeutics</w:t>
      </w:r>
      <w:r>
        <w:rPr>
          <w:rFonts w:ascii="Arial" w:hAnsi="Arial" w:cs="Arial"/>
          <w:sz w:val="24"/>
          <w:szCs w:val="24"/>
          <w:lang w:val="en-US"/>
        </w:rPr>
        <w:t>.</w:t>
      </w:r>
      <w:proofErr w:type="gramEnd"/>
      <w:r>
        <w:rPr>
          <w:rFonts w:ascii="Arial" w:hAnsi="Arial" w:cs="Arial"/>
          <w:sz w:val="24"/>
          <w:szCs w:val="24"/>
          <w:lang w:val="en-US"/>
        </w:rPr>
        <w:t xml:space="preserve"> </w:t>
      </w:r>
      <w:r>
        <w:rPr>
          <w:rFonts w:ascii="Arial" w:hAnsi="Arial" w:cs="Arial"/>
          <w:b/>
          <w:sz w:val="24"/>
          <w:szCs w:val="24"/>
          <w:lang w:val="en-US"/>
        </w:rPr>
        <w:t>34.</w:t>
      </w:r>
      <w:r w:rsidRPr="00065198">
        <w:rPr>
          <w:rFonts w:ascii="Arial" w:hAnsi="Arial" w:cs="Arial"/>
          <w:sz w:val="24"/>
          <w:szCs w:val="24"/>
          <w:lang w:val="en-US"/>
        </w:rPr>
        <w:t xml:space="preserve"> 359–366.</w:t>
      </w:r>
    </w:p>
    <w:p w:rsidR="00395B39" w:rsidRPr="00065198" w:rsidRDefault="00395B39" w:rsidP="00395B39">
      <w:pPr>
        <w:pStyle w:val="NormalWeb"/>
        <w:spacing w:line="360" w:lineRule="auto"/>
        <w:ind w:left="480" w:hanging="480"/>
        <w:rPr>
          <w:rFonts w:ascii="Arial" w:hAnsi="Arial" w:cs="Arial"/>
          <w:sz w:val="24"/>
          <w:szCs w:val="24"/>
          <w:lang w:val="en-US"/>
        </w:rPr>
      </w:pPr>
      <w:r w:rsidRPr="00980BA8">
        <w:rPr>
          <w:rFonts w:ascii="Arial" w:hAnsi="Arial" w:cs="Arial"/>
          <w:color w:val="000000" w:themeColor="text1"/>
          <w:sz w:val="24"/>
          <w:szCs w:val="24"/>
          <w:lang w:val="en-US"/>
        </w:rPr>
        <w:t xml:space="preserve">DiMaio </w:t>
      </w:r>
      <w:r>
        <w:rPr>
          <w:rFonts w:ascii="Arial" w:hAnsi="Arial" w:cs="Arial"/>
          <w:sz w:val="24"/>
          <w:szCs w:val="24"/>
          <w:lang w:val="en-US"/>
        </w:rPr>
        <w:t xml:space="preserve">Knych </w:t>
      </w:r>
      <w:proofErr w:type="gramStart"/>
      <w:r>
        <w:rPr>
          <w:rFonts w:ascii="Arial" w:hAnsi="Arial" w:cs="Arial"/>
          <w:sz w:val="24"/>
          <w:szCs w:val="24"/>
          <w:lang w:val="en-US"/>
        </w:rPr>
        <w:t>HK  y</w:t>
      </w:r>
      <w:proofErr w:type="gramEnd"/>
      <w:r>
        <w:rPr>
          <w:rFonts w:ascii="Arial" w:hAnsi="Arial" w:cs="Arial"/>
          <w:sz w:val="24"/>
          <w:szCs w:val="24"/>
          <w:lang w:val="en-US"/>
        </w:rPr>
        <w:t xml:space="preserve"> Stanley  SD.</w:t>
      </w:r>
      <w:r w:rsidRPr="00065198">
        <w:rPr>
          <w:rFonts w:ascii="Arial" w:hAnsi="Arial" w:cs="Arial"/>
          <w:sz w:val="24"/>
          <w:szCs w:val="24"/>
          <w:lang w:val="en-US"/>
        </w:rPr>
        <w:t xml:space="preserve"> (2011</w:t>
      </w:r>
      <w:r>
        <w:rPr>
          <w:rFonts w:ascii="Arial" w:hAnsi="Arial" w:cs="Arial"/>
          <w:sz w:val="24"/>
          <w:szCs w:val="24"/>
          <w:lang w:val="en-US"/>
        </w:rPr>
        <w:t>b</w:t>
      </w:r>
      <w:r w:rsidRPr="00065198">
        <w:rPr>
          <w:rFonts w:ascii="Arial" w:hAnsi="Arial" w:cs="Arial"/>
          <w:sz w:val="24"/>
          <w:szCs w:val="24"/>
          <w:lang w:val="en-US"/>
        </w:rPr>
        <w:t xml:space="preserve">). </w:t>
      </w:r>
      <w:proofErr w:type="gramStart"/>
      <w:r w:rsidRPr="00065198">
        <w:rPr>
          <w:rFonts w:ascii="Arial" w:hAnsi="Arial" w:cs="Arial"/>
          <w:sz w:val="24"/>
          <w:szCs w:val="24"/>
          <w:lang w:val="en-US"/>
        </w:rPr>
        <w:t>Pharmacokinetics and pharmacodynamics of detomidine following sublingual administration to horses.</w:t>
      </w:r>
      <w:proofErr w:type="gramEnd"/>
      <w:r w:rsidRPr="00065198">
        <w:rPr>
          <w:rFonts w:ascii="Arial" w:hAnsi="Arial" w:cs="Arial"/>
          <w:sz w:val="24"/>
          <w:szCs w:val="24"/>
          <w:lang w:val="en-US"/>
        </w:rPr>
        <w:t xml:space="preserve"> </w:t>
      </w:r>
      <w:proofErr w:type="gramStart"/>
      <w:r w:rsidRPr="00065198">
        <w:rPr>
          <w:rFonts w:ascii="Arial" w:hAnsi="Arial" w:cs="Arial"/>
          <w:i/>
          <w:iCs/>
          <w:sz w:val="24"/>
          <w:szCs w:val="24"/>
          <w:lang w:val="en-US"/>
        </w:rPr>
        <w:t>American Journal of Veterinary Research</w:t>
      </w:r>
      <w:r>
        <w:rPr>
          <w:rFonts w:ascii="Arial" w:hAnsi="Arial" w:cs="Arial"/>
          <w:sz w:val="24"/>
          <w:szCs w:val="24"/>
          <w:lang w:val="en-US"/>
        </w:rPr>
        <w:t>.</w:t>
      </w:r>
      <w:proofErr w:type="gramEnd"/>
      <w:r>
        <w:rPr>
          <w:rFonts w:ascii="Arial" w:hAnsi="Arial" w:cs="Arial"/>
          <w:sz w:val="24"/>
          <w:szCs w:val="24"/>
          <w:lang w:val="en-US"/>
        </w:rPr>
        <w:t xml:space="preserve"> </w:t>
      </w:r>
      <w:r>
        <w:rPr>
          <w:rFonts w:ascii="Arial" w:hAnsi="Arial" w:cs="Arial"/>
          <w:b/>
          <w:sz w:val="24"/>
          <w:szCs w:val="24"/>
          <w:lang w:val="en-US"/>
        </w:rPr>
        <w:t>72.</w:t>
      </w:r>
      <w:r w:rsidRPr="00065198">
        <w:rPr>
          <w:rFonts w:ascii="Arial" w:hAnsi="Arial" w:cs="Arial"/>
          <w:sz w:val="24"/>
          <w:szCs w:val="24"/>
          <w:lang w:val="en-US"/>
        </w:rPr>
        <w:t xml:space="preserve"> 1378–1385.</w:t>
      </w:r>
    </w:p>
    <w:p w:rsidR="00395B39" w:rsidRPr="00065198" w:rsidRDefault="00395B39" w:rsidP="00395B39">
      <w:pPr>
        <w:pStyle w:val="NormalWeb"/>
        <w:spacing w:line="360" w:lineRule="auto"/>
        <w:ind w:left="480" w:hanging="480"/>
        <w:rPr>
          <w:rFonts w:ascii="Arial" w:hAnsi="Arial" w:cs="Arial"/>
          <w:sz w:val="24"/>
          <w:szCs w:val="24"/>
          <w:lang w:val="en-US"/>
        </w:rPr>
      </w:pPr>
      <w:r>
        <w:rPr>
          <w:rFonts w:ascii="Arial" w:hAnsi="Arial" w:cs="Arial"/>
          <w:sz w:val="24"/>
          <w:szCs w:val="24"/>
          <w:lang w:val="en-US"/>
        </w:rPr>
        <w:t>Grimsrud KN</w:t>
      </w:r>
      <w:proofErr w:type="gramStart"/>
      <w:r>
        <w:rPr>
          <w:rFonts w:ascii="Arial" w:hAnsi="Arial" w:cs="Arial"/>
          <w:sz w:val="24"/>
          <w:szCs w:val="24"/>
          <w:lang w:val="en-US"/>
        </w:rPr>
        <w:t>,  Mama</w:t>
      </w:r>
      <w:proofErr w:type="gramEnd"/>
      <w:r>
        <w:rPr>
          <w:rFonts w:ascii="Arial" w:hAnsi="Arial" w:cs="Arial"/>
          <w:sz w:val="24"/>
          <w:szCs w:val="24"/>
          <w:lang w:val="en-US"/>
        </w:rPr>
        <w:t xml:space="preserve"> KR, Thomasy  SM y Stanley SD.</w:t>
      </w:r>
      <w:r w:rsidRPr="00065198">
        <w:rPr>
          <w:rFonts w:ascii="Arial" w:hAnsi="Arial" w:cs="Arial"/>
          <w:sz w:val="24"/>
          <w:szCs w:val="24"/>
          <w:lang w:val="en-US"/>
        </w:rPr>
        <w:t xml:space="preserve"> (2009)</w:t>
      </w:r>
      <w:r>
        <w:rPr>
          <w:rFonts w:ascii="Arial" w:hAnsi="Arial" w:cs="Arial"/>
          <w:sz w:val="24"/>
          <w:szCs w:val="24"/>
          <w:lang w:val="en-US"/>
        </w:rPr>
        <w:t>.</w:t>
      </w:r>
      <w:r w:rsidRPr="00065198">
        <w:rPr>
          <w:rFonts w:ascii="Arial" w:hAnsi="Arial" w:cs="Arial"/>
          <w:sz w:val="24"/>
          <w:szCs w:val="24"/>
          <w:lang w:val="en-US"/>
        </w:rPr>
        <w:t xml:space="preserve"> </w:t>
      </w:r>
      <w:proofErr w:type="gramStart"/>
      <w:r w:rsidRPr="00065198">
        <w:rPr>
          <w:rFonts w:ascii="Arial" w:hAnsi="Arial" w:cs="Arial"/>
          <w:sz w:val="24"/>
          <w:szCs w:val="24"/>
          <w:lang w:val="en-US"/>
        </w:rPr>
        <w:t>Pharmacokinetics of detomidine and its metabolites following intravenous and intramuscular administration in horses.</w:t>
      </w:r>
      <w:proofErr w:type="gramEnd"/>
      <w:r w:rsidRPr="00065198">
        <w:rPr>
          <w:rFonts w:ascii="Arial" w:hAnsi="Arial" w:cs="Arial"/>
          <w:sz w:val="24"/>
          <w:szCs w:val="24"/>
          <w:lang w:val="en-US"/>
        </w:rPr>
        <w:t xml:space="preserve"> </w:t>
      </w:r>
      <w:proofErr w:type="gramStart"/>
      <w:r>
        <w:rPr>
          <w:rFonts w:ascii="Arial" w:hAnsi="Arial" w:cs="Arial"/>
          <w:i/>
          <w:sz w:val="24"/>
          <w:szCs w:val="24"/>
          <w:lang w:val="en-US"/>
        </w:rPr>
        <w:t>Equine Veterinary Journal.</w:t>
      </w:r>
      <w:proofErr w:type="gramEnd"/>
      <w:r w:rsidRPr="00065198">
        <w:rPr>
          <w:rFonts w:ascii="Arial" w:hAnsi="Arial" w:cs="Arial"/>
          <w:sz w:val="24"/>
          <w:szCs w:val="24"/>
          <w:lang w:val="en-US"/>
        </w:rPr>
        <w:t xml:space="preserve"> </w:t>
      </w:r>
      <w:r>
        <w:rPr>
          <w:rFonts w:ascii="Arial" w:hAnsi="Arial" w:cs="Arial"/>
          <w:b/>
          <w:sz w:val="24"/>
          <w:szCs w:val="24"/>
          <w:lang w:val="en-US"/>
        </w:rPr>
        <w:t>41.</w:t>
      </w:r>
      <w:r w:rsidRPr="00065198">
        <w:rPr>
          <w:rFonts w:ascii="Arial" w:hAnsi="Arial" w:cs="Arial"/>
          <w:sz w:val="24"/>
          <w:szCs w:val="24"/>
          <w:lang w:val="en-US"/>
        </w:rPr>
        <w:t xml:space="preserve"> 361–365.</w:t>
      </w:r>
    </w:p>
    <w:p w:rsidR="00395B39" w:rsidRPr="00065198" w:rsidRDefault="00395B39" w:rsidP="00395B39">
      <w:pPr>
        <w:pStyle w:val="NormalWeb"/>
        <w:spacing w:line="360" w:lineRule="auto"/>
        <w:ind w:left="480" w:hanging="480"/>
        <w:rPr>
          <w:rFonts w:ascii="Arial" w:hAnsi="Arial" w:cs="Arial"/>
          <w:sz w:val="24"/>
          <w:szCs w:val="24"/>
          <w:lang w:val="en-US"/>
        </w:rPr>
      </w:pPr>
      <w:r w:rsidRPr="000942DC">
        <w:rPr>
          <w:rFonts w:ascii="Arial" w:hAnsi="Arial" w:cs="Arial"/>
          <w:sz w:val="24"/>
          <w:szCs w:val="24"/>
        </w:rPr>
        <w:t xml:space="preserve">Hubbell  JAE y  Muir  WW. </w:t>
      </w:r>
      <w:proofErr w:type="gramStart"/>
      <w:r w:rsidRPr="00065198">
        <w:rPr>
          <w:rFonts w:ascii="Arial" w:hAnsi="Arial" w:cs="Arial"/>
          <w:sz w:val="24"/>
          <w:szCs w:val="24"/>
          <w:lang w:val="en-US"/>
        </w:rPr>
        <w:t>(2006)</w:t>
      </w:r>
      <w:r>
        <w:rPr>
          <w:rFonts w:ascii="Arial" w:hAnsi="Arial" w:cs="Arial"/>
          <w:sz w:val="24"/>
          <w:szCs w:val="24"/>
          <w:lang w:val="en-US"/>
        </w:rPr>
        <w:t>.</w:t>
      </w:r>
      <w:r w:rsidRPr="00065198">
        <w:rPr>
          <w:rFonts w:ascii="Arial" w:hAnsi="Arial" w:cs="Arial"/>
          <w:sz w:val="24"/>
          <w:szCs w:val="24"/>
          <w:lang w:val="en-US"/>
        </w:rPr>
        <w:t xml:space="preserve"> Antagonism of detomidine sedation in the horse using intravenous tolazoline or atipamezole.</w:t>
      </w:r>
      <w:proofErr w:type="gramEnd"/>
      <w:r w:rsidRPr="00065198">
        <w:rPr>
          <w:rFonts w:ascii="Arial" w:hAnsi="Arial" w:cs="Arial"/>
          <w:sz w:val="24"/>
          <w:szCs w:val="24"/>
          <w:lang w:val="en-US"/>
        </w:rPr>
        <w:t xml:space="preserve"> </w:t>
      </w:r>
      <w:proofErr w:type="gramStart"/>
      <w:r w:rsidRPr="00065198">
        <w:rPr>
          <w:rFonts w:ascii="Arial" w:hAnsi="Arial" w:cs="Arial"/>
          <w:i/>
          <w:sz w:val="24"/>
          <w:szCs w:val="24"/>
          <w:lang w:val="en-US"/>
        </w:rPr>
        <w:t>Equin</w:t>
      </w:r>
      <w:r>
        <w:rPr>
          <w:rFonts w:ascii="Arial" w:hAnsi="Arial" w:cs="Arial"/>
          <w:i/>
          <w:sz w:val="24"/>
          <w:szCs w:val="24"/>
          <w:lang w:val="en-US"/>
        </w:rPr>
        <w:t>e Veterinary Journal.</w:t>
      </w:r>
      <w:proofErr w:type="gramEnd"/>
      <w:r>
        <w:rPr>
          <w:rFonts w:ascii="Arial" w:hAnsi="Arial" w:cs="Arial"/>
          <w:i/>
          <w:sz w:val="24"/>
          <w:szCs w:val="24"/>
          <w:lang w:val="en-US"/>
        </w:rPr>
        <w:t xml:space="preserve"> </w:t>
      </w:r>
      <w:r w:rsidRPr="00065198">
        <w:rPr>
          <w:rFonts w:ascii="Arial" w:hAnsi="Arial" w:cs="Arial"/>
          <w:i/>
          <w:sz w:val="24"/>
          <w:szCs w:val="24"/>
          <w:lang w:val="en-US"/>
        </w:rPr>
        <w:t xml:space="preserve"> </w:t>
      </w:r>
      <w:r>
        <w:rPr>
          <w:rFonts w:ascii="Arial" w:hAnsi="Arial" w:cs="Arial"/>
          <w:b/>
          <w:sz w:val="24"/>
          <w:szCs w:val="24"/>
          <w:lang w:val="en-US"/>
        </w:rPr>
        <w:t>38.</w:t>
      </w:r>
      <w:r w:rsidRPr="00065198">
        <w:rPr>
          <w:rFonts w:ascii="Arial" w:hAnsi="Arial" w:cs="Arial"/>
          <w:sz w:val="24"/>
          <w:szCs w:val="24"/>
          <w:lang w:val="en-US"/>
        </w:rPr>
        <w:t xml:space="preserve"> 238–241.</w:t>
      </w:r>
    </w:p>
    <w:p w:rsidR="00395B39" w:rsidRPr="00065198" w:rsidRDefault="00395B39" w:rsidP="00395B39">
      <w:pPr>
        <w:pStyle w:val="NormalWeb"/>
        <w:spacing w:line="360" w:lineRule="auto"/>
        <w:ind w:left="480" w:hanging="480"/>
        <w:rPr>
          <w:rFonts w:ascii="Arial" w:hAnsi="Arial" w:cs="Arial"/>
          <w:sz w:val="24"/>
          <w:szCs w:val="24"/>
          <w:lang w:val="en-US"/>
        </w:rPr>
      </w:pPr>
      <w:r>
        <w:rPr>
          <w:rFonts w:ascii="Arial" w:hAnsi="Arial" w:cs="Arial"/>
          <w:sz w:val="24"/>
          <w:szCs w:val="24"/>
          <w:lang w:val="en-US"/>
        </w:rPr>
        <w:t xml:space="preserve">Hubbel JAE, Sams RA, </w:t>
      </w:r>
      <w:proofErr w:type="gramStart"/>
      <w:r>
        <w:rPr>
          <w:rFonts w:ascii="Arial" w:hAnsi="Arial" w:cs="Arial"/>
          <w:sz w:val="24"/>
          <w:szCs w:val="24"/>
          <w:lang w:val="en-US"/>
        </w:rPr>
        <w:t>Schmall  ML</w:t>
      </w:r>
      <w:proofErr w:type="gramEnd"/>
      <w:r>
        <w:rPr>
          <w:rFonts w:ascii="Arial" w:hAnsi="Arial" w:cs="Arial"/>
          <w:sz w:val="24"/>
          <w:szCs w:val="24"/>
          <w:lang w:val="en-US"/>
        </w:rPr>
        <w:t xml:space="preserve">, Robertson T,  Hinchcliff  K W y  Muir  W W. </w:t>
      </w:r>
      <w:r w:rsidRPr="00065198">
        <w:rPr>
          <w:rFonts w:ascii="Arial" w:hAnsi="Arial" w:cs="Arial"/>
          <w:sz w:val="24"/>
          <w:szCs w:val="24"/>
          <w:lang w:val="en-US"/>
        </w:rPr>
        <w:t xml:space="preserve"> </w:t>
      </w:r>
      <w:proofErr w:type="gramStart"/>
      <w:r w:rsidRPr="00065198">
        <w:rPr>
          <w:rFonts w:ascii="Arial" w:hAnsi="Arial" w:cs="Arial"/>
          <w:sz w:val="24"/>
          <w:szCs w:val="24"/>
          <w:lang w:val="en-US"/>
        </w:rPr>
        <w:t>(2009)</w:t>
      </w:r>
      <w:r>
        <w:rPr>
          <w:rFonts w:ascii="Arial" w:hAnsi="Arial" w:cs="Arial"/>
          <w:sz w:val="24"/>
          <w:szCs w:val="24"/>
          <w:lang w:val="en-US"/>
        </w:rPr>
        <w:t>.</w:t>
      </w:r>
      <w:r w:rsidRPr="00065198">
        <w:rPr>
          <w:rFonts w:ascii="Arial" w:hAnsi="Arial" w:cs="Arial"/>
          <w:sz w:val="24"/>
          <w:szCs w:val="24"/>
          <w:lang w:val="en-US"/>
        </w:rPr>
        <w:t xml:space="preserve"> Pharmacokinetics of detomidine administered to horses at rest and after maximal exercise.</w:t>
      </w:r>
      <w:proofErr w:type="gramEnd"/>
      <w:r w:rsidRPr="00065198">
        <w:rPr>
          <w:rFonts w:ascii="Arial" w:hAnsi="Arial" w:cs="Arial"/>
          <w:sz w:val="24"/>
          <w:szCs w:val="24"/>
          <w:lang w:val="en-US"/>
        </w:rPr>
        <w:t xml:space="preserve"> </w:t>
      </w:r>
      <w:r>
        <w:rPr>
          <w:rFonts w:ascii="Arial" w:hAnsi="Arial" w:cs="Arial"/>
          <w:i/>
          <w:sz w:val="24"/>
          <w:szCs w:val="24"/>
          <w:lang w:val="en-US"/>
        </w:rPr>
        <w:t xml:space="preserve">Equine Veterinary </w:t>
      </w:r>
      <w:proofErr w:type="gramStart"/>
      <w:r>
        <w:rPr>
          <w:rFonts w:ascii="Arial" w:hAnsi="Arial" w:cs="Arial"/>
          <w:i/>
          <w:sz w:val="24"/>
          <w:szCs w:val="24"/>
          <w:lang w:val="en-US"/>
        </w:rPr>
        <w:t>Journal.</w:t>
      </w:r>
      <w:r w:rsidRPr="00065198">
        <w:rPr>
          <w:rFonts w:ascii="Arial" w:hAnsi="Arial" w:cs="Arial"/>
          <w:i/>
          <w:sz w:val="24"/>
          <w:szCs w:val="24"/>
          <w:lang w:val="en-US"/>
        </w:rPr>
        <w:t>,</w:t>
      </w:r>
      <w:proofErr w:type="gramEnd"/>
      <w:r w:rsidRPr="00065198">
        <w:rPr>
          <w:rFonts w:ascii="Arial" w:hAnsi="Arial" w:cs="Arial"/>
          <w:sz w:val="24"/>
          <w:szCs w:val="24"/>
          <w:lang w:val="en-US"/>
        </w:rPr>
        <w:t xml:space="preserve"> </w:t>
      </w:r>
      <w:r>
        <w:rPr>
          <w:rFonts w:ascii="Arial" w:hAnsi="Arial" w:cs="Arial"/>
          <w:b/>
          <w:sz w:val="24"/>
          <w:szCs w:val="24"/>
          <w:lang w:val="en-US"/>
        </w:rPr>
        <w:t>41.</w:t>
      </w:r>
      <w:r>
        <w:rPr>
          <w:rFonts w:ascii="Arial" w:hAnsi="Arial" w:cs="Arial"/>
          <w:sz w:val="24"/>
          <w:szCs w:val="24"/>
          <w:lang w:val="en-US"/>
        </w:rPr>
        <w:t xml:space="preserve"> 419–422.</w:t>
      </w:r>
    </w:p>
    <w:p w:rsidR="00395B39" w:rsidRDefault="00395B39" w:rsidP="00395B39">
      <w:pPr>
        <w:pStyle w:val="NormalWeb"/>
        <w:spacing w:line="360" w:lineRule="auto"/>
        <w:ind w:left="480" w:hanging="480"/>
        <w:rPr>
          <w:rFonts w:ascii="Arial" w:hAnsi="Arial" w:cs="Arial"/>
          <w:sz w:val="24"/>
          <w:szCs w:val="24"/>
          <w:lang w:val="en-US"/>
        </w:rPr>
      </w:pPr>
      <w:r w:rsidRPr="005F697B">
        <w:rPr>
          <w:rFonts w:ascii="Arial" w:hAnsi="Arial" w:cs="Arial"/>
          <w:sz w:val="24"/>
          <w:szCs w:val="24"/>
        </w:rPr>
        <w:t xml:space="preserve">Jochle  W y Hamm D. (1986). </w:t>
      </w:r>
      <w:proofErr w:type="gramStart"/>
      <w:r w:rsidRPr="00065198">
        <w:rPr>
          <w:rFonts w:ascii="Arial" w:hAnsi="Arial" w:cs="Arial"/>
          <w:sz w:val="24"/>
          <w:szCs w:val="24"/>
          <w:lang w:val="en-US"/>
        </w:rPr>
        <w:t>Sedation and analgesia with Domosedan (detomidine hydrochloride) in horses.</w:t>
      </w:r>
      <w:proofErr w:type="gramEnd"/>
      <w:r w:rsidRPr="00065198">
        <w:rPr>
          <w:rFonts w:ascii="Arial" w:hAnsi="Arial" w:cs="Arial"/>
          <w:sz w:val="24"/>
          <w:szCs w:val="24"/>
          <w:lang w:val="en-US"/>
        </w:rPr>
        <w:t xml:space="preserve"> </w:t>
      </w:r>
      <w:r>
        <w:rPr>
          <w:rFonts w:ascii="Arial" w:hAnsi="Arial" w:cs="Arial"/>
          <w:i/>
          <w:sz w:val="24"/>
          <w:szCs w:val="24"/>
          <w:lang w:val="en-US"/>
        </w:rPr>
        <w:t xml:space="preserve">Acta Veterinaria Scandinavica. </w:t>
      </w:r>
      <w:r w:rsidRPr="00065198">
        <w:rPr>
          <w:rFonts w:ascii="Arial" w:hAnsi="Arial" w:cs="Arial"/>
          <w:i/>
          <w:sz w:val="24"/>
          <w:szCs w:val="24"/>
          <w:lang w:val="en-US"/>
        </w:rPr>
        <w:t xml:space="preserve"> </w:t>
      </w:r>
      <w:r>
        <w:rPr>
          <w:rFonts w:ascii="Arial" w:hAnsi="Arial" w:cs="Arial"/>
          <w:b/>
          <w:i/>
          <w:sz w:val="24"/>
          <w:szCs w:val="24"/>
          <w:lang w:val="en-US"/>
        </w:rPr>
        <w:t xml:space="preserve">82. </w:t>
      </w:r>
      <w:r w:rsidRPr="00065198">
        <w:rPr>
          <w:rFonts w:ascii="Arial" w:hAnsi="Arial" w:cs="Arial"/>
          <w:i/>
          <w:sz w:val="24"/>
          <w:szCs w:val="24"/>
          <w:lang w:val="en-US"/>
        </w:rPr>
        <w:t xml:space="preserve"> </w:t>
      </w:r>
      <w:r w:rsidRPr="00065198">
        <w:rPr>
          <w:rFonts w:ascii="Arial" w:hAnsi="Arial" w:cs="Arial"/>
          <w:sz w:val="24"/>
          <w:szCs w:val="24"/>
          <w:lang w:val="en-US"/>
        </w:rPr>
        <w:t>69–84.</w:t>
      </w:r>
    </w:p>
    <w:p w:rsidR="00395B39" w:rsidRPr="00065198" w:rsidRDefault="00395B39" w:rsidP="00395B39">
      <w:pPr>
        <w:pStyle w:val="NormalWeb"/>
        <w:spacing w:line="360" w:lineRule="auto"/>
        <w:ind w:left="480" w:hanging="480"/>
        <w:rPr>
          <w:rFonts w:ascii="Arial" w:hAnsi="Arial" w:cs="Arial"/>
          <w:sz w:val="24"/>
          <w:szCs w:val="24"/>
          <w:lang w:val="en-US"/>
        </w:rPr>
      </w:pPr>
      <w:proofErr w:type="gramStart"/>
      <w:r>
        <w:rPr>
          <w:rFonts w:ascii="Arial" w:hAnsi="Arial" w:cs="Arial"/>
          <w:sz w:val="24"/>
          <w:szCs w:val="24"/>
          <w:lang w:val="en-US"/>
        </w:rPr>
        <w:lastRenderedPageBreak/>
        <w:t>Jernigan  A</w:t>
      </w:r>
      <w:proofErr w:type="gramEnd"/>
      <w:r>
        <w:rPr>
          <w:rFonts w:ascii="Arial" w:hAnsi="Arial" w:cs="Arial"/>
          <w:sz w:val="24"/>
          <w:szCs w:val="24"/>
          <w:lang w:val="en-US"/>
        </w:rPr>
        <w:t xml:space="preserve"> D,  Wilson  RC,  Booth  NH, Hatch RC y Akbari</w:t>
      </w:r>
      <w:r w:rsidRPr="00065198">
        <w:rPr>
          <w:rFonts w:ascii="Arial" w:hAnsi="Arial" w:cs="Arial"/>
          <w:sz w:val="24"/>
          <w:szCs w:val="24"/>
          <w:lang w:val="en-US"/>
        </w:rPr>
        <w:t xml:space="preserve"> A. (1988). Comparative pharmacokinetics of yohimbine in steers, horses and dogs. </w:t>
      </w:r>
      <w:proofErr w:type="gramStart"/>
      <w:r w:rsidRPr="00065198">
        <w:rPr>
          <w:rFonts w:ascii="Arial" w:hAnsi="Arial" w:cs="Arial"/>
          <w:i/>
          <w:iCs/>
          <w:sz w:val="24"/>
          <w:szCs w:val="24"/>
          <w:lang w:val="en-US"/>
        </w:rPr>
        <w:t>Canadian Journal of Veterinary Research</w:t>
      </w:r>
      <w:r>
        <w:rPr>
          <w:rFonts w:ascii="Arial" w:hAnsi="Arial" w:cs="Arial"/>
          <w:sz w:val="24"/>
          <w:szCs w:val="24"/>
          <w:lang w:val="en-US"/>
        </w:rPr>
        <w:t>.</w:t>
      </w:r>
      <w:proofErr w:type="gramEnd"/>
      <w:r>
        <w:rPr>
          <w:rFonts w:ascii="Arial" w:hAnsi="Arial" w:cs="Arial"/>
          <w:sz w:val="24"/>
          <w:szCs w:val="24"/>
          <w:lang w:val="en-US"/>
        </w:rPr>
        <w:t xml:space="preserve"> </w:t>
      </w:r>
      <w:r>
        <w:rPr>
          <w:rFonts w:ascii="Arial" w:hAnsi="Arial" w:cs="Arial"/>
          <w:b/>
          <w:sz w:val="24"/>
          <w:szCs w:val="24"/>
          <w:lang w:val="en-US"/>
        </w:rPr>
        <w:t>52.</w:t>
      </w:r>
      <w:r w:rsidRPr="00065198">
        <w:rPr>
          <w:rFonts w:ascii="Arial" w:hAnsi="Arial" w:cs="Arial"/>
          <w:b/>
          <w:sz w:val="24"/>
          <w:szCs w:val="24"/>
          <w:lang w:val="en-US"/>
        </w:rPr>
        <w:t xml:space="preserve"> </w:t>
      </w:r>
      <w:r w:rsidRPr="00065198">
        <w:rPr>
          <w:rFonts w:ascii="Arial" w:hAnsi="Arial" w:cs="Arial"/>
          <w:sz w:val="24"/>
          <w:szCs w:val="24"/>
          <w:lang w:val="en-US"/>
        </w:rPr>
        <w:t>172–176.</w:t>
      </w:r>
    </w:p>
    <w:p w:rsidR="00395B39" w:rsidRPr="00065198" w:rsidRDefault="00395B39" w:rsidP="00395B39">
      <w:pPr>
        <w:pStyle w:val="NormalWeb"/>
        <w:spacing w:line="360" w:lineRule="auto"/>
        <w:ind w:left="480" w:hanging="480"/>
        <w:rPr>
          <w:rFonts w:ascii="Arial" w:hAnsi="Arial" w:cs="Arial"/>
          <w:sz w:val="24"/>
          <w:szCs w:val="24"/>
          <w:lang w:val="en-US"/>
        </w:rPr>
      </w:pPr>
      <w:r>
        <w:rPr>
          <w:rFonts w:ascii="Arial" w:hAnsi="Arial" w:cs="Arial"/>
          <w:sz w:val="24"/>
          <w:szCs w:val="24"/>
          <w:lang w:val="en-US"/>
        </w:rPr>
        <w:t>Kaukinen H</w:t>
      </w:r>
      <w:proofErr w:type="gramStart"/>
      <w:r>
        <w:rPr>
          <w:rFonts w:ascii="Arial" w:hAnsi="Arial" w:cs="Arial"/>
          <w:sz w:val="24"/>
          <w:szCs w:val="24"/>
          <w:lang w:val="en-US"/>
        </w:rPr>
        <w:t>,  Aspegrén</w:t>
      </w:r>
      <w:proofErr w:type="gramEnd"/>
      <w:r>
        <w:rPr>
          <w:rFonts w:ascii="Arial" w:hAnsi="Arial" w:cs="Arial"/>
          <w:sz w:val="24"/>
          <w:szCs w:val="24"/>
          <w:lang w:val="en-US"/>
        </w:rPr>
        <w:t xml:space="preserve">  J, Hyppä  S, Tamm L. y Salonen  J</w:t>
      </w:r>
      <w:r w:rsidRPr="00065198">
        <w:rPr>
          <w:rFonts w:ascii="Arial" w:hAnsi="Arial" w:cs="Arial"/>
          <w:sz w:val="24"/>
          <w:szCs w:val="24"/>
          <w:lang w:val="en-US"/>
        </w:rPr>
        <w:t xml:space="preserve">S. </w:t>
      </w:r>
      <w:proofErr w:type="gramStart"/>
      <w:r w:rsidRPr="00065198">
        <w:rPr>
          <w:rFonts w:ascii="Arial" w:hAnsi="Arial" w:cs="Arial"/>
          <w:sz w:val="24"/>
          <w:szCs w:val="24"/>
          <w:lang w:val="en-US"/>
        </w:rPr>
        <w:t>(2010)</w:t>
      </w:r>
      <w:r>
        <w:rPr>
          <w:rFonts w:ascii="Arial" w:hAnsi="Arial" w:cs="Arial"/>
          <w:sz w:val="24"/>
          <w:szCs w:val="24"/>
          <w:lang w:val="en-US"/>
        </w:rPr>
        <w:t>.</w:t>
      </w:r>
      <w:r w:rsidRPr="00065198">
        <w:rPr>
          <w:rFonts w:ascii="Arial" w:hAnsi="Arial" w:cs="Arial"/>
          <w:sz w:val="24"/>
          <w:szCs w:val="24"/>
          <w:lang w:val="en-US"/>
        </w:rPr>
        <w:t xml:space="preserve"> Bioavailability of detomidine administered sublingually to horses as an oromucosal gel.</w:t>
      </w:r>
      <w:proofErr w:type="gramEnd"/>
      <w:r w:rsidRPr="00065198">
        <w:rPr>
          <w:rFonts w:ascii="Arial" w:hAnsi="Arial" w:cs="Arial"/>
          <w:sz w:val="24"/>
          <w:szCs w:val="24"/>
          <w:lang w:val="en-US"/>
        </w:rPr>
        <w:t xml:space="preserve"> </w:t>
      </w:r>
      <w:proofErr w:type="gramStart"/>
      <w:r w:rsidRPr="00065198">
        <w:rPr>
          <w:rFonts w:ascii="Arial" w:hAnsi="Arial" w:cs="Arial"/>
          <w:i/>
          <w:sz w:val="24"/>
          <w:szCs w:val="24"/>
          <w:lang w:val="en-US"/>
        </w:rPr>
        <w:t>Journal of Veterinary Pharmacology and Therapeutics</w:t>
      </w:r>
      <w:r>
        <w:rPr>
          <w:rFonts w:ascii="Arial" w:hAnsi="Arial" w:cs="Arial"/>
          <w:i/>
          <w:sz w:val="24"/>
          <w:szCs w:val="24"/>
          <w:lang w:val="en-US"/>
        </w:rPr>
        <w:t>.</w:t>
      </w:r>
      <w:proofErr w:type="gramEnd"/>
      <w:r w:rsidRPr="00065198">
        <w:rPr>
          <w:rFonts w:ascii="Arial" w:hAnsi="Arial" w:cs="Arial"/>
          <w:sz w:val="24"/>
          <w:szCs w:val="24"/>
          <w:lang w:val="en-US"/>
        </w:rPr>
        <w:t xml:space="preserve"> </w:t>
      </w:r>
      <w:r>
        <w:rPr>
          <w:rFonts w:ascii="Arial" w:hAnsi="Arial" w:cs="Arial"/>
          <w:b/>
          <w:sz w:val="24"/>
          <w:szCs w:val="24"/>
          <w:lang w:val="en-US"/>
        </w:rPr>
        <w:t>34.</w:t>
      </w:r>
      <w:r w:rsidRPr="00065198">
        <w:rPr>
          <w:rFonts w:ascii="Arial" w:hAnsi="Arial" w:cs="Arial"/>
          <w:b/>
          <w:sz w:val="24"/>
          <w:szCs w:val="24"/>
          <w:lang w:val="en-US"/>
        </w:rPr>
        <w:t xml:space="preserve"> </w:t>
      </w:r>
      <w:r>
        <w:rPr>
          <w:rFonts w:ascii="Arial" w:hAnsi="Arial" w:cs="Arial"/>
          <w:sz w:val="24"/>
          <w:szCs w:val="24"/>
          <w:lang w:val="en-US"/>
        </w:rPr>
        <w:t>76–81.</w:t>
      </w:r>
    </w:p>
    <w:p w:rsidR="00395B39" w:rsidRDefault="00395B39" w:rsidP="00395B39">
      <w:pPr>
        <w:pStyle w:val="NormalWeb"/>
        <w:spacing w:line="360" w:lineRule="auto"/>
        <w:ind w:left="480" w:hanging="480"/>
        <w:rPr>
          <w:rFonts w:ascii="Arial" w:hAnsi="Arial" w:cs="Arial"/>
          <w:sz w:val="24"/>
          <w:szCs w:val="24"/>
          <w:lang w:val="en-US"/>
        </w:rPr>
      </w:pPr>
      <w:proofErr w:type="gramStart"/>
      <w:r>
        <w:rPr>
          <w:rFonts w:ascii="Arial" w:hAnsi="Arial" w:cs="Arial"/>
          <w:sz w:val="24"/>
          <w:szCs w:val="24"/>
          <w:lang w:val="en-US"/>
        </w:rPr>
        <w:t>Kaukinen  H</w:t>
      </w:r>
      <w:proofErr w:type="gramEnd"/>
      <w:r>
        <w:rPr>
          <w:rFonts w:ascii="Arial" w:hAnsi="Arial" w:cs="Arial"/>
          <w:sz w:val="24"/>
          <w:szCs w:val="24"/>
          <w:lang w:val="en-US"/>
        </w:rPr>
        <w:t>, Aspegrén J, Hyyppä S, Tamm L y Salonen  J</w:t>
      </w:r>
      <w:r w:rsidRPr="00065198">
        <w:rPr>
          <w:rFonts w:ascii="Arial" w:hAnsi="Arial" w:cs="Arial"/>
          <w:sz w:val="24"/>
          <w:szCs w:val="24"/>
          <w:lang w:val="en-US"/>
        </w:rPr>
        <w:t xml:space="preserve">S. </w:t>
      </w:r>
      <w:proofErr w:type="gramStart"/>
      <w:r w:rsidRPr="00065198">
        <w:rPr>
          <w:rFonts w:ascii="Arial" w:hAnsi="Arial" w:cs="Arial"/>
          <w:sz w:val="24"/>
          <w:szCs w:val="24"/>
          <w:lang w:val="en-US"/>
        </w:rPr>
        <w:t>(2011). Bioavailability of detomidine administered sublingually to horses as an oromucosal gel.</w:t>
      </w:r>
      <w:proofErr w:type="gramEnd"/>
      <w:r w:rsidRPr="00065198">
        <w:rPr>
          <w:rFonts w:ascii="Arial" w:hAnsi="Arial" w:cs="Arial"/>
          <w:sz w:val="24"/>
          <w:szCs w:val="24"/>
          <w:lang w:val="en-US"/>
        </w:rPr>
        <w:t xml:space="preserve"> </w:t>
      </w:r>
      <w:proofErr w:type="gramStart"/>
      <w:r w:rsidRPr="00065198">
        <w:rPr>
          <w:rFonts w:ascii="Arial" w:hAnsi="Arial" w:cs="Arial"/>
          <w:i/>
          <w:iCs/>
          <w:sz w:val="24"/>
          <w:szCs w:val="24"/>
          <w:lang w:val="en-US"/>
        </w:rPr>
        <w:t>Journal of Veterinary Pharmacology and Therapeutics</w:t>
      </w:r>
      <w:r>
        <w:rPr>
          <w:rFonts w:ascii="Arial" w:hAnsi="Arial" w:cs="Arial"/>
          <w:sz w:val="24"/>
          <w:szCs w:val="24"/>
          <w:lang w:val="en-US"/>
        </w:rPr>
        <w:t>.</w:t>
      </w:r>
      <w:proofErr w:type="gramEnd"/>
      <w:r w:rsidRPr="00065198">
        <w:rPr>
          <w:rFonts w:ascii="Arial" w:hAnsi="Arial" w:cs="Arial"/>
          <w:sz w:val="24"/>
          <w:szCs w:val="24"/>
          <w:lang w:val="en-US"/>
        </w:rPr>
        <w:t xml:space="preserve"> </w:t>
      </w:r>
      <w:r>
        <w:rPr>
          <w:rFonts w:ascii="Arial" w:hAnsi="Arial" w:cs="Arial"/>
          <w:b/>
          <w:sz w:val="24"/>
          <w:szCs w:val="24"/>
          <w:lang w:val="en-US"/>
        </w:rPr>
        <w:t>34.</w:t>
      </w:r>
      <w:r>
        <w:rPr>
          <w:rFonts w:ascii="Arial" w:hAnsi="Arial" w:cs="Arial"/>
          <w:sz w:val="24"/>
          <w:szCs w:val="24"/>
          <w:lang w:val="en-US"/>
        </w:rPr>
        <w:t xml:space="preserve"> 76–81.</w:t>
      </w:r>
    </w:p>
    <w:p w:rsidR="00395B39" w:rsidRPr="00065198" w:rsidRDefault="00395B39" w:rsidP="00395B39">
      <w:pPr>
        <w:pStyle w:val="NormalWeb"/>
        <w:spacing w:line="360" w:lineRule="auto"/>
        <w:ind w:left="480" w:hanging="480"/>
        <w:rPr>
          <w:rFonts w:ascii="Arial" w:hAnsi="Arial" w:cs="Arial"/>
          <w:sz w:val="24"/>
          <w:szCs w:val="24"/>
          <w:lang w:val="en-US"/>
        </w:rPr>
      </w:pPr>
      <w:proofErr w:type="gramStart"/>
      <w:r>
        <w:rPr>
          <w:rFonts w:ascii="Arial" w:hAnsi="Arial" w:cs="Arial"/>
          <w:sz w:val="24"/>
          <w:szCs w:val="24"/>
          <w:lang w:val="en-US"/>
        </w:rPr>
        <w:t>Kamerling  SG</w:t>
      </w:r>
      <w:proofErr w:type="gramEnd"/>
      <w:r>
        <w:rPr>
          <w:rFonts w:ascii="Arial" w:hAnsi="Arial" w:cs="Arial"/>
          <w:sz w:val="24"/>
          <w:szCs w:val="24"/>
          <w:lang w:val="en-US"/>
        </w:rPr>
        <w:t>, Cravens  WMT y Bagwell  C</w:t>
      </w:r>
      <w:r w:rsidRPr="00065198">
        <w:rPr>
          <w:rFonts w:ascii="Arial" w:hAnsi="Arial" w:cs="Arial"/>
          <w:sz w:val="24"/>
          <w:szCs w:val="24"/>
          <w:lang w:val="en-US"/>
        </w:rPr>
        <w:t>A. (1988)</w:t>
      </w:r>
      <w:r>
        <w:rPr>
          <w:rFonts w:ascii="Arial" w:hAnsi="Arial" w:cs="Arial"/>
          <w:sz w:val="24"/>
          <w:szCs w:val="24"/>
          <w:lang w:val="en-US"/>
        </w:rPr>
        <w:t>.</w:t>
      </w:r>
      <w:r w:rsidRPr="00065198">
        <w:rPr>
          <w:rFonts w:ascii="Arial" w:hAnsi="Arial" w:cs="Arial"/>
          <w:sz w:val="24"/>
          <w:szCs w:val="24"/>
          <w:lang w:val="en-US"/>
        </w:rPr>
        <w:t xml:space="preserve"> </w:t>
      </w:r>
      <w:proofErr w:type="gramStart"/>
      <w:r w:rsidRPr="00065198">
        <w:rPr>
          <w:rFonts w:ascii="Arial" w:hAnsi="Arial" w:cs="Arial"/>
          <w:sz w:val="24"/>
          <w:szCs w:val="24"/>
          <w:lang w:val="en-US"/>
        </w:rPr>
        <w:t>Objective assessment of detomidine-induced analgesia and sedation in the horse.</w:t>
      </w:r>
      <w:proofErr w:type="gramEnd"/>
      <w:r w:rsidRPr="00065198">
        <w:rPr>
          <w:rFonts w:ascii="Arial" w:hAnsi="Arial" w:cs="Arial"/>
          <w:sz w:val="24"/>
          <w:szCs w:val="24"/>
          <w:lang w:val="en-US"/>
        </w:rPr>
        <w:t xml:space="preserve"> </w:t>
      </w:r>
      <w:proofErr w:type="gramStart"/>
      <w:r w:rsidRPr="00065198">
        <w:rPr>
          <w:rFonts w:ascii="Arial" w:hAnsi="Arial" w:cs="Arial"/>
          <w:i/>
          <w:sz w:val="24"/>
          <w:szCs w:val="24"/>
          <w:lang w:val="en-US"/>
        </w:rPr>
        <w:t>European Journal of Pharmacology</w:t>
      </w:r>
      <w:r>
        <w:rPr>
          <w:rFonts w:ascii="Arial" w:hAnsi="Arial" w:cs="Arial"/>
          <w:sz w:val="24"/>
          <w:szCs w:val="24"/>
          <w:lang w:val="en-US"/>
        </w:rPr>
        <w:t>.</w:t>
      </w:r>
      <w:proofErr w:type="gramEnd"/>
      <w:r w:rsidRPr="00065198">
        <w:rPr>
          <w:rFonts w:ascii="Arial" w:hAnsi="Arial" w:cs="Arial"/>
          <w:sz w:val="24"/>
          <w:szCs w:val="24"/>
          <w:lang w:val="en-US"/>
        </w:rPr>
        <w:t xml:space="preserve"> </w:t>
      </w:r>
      <w:r>
        <w:rPr>
          <w:rFonts w:ascii="Arial" w:hAnsi="Arial" w:cs="Arial"/>
          <w:b/>
          <w:sz w:val="24"/>
          <w:szCs w:val="24"/>
          <w:lang w:val="en-US"/>
        </w:rPr>
        <w:t>151.</w:t>
      </w:r>
      <w:r w:rsidRPr="00065198">
        <w:rPr>
          <w:rFonts w:ascii="Arial" w:hAnsi="Arial" w:cs="Arial"/>
          <w:sz w:val="24"/>
          <w:szCs w:val="24"/>
          <w:lang w:val="en-US"/>
        </w:rPr>
        <w:t xml:space="preserve"> 1–8.</w:t>
      </w:r>
    </w:p>
    <w:p w:rsidR="00395B39" w:rsidRPr="00065198" w:rsidRDefault="00395B39" w:rsidP="00395B39">
      <w:pPr>
        <w:pStyle w:val="NormalWeb"/>
        <w:spacing w:line="360" w:lineRule="auto"/>
        <w:ind w:left="480" w:hanging="480"/>
        <w:rPr>
          <w:rFonts w:ascii="Arial" w:hAnsi="Arial" w:cs="Arial"/>
          <w:sz w:val="24"/>
          <w:szCs w:val="24"/>
          <w:lang w:val="en-US"/>
        </w:rPr>
      </w:pPr>
      <w:proofErr w:type="gramStart"/>
      <w:r>
        <w:rPr>
          <w:rFonts w:ascii="Arial" w:hAnsi="Arial" w:cs="Arial"/>
          <w:sz w:val="24"/>
          <w:szCs w:val="24"/>
          <w:lang w:val="en-US"/>
        </w:rPr>
        <w:t>Knych  HK</w:t>
      </w:r>
      <w:proofErr w:type="gramEnd"/>
      <w:r>
        <w:rPr>
          <w:rFonts w:ascii="Arial" w:hAnsi="Arial" w:cs="Arial"/>
          <w:sz w:val="24"/>
          <w:szCs w:val="24"/>
          <w:lang w:val="en-US"/>
        </w:rPr>
        <w:t xml:space="preserve">  y Stanley  SD. </w:t>
      </w:r>
      <w:r w:rsidRPr="00065198">
        <w:rPr>
          <w:rFonts w:ascii="Arial" w:hAnsi="Arial" w:cs="Arial"/>
          <w:sz w:val="24"/>
          <w:szCs w:val="24"/>
          <w:lang w:val="en-US"/>
        </w:rPr>
        <w:t xml:space="preserve"> </w:t>
      </w:r>
      <w:proofErr w:type="gramStart"/>
      <w:r w:rsidRPr="00065198">
        <w:rPr>
          <w:rFonts w:ascii="Arial" w:hAnsi="Arial" w:cs="Arial"/>
          <w:sz w:val="24"/>
          <w:szCs w:val="24"/>
          <w:lang w:val="en-US"/>
        </w:rPr>
        <w:t>(2014)</w:t>
      </w:r>
      <w:r>
        <w:rPr>
          <w:rFonts w:ascii="Arial" w:hAnsi="Arial" w:cs="Arial"/>
          <w:sz w:val="24"/>
          <w:szCs w:val="24"/>
          <w:lang w:val="en-US"/>
        </w:rPr>
        <w:t>.</w:t>
      </w:r>
      <w:r w:rsidRPr="00065198">
        <w:rPr>
          <w:rFonts w:ascii="Arial" w:hAnsi="Arial" w:cs="Arial"/>
          <w:sz w:val="24"/>
          <w:szCs w:val="24"/>
          <w:lang w:val="en-US"/>
        </w:rPr>
        <w:t xml:space="preserve"> Effects of three antagonists on selected pharmacodynamic effects of sublingually administered detomidine in the horse.</w:t>
      </w:r>
      <w:proofErr w:type="gramEnd"/>
      <w:r w:rsidRPr="00065198">
        <w:rPr>
          <w:rFonts w:ascii="Arial" w:hAnsi="Arial" w:cs="Arial"/>
          <w:sz w:val="24"/>
          <w:szCs w:val="24"/>
          <w:lang w:val="en-US"/>
        </w:rPr>
        <w:t xml:space="preserve"> </w:t>
      </w:r>
      <w:r w:rsidRPr="00065198">
        <w:rPr>
          <w:rFonts w:ascii="Arial" w:hAnsi="Arial" w:cs="Arial"/>
          <w:i/>
          <w:iCs/>
          <w:sz w:val="24"/>
          <w:szCs w:val="24"/>
          <w:lang w:val="en-US"/>
        </w:rPr>
        <w:t>Veterinary Anaesthesia and Analgesia</w:t>
      </w:r>
      <w:r>
        <w:rPr>
          <w:rFonts w:ascii="Arial" w:hAnsi="Arial" w:cs="Arial"/>
          <w:sz w:val="24"/>
          <w:szCs w:val="24"/>
          <w:lang w:val="en-US"/>
        </w:rPr>
        <w:t xml:space="preserve">. </w:t>
      </w:r>
      <w:r w:rsidRPr="00065198">
        <w:rPr>
          <w:rFonts w:ascii="Arial" w:hAnsi="Arial" w:cs="Arial"/>
          <w:sz w:val="24"/>
          <w:szCs w:val="24"/>
          <w:lang w:val="en-US"/>
        </w:rPr>
        <w:t xml:space="preserve"> </w:t>
      </w:r>
      <w:r>
        <w:rPr>
          <w:rFonts w:ascii="Arial" w:hAnsi="Arial" w:cs="Arial"/>
          <w:b/>
          <w:sz w:val="24"/>
          <w:szCs w:val="24"/>
          <w:lang w:val="en-US"/>
        </w:rPr>
        <w:t>41.</w:t>
      </w:r>
      <w:r w:rsidRPr="00065198">
        <w:rPr>
          <w:rFonts w:ascii="Arial" w:hAnsi="Arial" w:cs="Arial"/>
          <w:sz w:val="24"/>
          <w:szCs w:val="24"/>
          <w:lang w:val="en-US"/>
        </w:rPr>
        <w:t xml:space="preserve"> 36–47.</w:t>
      </w:r>
    </w:p>
    <w:p w:rsidR="00395B39" w:rsidRPr="00065198" w:rsidRDefault="00395B39" w:rsidP="00395B39">
      <w:pPr>
        <w:pStyle w:val="NormalWeb"/>
        <w:spacing w:line="360" w:lineRule="auto"/>
        <w:ind w:left="480" w:hanging="480"/>
        <w:rPr>
          <w:rFonts w:ascii="Arial" w:hAnsi="Arial" w:cs="Arial"/>
          <w:b/>
          <w:sz w:val="24"/>
          <w:szCs w:val="24"/>
          <w:lang w:val="en-US"/>
        </w:rPr>
      </w:pPr>
      <w:proofErr w:type="gramStart"/>
      <w:r>
        <w:rPr>
          <w:rFonts w:ascii="Arial" w:hAnsi="Arial" w:cs="Arial"/>
          <w:sz w:val="24"/>
          <w:szCs w:val="24"/>
          <w:lang w:val="en-US"/>
        </w:rPr>
        <w:t>Knych  HK</w:t>
      </w:r>
      <w:proofErr w:type="gramEnd"/>
      <w:r>
        <w:rPr>
          <w:rFonts w:ascii="Arial" w:hAnsi="Arial" w:cs="Arial"/>
          <w:sz w:val="24"/>
          <w:szCs w:val="24"/>
          <w:lang w:val="en-US"/>
        </w:rPr>
        <w:t xml:space="preserve">, Steffey  EP  y Stanley  SD. </w:t>
      </w:r>
      <w:r w:rsidRPr="00065198">
        <w:rPr>
          <w:rFonts w:ascii="Arial" w:hAnsi="Arial" w:cs="Arial"/>
          <w:sz w:val="24"/>
          <w:szCs w:val="24"/>
          <w:lang w:val="en-US"/>
        </w:rPr>
        <w:t xml:space="preserve"> (2012)</w:t>
      </w:r>
      <w:r>
        <w:rPr>
          <w:rFonts w:ascii="Arial" w:hAnsi="Arial" w:cs="Arial"/>
          <w:sz w:val="24"/>
          <w:szCs w:val="24"/>
          <w:lang w:val="en-US"/>
        </w:rPr>
        <w:t>.</w:t>
      </w:r>
      <w:r w:rsidRPr="00065198">
        <w:rPr>
          <w:rFonts w:ascii="Arial" w:hAnsi="Arial" w:cs="Arial"/>
          <w:sz w:val="24"/>
          <w:szCs w:val="24"/>
          <w:lang w:val="en-US"/>
        </w:rPr>
        <w:t xml:space="preserve"> </w:t>
      </w:r>
      <w:proofErr w:type="gramStart"/>
      <w:r w:rsidRPr="00065198">
        <w:rPr>
          <w:rFonts w:ascii="Arial" w:hAnsi="Arial" w:cs="Arial"/>
          <w:sz w:val="24"/>
          <w:szCs w:val="24"/>
          <w:lang w:val="en-US"/>
        </w:rPr>
        <w:t>The</w:t>
      </w:r>
      <w:proofErr w:type="gramEnd"/>
      <w:r w:rsidRPr="00065198">
        <w:rPr>
          <w:rFonts w:ascii="Arial" w:hAnsi="Arial" w:cs="Arial"/>
          <w:sz w:val="24"/>
          <w:szCs w:val="24"/>
          <w:lang w:val="en-US"/>
        </w:rPr>
        <w:t xml:space="preserve"> effects of yohimbine on the pharmacokinetic parameters of detomidine in the horse. </w:t>
      </w:r>
      <w:r w:rsidRPr="00065198">
        <w:rPr>
          <w:rFonts w:ascii="Arial" w:hAnsi="Arial" w:cs="Arial"/>
          <w:i/>
          <w:iCs/>
          <w:sz w:val="24"/>
          <w:szCs w:val="24"/>
          <w:lang w:val="en-US"/>
        </w:rPr>
        <w:t>Veterinary Anaesthesia and Analgesia</w:t>
      </w:r>
      <w:r>
        <w:rPr>
          <w:rFonts w:ascii="Arial" w:hAnsi="Arial" w:cs="Arial"/>
          <w:sz w:val="24"/>
          <w:szCs w:val="24"/>
          <w:lang w:val="en-US"/>
        </w:rPr>
        <w:t>.</w:t>
      </w:r>
      <w:r w:rsidRPr="00065198">
        <w:rPr>
          <w:rFonts w:ascii="Arial" w:hAnsi="Arial" w:cs="Arial"/>
          <w:sz w:val="24"/>
          <w:szCs w:val="24"/>
          <w:lang w:val="en-US"/>
        </w:rPr>
        <w:t xml:space="preserve"> </w:t>
      </w:r>
      <w:r>
        <w:rPr>
          <w:rFonts w:ascii="Arial" w:hAnsi="Arial" w:cs="Arial"/>
          <w:b/>
          <w:sz w:val="24"/>
          <w:szCs w:val="24"/>
          <w:lang w:val="en-US"/>
        </w:rPr>
        <w:t>39.</w:t>
      </w:r>
      <w:r w:rsidRPr="00065198">
        <w:rPr>
          <w:rFonts w:ascii="Arial" w:hAnsi="Arial" w:cs="Arial"/>
          <w:sz w:val="24"/>
          <w:szCs w:val="24"/>
          <w:lang w:val="en-US"/>
        </w:rPr>
        <w:t xml:space="preserve"> 221–229.</w:t>
      </w:r>
    </w:p>
    <w:p w:rsidR="00395B39" w:rsidRPr="00065198" w:rsidRDefault="00395B39" w:rsidP="00395B39">
      <w:pPr>
        <w:pStyle w:val="NormalWeb"/>
        <w:spacing w:line="360" w:lineRule="auto"/>
        <w:ind w:left="480" w:hanging="480"/>
        <w:rPr>
          <w:rFonts w:ascii="Arial" w:hAnsi="Arial" w:cs="Arial"/>
          <w:sz w:val="24"/>
          <w:szCs w:val="24"/>
          <w:lang w:val="en-US"/>
        </w:rPr>
      </w:pPr>
      <w:r>
        <w:rPr>
          <w:rFonts w:ascii="Arial" w:hAnsi="Arial" w:cs="Arial"/>
          <w:sz w:val="24"/>
          <w:szCs w:val="24"/>
          <w:lang w:val="en-US"/>
        </w:rPr>
        <w:t>Kollias-</w:t>
      </w:r>
      <w:proofErr w:type="gramStart"/>
      <w:r>
        <w:rPr>
          <w:rFonts w:ascii="Arial" w:hAnsi="Arial" w:cs="Arial"/>
          <w:sz w:val="24"/>
          <w:szCs w:val="24"/>
          <w:lang w:val="en-US"/>
        </w:rPr>
        <w:t>Baker  CA</w:t>
      </w:r>
      <w:proofErr w:type="gramEnd"/>
      <w:r>
        <w:rPr>
          <w:rFonts w:ascii="Arial" w:hAnsi="Arial" w:cs="Arial"/>
          <w:sz w:val="24"/>
          <w:szCs w:val="24"/>
          <w:lang w:val="en-US"/>
        </w:rPr>
        <w:t>, Court  MH, y Willimas  L</w:t>
      </w:r>
      <w:r w:rsidRPr="00065198">
        <w:rPr>
          <w:rFonts w:ascii="Arial" w:hAnsi="Arial" w:cs="Arial"/>
          <w:sz w:val="24"/>
          <w:szCs w:val="24"/>
          <w:lang w:val="en-US"/>
        </w:rPr>
        <w:t>L. (1993)</w:t>
      </w:r>
      <w:r>
        <w:rPr>
          <w:rFonts w:ascii="Arial" w:hAnsi="Arial" w:cs="Arial"/>
          <w:sz w:val="24"/>
          <w:szCs w:val="24"/>
          <w:lang w:val="en-US"/>
        </w:rPr>
        <w:t>.</w:t>
      </w:r>
      <w:r w:rsidRPr="00065198">
        <w:rPr>
          <w:rFonts w:ascii="Arial" w:hAnsi="Arial" w:cs="Arial"/>
          <w:sz w:val="24"/>
          <w:szCs w:val="24"/>
          <w:lang w:val="en-US"/>
        </w:rPr>
        <w:t xml:space="preserve"> Influence of yohimbine and tolazoline on the cardiovascular, respiratory, and sedative effects of xylazine in the horse. Journal of Veterinary</w:t>
      </w:r>
      <w:r>
        <w:rPr>
          <w:rFonts w:ascii="Arial" w:hAnsi="Arial" w:cs="Arial"/>
          <w:sz w:val="24"/>
          <w:szCs w:val="24"/>
          <w:lang w:val="en-US"/>
        </w:rPr>
        <w:t xml:space="preserve"> </w:t>
      </w:r>
      <w:proofErr w:type="gramStart"/>
      <w:r>
        <w:rPr>
          <w:rFonts w:ascii="Arial" w:hAnsi="Arial" w:cs="Arial"/>
          <w:sz w:val="24"/>
          <w:szCs w:val="24"/>
          <w:lang w:val="en-US"/>
        </w:rPr>
        <w:t>Pharmacology  and</w:t>
      </w:r>
      <w:proofErr w:type="gramEnd"/>
      <w:r>
        <w:rPr>
          <w:rFonts w:ascii="Arial" w:hAnsi="Arial" w:cs="Arial"/>
          <w:sz w:val="24"/>
          <w:szCs w:val="24"/>
          <w:lang w:val="en-US"/>
        </w:rPr>
        <w:t xml:space="preserve"> Therapeutics.</w:t>
      </w:r>
      <w:r w:rsidRPr="00065198">
        <w:rPr>
          <w:rFonts w:ascii="Arial" w:hAnsi="Arial" w:cs="Arial"/>
          <w:sz w:val="24"/>
          <w:szCs w:val="24"/>
          <w:lang w:val="en-US"/>
        </w:rPr>
        <w:t xml:space="preserve"> </w:t>
      </w:r>
      <w:r>
        <w:rPr>
          <w:rFonts w:ascii="Arial" w:hAnsi="Arial" w:cs="Arial"/>
          <w:b/>
          <w:sz w:val="24"/>
          <w:szCs w:val="24"/>
          <w:lang w:val="en-US"/>
        </w:rPr>
        <w:t>16.</w:t>
      </w:r>
      <w:r w:rsidRPr="00065198">
        <w:rPr>
          <w:rFonts w:ascii="Arial" w:hAnsi="Arial" w:cs="Arial"/>
          <w:sz w:val="24"/>
          <w:szCs w:val="24"/>
          <w:lang w:val="en-US"/>
        </w:rPr>
        <w:t xml:space="preserve"> 350–358.</w:t>
      </w:r>
    </w:p>
    <w:p w:rsidR="00395B39" w:rsidRPr="00065198" w:rsidRDefault="00395B39" w:rsidP="00395B39">
      <w:pPr>
        <w:pStyle w:val="NormalWeb"/>
        <w:spacing w:line="360" w:lineRule="auto"/>
        <w:ind w:left="480" w:hanging="480"/>
        <w:rPr>
          <w:rFonts w:ascii="Arial" w:hAnsi="Arial" w:cs="Arial"/>
          <w:sz w:val="24"/>
          <w:szCs w:val="24"/>
          <w:lang w:val="en-US"/>
        </w:rPr>
      </w:pPr>
      <w:proofErr w:type="gramStart"/>
      <w:r>
        <w:rPr>
          <w:rFonts w:ascii="Arial" w:hAnsi="Arial" w:cs="Arial"/>
          <w:sz w:val="24"/>
          <w:szCs w:val="24"/>
          <w:lang w:val="en-US"/>
        </w:rPr>
        <w:t>LeCorre  P</w:t>
      </w:r>
      <w:proofErr w:type="gramEnd"/>
      <w:r>
        <w:rPr>
          <w:rFonts w:ascii="Arial" w:hAnsi="Arial" w:cs="Arial"/>
          <w:sz w:val="24"/>
          <w:szCs w:val="24"/>
          <w:lang w:val="en-US"/>
        </w:rPr>
        <w:t xml:space="preserve">, Dollo  G, Chevanne  F  y  LeVerge  R </w:t>
      </w:r>
      <w:r w:rsidRPr="00065198">
        <w:rPr>
          <w:rFonts w:ascii="Arial" w:hAnsi="Arial" w:cs="Arial"/>
          <w:sz w:val="24"/>
          <w:szCs w:val="24"/>
          <w:lang w:val="en-US"/>
        </w:rPr>
        <w:t xml:space="preserve"> (1999)</w:t>
      </w:r>
      <w:r>
        <w:rPr>
          <w:rFonts w:ascii="Arial" w:hAnsi="Arial" w:cs="Arial"/>
          <w:sz w:val="24"/>
          <w:szCs w:val="24"/>
          <w:lang w:val="en-US"/>
        </w:rPr>
        <w:t>.</w:t>
      </w:r>
      <w:r w:rsidRPr="00065198">
        <w:rPr>
          <w:rFonts w:ascii="Arial" w:hAnsi="Arial" w:cs="Arial"/>
          <w:sz w:val="24"/>
          <w:szCs w:val="24"/>
          <w:lang w:val="en-US"/>
        </w:rPr>
        <w:t xml:space="preserve"> </w:t>
      </w:r>
      <w:proofErr w:type="gramStart"/>
      <w:r w:rsidRPr="00065198">
        <w:rPr>
          <w:rFonts w:ascii="Arial" w:hAnsi="Arial" w:cs="Arial"/>
          <w:sz w:val="24"/>
          <w:szCs w:val="24"/>
          <w:lang w:val="en-US"/>
        </w:rPr>
        <w:t>Biopharmaceutics and metabolism of yohimbine in humans.</w:t>
      </w:r>
      <w:proofErr w:type="gramEnd"/>
      <w:r w:rsidRPr="00065198">
        <w:rPr>
          <w:rFonts w:ascii="Arial" w:hAnsi="Arial" w:cs="Arial"/>
          <w:sz w:val="24"/>
          <w:szCs w:val="24"/>
          <w:lang w:val="en-US"/>
        </w:rPr>
        <w:t xml:space="preserve"> </w:t>
      </w:r>
      <w:proofErr w:type="gramStart"/>
      <w:r w:rsidRPr="00065198">
        <w:rPr>
          <w:rFonts w:ascii="Arial" w:hAnsi="Arial" w:cs="Arial"/>
          <w:i/>
          <w:sz w:val="24"/>
          <w:szCs w:val="24"/>
          <w:lang w:val="en-US"/>
        </w:rPr>
        <w:t>European Journal of Pharmaceutical Science</w:t>
      </w:r>
      <w:r>
        <w:rPr>
          <w:rFonts w:ascii="Arial" w:hAnsi="Arial" w:cs="Arial"/>
          <w:sz w:val="24"/>
          <w:szCs w:val="24"/>
          <w:lang w:val="en-US"/>
        </w:rPr>
        <w:t>.</w:t>
      </w:r>
      <w:proofErr w:type="gramEnd"/>
      <w:r>
        <w:rPr>
          <w:rFonts w:ascii="Arial" w:hAnsi="Arial" w:cs="Arial"/>
          <w:sz w:val="24"/>
          <w:szCs w:val="24"/>
          <w:lang w:val="en-US"/>
        </w:rPr>
        <w:t xml:space="preserve"> </w:t>
      </w:r>
      <w:r>
        <w:rPr>
          <w:rFonts w:ascii="Arial" w:hAnsi="Arial" w:cs="Arial"/>
          <w:b/>
          <w:sz w:val="24"/>
          <w:szCs w:val="24"/>
          <w:lang w:val="en-US"/>
        </w:rPr>
        <w:t>9.</w:t>
      </w:r>
      <w:r w:rsidRPr="00065198">
        <w:rPr>
          <w:rFonts w:ascii="Arial" w:hAnsi="Arial" w:cs="Arial"/>
          <w:b/>
          <w:sz w:val="24"/>
          <w:szCs w:val="24"/>
          <w:lang w:val="en-US"/>
        </w:rPr>
        <w:t xml:space="preserve"> </w:t>
      </w:r>
      <w:r>
        <w:rPr>
          <w:rFonts w:ascii="Arial" w:hAnsi="Arial" w:cs="Arial"/>
          <w:sz w:val="24"/>
          <w:szCs w:val="24"/>
          <w:lang w:val="en-US"/>
        </w:rPr>
        <w:t>79–84.</w:t>
      </w:r>
      <w:r w:rsidRPr="00065198">
        <w:rPr>
          <w:rFonts w:ascii="Arial" w:hAnsi="Arial" w:cs="Arial"/>
          <w:sz w:val="24"/>
          <w:szCs w:val="24"/>
          <w:lang w:val="en-US"/>
        </w:rPr>
        <w:t xml:space="preserve"> </w:t>
      </w:r>
    </w:p>
    <w:p w:rsidR="00395B39" w:rsidRPr="00065198" w:rsidRDefault="00395B39" w:rsidP="00395B39">
      <w:pPr>
        <w:pStyle w:val="NormalWeb"/>
        <w:spacing w:line="360" w:lineRule="auto"/>
        <w:ind w:left="480" w:hanging="480"/>
        <w:rPr>
          <w:rFonts w:ascii="Arial" w:hAnsi="Arial" w:cs="Arial"/>
          <w:sz w:val="24"/>
          <w:szCs w:val="24"/>
          <w:lang w:val="en-US"/>
        </w:rPr>
      </w:pPr>
      <w:r>
        <w:rPr>
          <w:rFonts w:ascii="Arial" w:hAnsi="Arial" w:cs="Arial"/>
          <w:sz w:val="24"/>
          <w:szCs w:val="24"/>
          <w:lang w:val="en-US"/>
        </w:rPr>
        <w:lastRenderedPageBreak/>
        <w:t xml:space="preserve">Mama KR, Grimsrud K, Snell T y </w:t>
      </w:r>
      <w:proofErr w:type="gramStart"/>
      <w:r>
        <w:rPr>
          <w:rFonts w:ascii="Arial" w:hAnsi="Arial" w:cs="Arial"/>
          <w:sz w:val="24"/>
          <w:szCs w:val="24"/>
          <w:lang w:val="en-US"/>
        </w:rPr>
        <w:t>Stanley  S</w:t>
      </w:r>
      <w:proofErr w:type="gramEnd"/>
      <w:r>
        <w:rPr>
          <w:rFonts w:ascii="Arial" w:hAnsi="Arial" w:cs="Arial"/>
          <w:sz w:val="24"/>
          <w:szCs w:val="24"/>
          <w:lang w:val="en-US"/>
        </w:rPr>
        <w:t xml:space="preserve"> </w:t>
      </w:r>
      <w:r w:rsidRPr="00065198">
        <w:rPr>
          <w:rFonts w:ascii="Arial" w:hAnsi="Arial" w:cs="Arial"/>
          <w:sz w:val="24"/>
          <w:szCs w:val="24"/>
          <w:lang w:val="en-US"/>
        </w:rPr>
        <w:t xml:space="preserve"> (2009)</w:t>
      </w:r>
      <w:r>
        <w:rPr>
          <w:rFonts w:ascii="Arial" w:hAnsi="Arial" w:cs="Arial"/>
          <w:sz w:val="24"/>
          <w:szCs w:val="24"/>
          <w:lang w:val="en-US"/>
        </w:rPr>
        <w:t>.</w:t>
      </w:r>
      <w:r w:rsidRPr="00065198">
        <w:rPr>
          <w:rFonts w:ascii="Arial" w:hAnsi="Arial" w:cs="Arial"/>
          <w:sz w:val="24"/>
          <w:szCs w:val="24"/>
          <w:lang w:val="en-US"/>
        </w:rPr>
        <w:t xml:space="preserve"> </w:t>
      </w:r>
      <w:proofErr w:type="gramStart"/>
      <w:r w:rsidRPr="00065198">
        <w:rPr>
          <w:rFonts w:ascii="Arial" w:hAnsi="Arial" w:cs="Arial"/>
          <w:sz w:val="24"/>
          <w:szCs w:val="24"/>
          <w:lang w:val="en-US"/>
        </w:rPr>
        <w:t>Plasma concentrations, behavioural and physiologic effects following intravenous and intramuscular detomidine in horses.</w:t>
      </w:r>
      <w:proofErr w:type="gramEnd"/>
      <w:r w:rsidRPr="00065198">
        <w:rPr>
          <w:rFonts w:ascii="Arial" w:hAnsi="Arial" w:cs="Arial"/>
          <w:sz w:val="24"/>
          <w:szCs w:val="24"/>
          <w:lang w:val="en-US"/>
        </w:rPr>
        <w:t xml:space="preserve"> </w:t>
      </w:r>
      <w:proofErr w:type="gramStart"/>
      <w:r w:rsidRPr="00065198">
        <w:rPr>
          <w:rFonts w:ascii="Arial" w:hAnsi="Arial" w:cs="Arial"/>
          <w:i/>
          <w:sz w:val="24"/>
          <w:szCs w:val="24"/>
          <w:lang w:val="en-US"/>
        </w:rPr>
        <w:t>Equine Veterinary Journal</w:t>
      </w:r>
      <w:r>
        <w:rPr>
          <w:rFonts w:ascii="Arial" w:hAnsi="Arial" w:cs="Arial"/>
          <w:sz w:val="24"/>
          <w:szCs w:val="24"/>
          <w:lang w:val="en-US"/>
        </w:rPr>
        <w:t>.</w:t>
      </w:r>
      <w:proofErr w:type="gramEnd"/>
      <w:r>
        <w:rPr>
          <w:rFonts w:ascii="Arial" w:hAnsi="Arial" w:cs="Arial"/>
          <w:sz w:val="24"/>
          <w:szCs w:val="24"/>
          <w:lang w:val="en-US"/>
        </w:rPr>
        <w:t xml:space="preserve"> </w:t>
      </w:r>
      <w:r>
        <w:rPr>
          <w:rFonts w:ascii="Arial" w:hAnsi="Arial" w:cs="Arial"/>
          <w:b/>
          <w:sz w:val="24"/>
          <w:szCs w:val="24"/>
          <w:lang w:val="en-US"/>
        </w:rPr>
        <w:t>41.</w:t>
      </w:r>
      <w:r w:rsidRPr="00065198">
        <w:rPr>
          <w:rFonts w:ascii="Arial" w:hAnsi="Arial" w:cs="Arial"/>
          <w:sz w:val="24"/>
          <w:szCs w:val="24"/>
          <w:lang w:val="en-US"/>
        </w:rPr>
        <w:t xml:space="preserve"> 772–777.</w:t>
      </w:r>
    </w:p>
    <w:p w:rsidR="00395B39" w:rsidRPr="00065198" w:rsidRDefault="00395B39" w:rsidP="00395B39">
      <w:pPr>
        <w:pStyle w:val="NormalWeb"/>
        <w:spacing w:line="360" w:lineRule="auto"/>
        <w:ind w:left="480" w:hanging="480"/>
        <w:rPr>
          <w:rFonts w:ascii="Arial" w:hAnsi="Arial" w:cs="Arial"/>
          <w:sz w:val="24"/>
          <w:szCs w:val="24"/>
          <w:lang w:val="en-US"/>
        </w:rPr>
      </w:pPr>
      <w:r w:rsidRPr="000942DC">
        <w:rPr>
          <w:rFonts w:ascii="Arial" w:hAnsi="Arial" w:cs="Arial"/>
          <w:sz w:val="24"/>
          <w:szCs w:val="24"/>
        </w:rPr>
        <w:t xml:space="preserve">Oda S, Fuji ura H y Sasaki Y. (1991). </w:t>
      </w:r>
      <w:proofErr w:type="gramStart"/>
      <w:r w:rsidRPr="00065198">
        <w:rPr>
          <w:rFonts w:ascii="Arial" w:hAnsi="Arial" w:cs="Arial"/>
          <w:sz w:val="24"/>
          <w:szCs w:val="24"/>
          <w:lang w:val="en-US"/>
        </w:rPr>
        <w:t>Alpha-2 adrenergic modulation of glucagon and insulin secretions in sheep.</w:t>
      </w:r>
      <w:proofErr w:type="gramEnd"/>
      <w:r w:rsidRPr="00065198">
        <w:rPr>
          <w:rFonts w:ascii="Arial" w:hAnsi="Arial" w:cs="Arial"/>
          <w:sz w:val="24"/>
          <w:szCs w:val="24"/>
          <w:lang w:val="en-US"/>
        </w:rPr>
        <w:t xml:space="preserve"> </w:t>
      </w:r>
      <w:r>
        <w:rPr>
          <w:rFonts w:ascii="Arial" w:hAnsi="Arial" w:cs="Arial"/>
          <w:i/>
          <w:sz w:val="24"/>
          <w:szCs w:val="24"/>
          <w:lang w:val="en-US"/>
        </w:rPr>
        <w:t>Tohoku J Exp Med.</w:t>
      </w:r>
      <w:r w:rsidRPr="00065198">
        <w:rPr>
          <w:rFonts w:ascii="Arial" w:hAnsi="Arial" w:cs="Arial"/>
          <w:i/>
          <w:sz w:val="24"/>
          <w:szCs w:val="24"/>
          <w:lang w:val="en-US"/>
        </w:rPr>
        <w:t xml:space="preserve"> </w:t>
      </w:r>
      <w:r>
        <w:rPr>
          <w:rFonts w:ascii="Arial" w:hAnsi="Arial" w:cs="Arial"/>
          <w:b/>
          <w:sz w:val="24"/>
          <w:szCs w:val="24"/>
          <w:lang w:val="en-US"/>
        </w:rPr>
        <w:t>163.</w:t>
      </w:r>
      <w:r>
        <w:rPr>
          <w:rFonts w:ascii="Arial" w:hAnsi="Arial" w:cs="Arial"/>
          <w:sz w:val="24"/>
          <w:szCs w:val="24"/>
          <w:lang w:val="en-US"/>
        </w:rPr>
        <w:t xml:space="preserve"> 101-110.</w:t>
      </w:r>
    </w:p>
    <w:p w:rsidR="00395B39" w:rsidRPr="00065198" w:rsidRDefault="00395B39" w:rsidP="00395B39">
      <w:pPr>
        <w:pStyle w:val="NormalWeb"/>
        <w:spacing w:line="360" w:lineRule="auto"/>
        <w:ind w:left="480" w:hanging="480"/>
        <w:rPr>
          <w:rFonts w:ascii="Arial" w:hAnsi="Arial" w:cs="Arial"/>
          <w:sz w:val="24"/>
          <w:szCs w:val="24"/>
          <w:lang w:val="en-US"/>
        </w:rPr>
      </w:pPr>
      <w:r>
        <w:rPr>
          <w:rFonts w:ascii="Arial" w:hAnsi="Arial" w:cs="Arial"/>
          <w:sz w:val="24"/>
          <w:szCs w:val="24"/>
          <w:lang w:val="en-US"/>
        </w:rPr>
        <w:t>Ramseyer B, Schmucker N</w:t>
      </w:r>
      <w:proofErr w:type="gramStart"/>
      <w:r>
        <w:rPr>
          <w:rFonts w:ascii="Arial" w:hAnsi="Arial" w:cs="Arial"/>
          <w:sz w:val="24"/>
          <w:szCs w:val="24"/>
          <w:lang w:val="en-US"/>
        </w:rPr>
        <w:t>,  Schatzmann</w:t>
      </w:r>
      <w:proofErr w:type="gramEnd"/>
      <w:r>
        <w:rPr>
          <w:rFonts w:ascii="Arial" w:hAnsi="Arial" w:cs="Arial"/>
          <w:sz w:val="24"/>
          <w:szCs w:val="24"/>
          <w:lang w:val="en-US"/>
        </w:rPr>
        <w:t xml:space="preserve"> U y Busato A y</w:t>
      </w:r>
      <w:r w:rsidRPr="00065198">
        <w:rPr>
          <w:rFonts w:ascii="Arial" w:hAnsi="Arial" w:cs="Arial"/>
          <w:sz w:val="24"/>
          <w:szCs w:val="24"/>
          <w:lang w:val="en-US"/>
        </w:rPr>
        <w:t xml:space="preserve"> Moens Y. (1998)</w:t>
      </w:r>
      <w:r>
        <w:rPr>
          <w:rFonts w:ascii="Arial" w:hAnsi="Arial" w:cs="Arial"/>
          <w:sz w:val="24"/>
          <w:szCs w:val="24"/>
          <w:lang w:val="en-US"/>
        </w:rPr>
        <w:t xml:space="preserve">. </w:t>
      </w:r>
      <w:r w:rsidRPr="00065198">
        <w:rPr>
          <w:rFonts w:ascii="Arial" w:hAnsi="Arial" w:cs="Arial"/>
          <w:sz w:val="24"/>
          <w:szCs w:val="24"/>
          <w:lang w:val="en-US"/>
        </w:rPr>
        <w:t xml:space="preserve"> </w:t>
      </w:r>
      <w:proofErr w:type="gramStart"/>
      <w:r w:rsidRPr="00065198">
        <w:rPr>
          <w:rFonts w:ascii="Arial" w:hAnsi="Arial" w:cs="Arial"/>
          <w:sz w:val="24"/>
          <w:szCs w:val="24"/>
          <w:lang w:val="en-US"/>
        </w:rPr>
        <w:t xml:space="preserve">Antagonism of detomidine sedation with atipamezole </w:t>
      </w:r>
      <w:r>
        <w:rPr>
          <w:rFonts w:ascii="Arial" w:hAnsi="Arial" w:cs="Arial"/>
          <w:sz w:val="24"/>
          <w:szCs w:val="24"/>
          <w:lang w:val="en-US"/>
        </w:rPr>
        <w:t>in horses.</w:t>
      </w:r>
      <w:proofErr w:type="gramEnd"/>
      <w:r>
        <w:rPr>
          <w:rFonts w:ascii="Arial" w:hAnsi="Arial" w:cs="Arial"/>
          <w:sz w:val="24"/>
          <w:szCs w:val="24"/>
          <w:lang w:val="en-US"/>
        </w:rPr>
        <w:t xml:space="preserve"> </w:t>
      </w:r>
      <w:proofErr w:type="gramStart"/>
      <w:r>
        <w:rPr>
          <w:rFonts w:ascii="Arial" w:hAnsi="Arial" w:cs="Arial"/>
          <w:sz w:val="24"/>
          <w:szCs w:val="24"/>
          <w:lang w:val="en-US"/>
        </w:rPr>
        <w:t>J Vet Anaesth.</w:t>
      </w:r>
      <w:proofErr w:type="gramEnd"/>
      <w:r>
        <w:rPr>
          <w:rFonts w:ascii="Arial" w:hAnsi="Arial" w:cs="Arial"/>
          <w:sz w:val="24"/>
          <w:szCs w:val="24"/>
          <w:lang w:val="en-US"/>
        </w:rPr>
        <w:t xml:space="preserve"> 25.</w:t>
      </w:r>
      <w:r w:rsidRPr="00065198">
        <w:rPr>
          <w:rFonts w:ascii="Arial" w:hAnsi="Arial" w:cs="Arial"/>
          <w:sz w:val="24"/>
          <w:szCs w:val="24"/>
          <w:lang w:val="en-US"/>
        </w:rPr>
        <w:t xml:space="preserve"> 47–51.</w:t>
      </w:r>
    </w:p>
    <w:p w:rsidR="00395B39" w:rsidRPr="00065198" w:rsidRDefault="00395B39" w:rsidP="00395B39">
      <w:pPr>
        <w:pStyle w:val="NormalWeb"/>
        <w:spacing w:line="360" w:lineRule="auto"/>
        <w:ind w:left="480" w:hanging="480"/>
        <w:rPr>
          <w:rFonts w:ascii="Arial" w:hAnsi="Arial" w:cs="Arial"/>
          <w:sz w:val="24"/>
          <w:szCs w:val="24"/>
          <w:lang w:val="en-US"/>
        </w:rPr>
      </w:pPr>
      <w:r w:rsidRPr="000B0747">
        <w:rPr>
          <w:rFonts w:ascii="Arial" w:hAnsi="Arial" w:cs="Arial"/>
          <w:sz w:val="24"/>
          <w:szCs w:val="24"/>
        </w:rPr>
        <w:t>Salonen  J</w:t>
      </w:r>
      <w:r>
        <w:rPr>
          <w:rFonts w:ascii="Arial" w:hAnsi="Arial" w:cs="Arial"/>
          <w:sz w:val="24"/>
          <w:szCs w:val="24"/>
        </w:rPr>
        <w:t>S, Vähä-Vahe T, Vainio</w:t>
      </w:r>
      <w:r w:rsidRPr="000B0747">
        <w:rPr>
          <w:rFonts w:ascii="Arial" w:hAnsi="Arial" w:cs="Arial"/>
          <w:sz w:val="24"/>
          <w:szCs w:val="24"/>
        </w:rPr>
        <w:t xml:space="preserve"> O y Vakkuri O. (1989). </w:t>
      </w:r>
      <w:proofErr w:type="gramStart"/>
      <w:r w:rsidRPr="00065198">
        <w:rPr>
          <w:rFonts w:ascii="Arial" w:hAnsi="Arial" w:cs="Arial"/>
          <w:sz w:val="24"/>
          <w:szCs w:val="24"/>
          <w:lang w:val="en-US"/>
        </w:rPr>
        <w:t>Single-dose pharmacokinetics of detomidine in the horse and cow.</w:t>
      </w:r>
      <w:proofErr w:type="gramEnd"/>
      <w:r w:rsidRPr="00065198">
        <w:rPr>
          <w:rFonts w:ascii="Arial" w:hAnsi="Arial" w:cs="Arial"/>
          <w:sz w:val="24"/>
          <w:szCs w:val="24"/>
          <w:lang w:val="en-US"/>
        </w:rPr>
        <w:t xml:space="preserve"> </w:t>
      </w:r>
      <w:proofErr w:type="gramStart"/>
      <w:r w:rsidRPr="00065198">
        <w:rPr>
          <w:rFonts w:ascii="Arial" w:hAnsi="Arial" w:cs="Arial"/>
          <w:i/>
          <w:sz w:val="24"/>
          <w:szCs w:val="24"/>
          <w:lang w:val="en-US"/>
        </w:rPr>
        <w:t>Journal of Veterinary Pharmacology and Therapeutics</w:t>
      </w:r>
      <w:r>
        <w:rPr>
          <w:rFonts w:ascii="Arial" w:hAnsi="Arial" w:cs="Arial"/>
          <w:sz w:val="24"/>
          <w:szCs w:val="24"/>
          <w:lang w:val="en-US"/>
        </w:rPr>
        <w:t>.</w:t>
      </w:r>
      <w:proofErr w:type="gramEnd"/>
      <w:r w:rsidRPr="00065198">
        <w:rPr>
          <w:rFonts w:ascii="Arial" w:hAnsi="Arial" w:cs="Arial"/>
          <w:sz w:val="24"/>
          <w:szCs w:val="24"/>
          <w:lang w:val="en-US"/>
        </w:rPr>
        <w:t xml:space="preserve"> </w:t>
      </w:r>
      <w:r w:rsidRPr="00065198">
        <w:rPr>
          <w:rFonts w:ascii="Arial" w:hAnsi="Arial" w:cs="Arial"/>
          <w:b/>
          <w:sz w:val="24"/>
          <w:szCs w:val="24"/>
          <w:lang w:val="en-US"/>
        </w:rPr>
        <w:t>12</w:t>
      </w:r>
      <w:r>
        <w:rPr>
          <w:rFonts w:ascii="Arial" w:hAnsi="Arial" w:cs="Arial"/>
          <w:sz w:val="24"/>
          <w:szCs w:val="24"/>
          <w:lang w:val="en-US"/>
        </w:rPr>
        <w:t>.</w:t>
      </w:r>
      <w:r w:rsidRPr="00065198">
        <w:rPr>
          <w:rFonts w:ascii="Arial" w:hAnsi="Arial" w:cs="Arial"/>
          <w:sz w:val="24"/>
          <w:szCs w:val="24"/>
          <w:lang w:val="en-US"/>
        </w:rPr>
        <w:t xml:space="preserve"> 65–72.</w:t>
      </w:r>
    </w:p>
    <w:p w:rsidR="000529E6" w:rsidRPr="00A055BD" w:rsidRDefault="00395B39" w:rsidP="00A055BD">
      <w:pPr>
        <w:pStyle w:val="NormalWeb"/>
        <w:spacing w:line="360" w:lineRule="auto"/>
        <w:ind w:left="480" w:hanging="480"/>
        <w:rPr>
          <w:rFonts w:ascii="Arial" w:hAnsi="Arial" w:cs="Arial"/>
          <w:sz w:val="24"/>
          <w:szCs w:val="24"/>
          <w:lang w:val="en-US"/>
        </w:rPr>
      </w:pPr>
      <w:r>
        <w:rPr>
          <w:rFonts w:ascii="Arial" w:hAnsi="Arial" w:cs="Arial"/>
          <w:sz w:val="24"/>
          <w:szCs w:val="24"/>
          <w:lang w:val="en-US"/>
        </w:rPr>
        <w:t>Vainionpää  MH</w:t>
      </w:r>
      <w:r w:rsidRPr="00065198">
        <w:rPr>
          <w:rFonts w:ascii="Arial" w:hAnsi="Arial" w:cs="Arial"/>
          <w:sz w:val="24"/>
          <w:szCs w:val="24"/>
          <w:lang w:val="en-US"/>
        </w:rPr>
        <w:t>, Raekallio</w:t>
      </w:r>
      <w:r>
        <w:rPr>
          <w:rFonts w:ascii="Arial" w:hAnsi="Arial" w:cs="Arial"/>
          <w:sz w:val="24"/>
          <w:szCs w:val="24"/>
          <w:lang w:val="en-US"/>
        </w:rPr>
        <w:t xml:space="preserve"> MR, Pakkanen SAE, Ranta-Panula V, Valtteri MR, Scheinin M y Outi M Vainio. </w:t>
      </w:r>
      <w:proofErr w:type="gramStart"/>
      <w:r>
        <w:rPr>
          <w:rFonts w:ascii="Arial" w:hAnsi="Arial" w:cs="Arial"/>
          <w:sz w:val="24"/>
          <w:szCs w:val="24"/>
          <w:lang w:val="en-US"/>
        </w:rPr>
        <w:t xml:space="preserve">(2013). </w:t>
      </w:r>
      <w:r w:rsidRPr="00065198">
        <w:rPr>
          <w:rFonts w:ascii="Arial" w:hAnsi="Arial" w:cs="Arial"/>
          <w:sz w:val="24"/>
          <w:szCs w:val="24"/>
          <w:lang w:val="en-US"/>
        </w:rPr>
        <w:t>Plasma drug concentrations and clinical effects of a peripheral alpha-2-adrenoceptor antagonist, MK-467, in horses sedated with detomidine.</w:t>
      </w:r>
      <w:proofErr w:type="gramEnd"/>
      <w:r w:rsidRPr="00065198">
        <w:rPr>
          <w:rFonts w:ascii="Arial" w:hAnsi="Arial" w:cs="Arial"/>
          <w:sz w:val="24"/>
          <w:szCs w:val="24"/>
          <w:lang w:val="en-US"/>
        </w:rPr>
        <w:t xml:space="preserve"> </w:t>
      </w:r>
      <w:r w:rsidRPr="000B0747">
        <w:rPr>
          <w:rFonts w:ascii="Arial" w:hAnsi="Arial" w:cs="Arial"/>
          <w:i/>
          <w:iCs/>
          <w:sz w:val="24"/>
          <w:szCs w:val="24"/>
          <w:lang w:val="en-US"/>
        </w:rPr>
        <w:t>Veterinary Anaesthesia and Analgesia</w:t>
      </w:r>
      <w:r>
        <w:rPr>
          <w:rFonts w:ascii="Arial" w:hAnsi="Arial" w:cs="Arial"/>
          <w:sz w:val="24"/>
          <w:szCs w:val="24"/>
          <w:lang w:val="en-US"/>
        </w:rPr>
        <w:t>.</w:t>
      </w:r>
      <w:r w:rsidRPr="000B0747">
        <w:rPr>
          <w:rFonts w:ascii="Arial" w:hAnsi="Arial" w:cs="Arial"/>
          <w:sz w:val="24"/>
          <w:szCs w:val="24"/>
          <w:lang w:val="en-US"/>
        </w:rPr>
        <w:t xml:space="preserve"> </w:t>
      </w:r>
      <w:r>
        <w:rPr>
          <w:rFonts w:ascii="Arial" w:hAnsi="Arial" w:cs="Arial"/>
          <w:b/>
          <w:sz w:val="24"/>
          <w:szCs w:val="24"/>
          <w:lang w:val="en-US"/>
        </w:rPr>
        <w:t>40.</w:t>
      </w:r>
      <w:r w:rsidRPr="000B0747">
        <w:rPr>
          <w:rFonts w:ascii="Arial" w:hAnsi="Arial" w:cs="Arial"/>
          <w:b/>
          <w:sz w:val="24"/>
          <w:szCs w:val="24"/>
          <w:lang w:val="en-US"/>
        </w:rPr>
        <w:t xml:space="preserve"> </w:t>
      </w:r>
      <w:r w:rsidRPr="000B0747">
        <w:rPr>
          <w:rFonts w:ascii="Arial" w:hAnsi="Arial" w:cs="Arial"/>
          <w:sz w:val="24"/>
          <w:szCs w:val="24"/>
          <w:lang w:val="en-US"/>
        </w:rPr>
        <w:t>257–264.</w:t>
      </w:r>
    </w:p>
    <w:sectPr w:rsidR="000529E6" w:rsidRPr="00A055BD" w:rsidSect="0016772C">
      <w:footerReference w:type="even" r:id="rId16"/>
      <w:footerReference w:type="default" r:id="rId17"/>
      <w:pgSz w:w="12240" w:h="15840"/>
      <w:pgMar w:top="1417" w:right="1418" w:bottom="1417"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C7352" w:rsidRDefault="00DC7352" w:rsidP="005A3A1B">
      <w:r>
        <w:separator/>
      </w:r>
    </w:p>
  </w:endnote>
  <w:endnote w:type="continuationSeparator" w:id="0">
    <w:p w:rsidR="00DC7352" w:rsidRDefault="00DC7352" w:rsidP="005A3A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Lucida Grande">
    <w:charset w:val="00"/>
    <w:family w:val="auto"/>
    <w:pitch w:val="variable"/>
    <w:sig w:usb0="E1000AEF" w:usb1="5000A1FF" w:usb2="00000000" w:usb3="00000000" w:csb0="000001BF" w:csb1="00000000"/>
  </w:font>
  <w:font w:name="Courier">
    <w:panose1 w:val="02070409020205020404"/>
    <w:charset w:val="00"/>
    <w:family w:val="modern"/>
    <w:notTrueType/>
    <w:pitch w:val="fixed"/>
    <w:sig w:usb0="00000003" w:usb1="00000000" w:usb2="00000000" w:usb3="00000000" w:csb0="00000001" w:csb1="00000000"/>
  </w:font>
  <w:font w:name="Franklin Gothic Book">
    <w:panose1 w:val="020B0503020102020204"/>
    <w:charset w:val="00"/>
    <w:family w:val="swiss"/>
    <w:pitch w:val="variable"/>
    <w:sig w:usb0="000002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AdvTT3713a231+20">
    <w:altName w:val="MS Mincho"/>
    <w:panose1 w:val="00000000000000000000"/>
    <w:charset w:val="80"/>
    <w:family w:val="auto"/>
    <w:notTrueType/>
    <w:pitch w:val="default"/>
    <w:sig w:usb0="00000000" w:usb1="08070000" w:usb2="00000010" w:usb3="00000000" w:csb0="00020000" w:csb1="00000000"/>
  </w:font>
  <w:font w:name="AdvPSSym">
    <w:altName w:val="ＭＳ 明朝"/>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42BC5" w:rsidRDefault="00642BC5" w:rsidP="00642BC5">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rsidR="00642BC5" w:rsidRDefault="00642BC5">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42BC5" w:rsidRDefault="00642BC5" w:rsidP="00642BC5">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separate"/>
    </w:r>
    <w:r w:rsidR="008B6B76">
      <w:rPr>
        <w:rStyle w:val="Nmerodepgina"/>
        <w:noProof/>
      </w:rPr>
      <w:t>47</w:t>
    </w:r>
    <w:r>
      <w:rPr>
        <w:rStyle w:val="Nmerodepgina"/>
      </w:rPr>
      <w:fldChar w:fldCharType="end"/>
    </w:r>
  </w:p>
  <w:p w:rsidR="00642BC5" w:rsidRDefault="00642BC5">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42BC5" w:rsidRDefault="00642BC5">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rsidR="00642BC5" w:rsidRDefault="00642BC5">
    <w:pPr>
      <w:pStyle w:val="Piedepgina"/>
    </w:pPr>
  </w:p>
  <w:p w:rsidR="00642BC5" w:rsidRDefault="00642BC5"/>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42BC5" w:rsidRDefault="00642BC5">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separate"/>
    </w:r>
    <w:r w:rsidR="008B6B76">
      <w:rPr>
        <w:rStyle w:val="Nmerodepgina"/>
        <w:noProof/>
      </w:rPr>
      <w:t>51</w:t>
    </w:r>
    <w:r>
      <w:rPr>
        <w:rStyle w:val="Nmerodepgina"/>
      </w:rPr>
      <w:fldChar w:fldCharType="end"/>
    </w:r>
  </w:p>
  <w:p w:rsidR="00642BC5" w:rsidRDefault="00642BC5">
    <w:pPr>
      <w:pStyle w:val="Piedepgina"/>
    </w:pPr>
  </w:p>
  <w:p w:rsidR="00642BC5" w:rsidRDefault="00642BC5"/>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C7352" w:rsidRDefault="00DC7352" w:rsidP="005A3A1B">
      <w:r>
        <w:separator/>
      </w:r>
    </w:p>
  </w:footnote>
  <w:footnote w:type="continuationSeparator" w:id="0">
    <w:p w:rsidR="00DC7352" w:rsidRDefault="00DC7352" w:rsidP="005A3A1B">
      <w:r>
        <w:continuationSeparator/>
      </w:r>
    </w:p>
  </w:footnote>
  <w:footnote w:id="1">
    <w:p w:rsidR="00642BC5" w:rsidRPr="00642BC5" w:rsidRDefault="00642BC5" w:rsidP="00B41C1C">
      <w:pPr>
        <w:pStyle w:val="Textonotapie"/>
        <w:rPr>
          <w:lang w:val="en-US"/>
        </w:rPr>
      </w:pPr>
      <w:r>
        <w:rPr>
          <w:rStyle w:val="Refdenotaalpie"/>
        </w:rPr>
        <w:footnoteRef/>
      </w:r>
      <w:r w:rsidRPr="00642BC5">
        <w:rPr>
          <w:lang w:val="en-US"/>
        </w:rPr>
        <w:t xml:space="preserve"> </w:t>
      </w:r>
      <w:r w:rsidRPr="00642BC5">
        <w:rPr>
          <w:rFonts w:ascii="Times New Roman" w:eastAsia="Times New Roman" w:hAnsi="Times New Roman" w:cs="Times New Roman"/>
          <w:color w:val="404040" w:themeColor="text1" w:themeTint="BF"/>
          <w:sz w:val="20"/>
          <w:szCs w:val="20"/>
          <w:lang w:val="en-US"/>
        </w:rPr>
        <w:t>PUBMED:</w:t>
      </w:r>
      <w:r w:rsidRPr="00FE4A54">
        <w:rPr>
          <w:rFonts w:ascii="Times New Roman" w:hAnsi="Times New Roman" w:cs="Times New Roman"/>
          <w:color w:val="404040" w:themeColor="text1" w:themeTint="BF"/>
          <w:sz w:val="20"/>
          <w:szCs w:val="20"/>
          <w:lang w:val="en-US"/>
        </w:rPr>
        <w:t xml:space="preserve"> National Center for Biotechnology Information, United States national Library, Bethesda, MD.</w:t>
      </w:r>
    </w:p>
  </w:footnote>
  <w:footnote w:id="2">
    <w:p w:rsidR="00642BC5" w:rsidRPr="00642BC5" w:rsidRDefault="00642BC5" w:rsidP="00B41C1C">
      <w:pPr>
        <w:spacing w:line="360" w:lineRule="auto"/>
        <w:rPr>
          <w:rFonts w:ascii="Times New Roman" w:eastAsia="Times New Roman" w:hAnsi="Times New Roman"/>
          <w:color w:val="404040" w:themeColor="text1" w:themeTint="BF"/>
          <w:sz w:val="24"/>
          <w:szCs w:val="24"/>
          <w:lang w:val="en-US"/>
        </w:rPr>
      </w:pPr>
      <w:r>
        <w:rPr>
          <w:rStyle w:val="Refdenotaalpie"/>
        </w:rPr>
        <w:footnoteRef/>
      </w:r>
      <w:r w:rsidRPr="00642BC5">
        <w:rPr>
          <w:lang w:val="en-US"/>
        </w:rPr>
        <w:t xml:space="preserve"> </w:t>
      </w:r>
      <w:r w:rsidRPr="00642BC5">
        <w:rPr>
          <w:rFonts w:ascii="Times New Roman" w:eastAsia="Times New Roman" w:hAnsi="Times New Roman"/>
          <w:color w:val="404040" w:themeColor="text1" w:themeTint="BF"/>
          <w:sz w:val="20"/>
          <w:lang w:val="en-US"/>
        </w:rPr>
        <w:t>SCOPUS:</w:t>
      </w:r>
      <w:r w:rsidRPr="005C6863">
        <w:rPr>
          <w:rFonts w:ascii="Times New Roman" w:hAnsi="Times New Roman"/>
          <w:color w:val="404040" w:themeColor="text1" w:themeTint="BF"/>
          <w:sz w:val="20"/>
          <w:lang w:val="en-US"/>
        </w:rPr>
        <w:t xml:space="preserve"> Elsevier Research Intelligence</w:t>
      </w:r>
      <w:r>
        <w:rPr>
          <w:rFonts w:ascii="Times New Roman" w:hAnsi="Times New Roman"/>
          <w:color w:val="404040" w:themeColor="text1" w:themeTint="BF"/>
          <w:sz w:val="20"/>
          <w:lang w:val="en-US"/>
        </w:rPr>
        <w:t>.</w:t>
      </w:r>
    </w:p>
    <w:p w:rsidR="00642BC5" w:rsidRPr="00642BC5" w:rsidRDefault="00642BC5" w:rsidP="00B41C1C">
      <w:pPr>
        <w:pStyle w:val="Textonotapie"/>
        <w:rPr>
          <w:lang w:val="en-US"/>
        </w:rPr>
      </w:pPr>
    </w:p>
  </w:footnote>
  <w:footnote w:id="3">
    <w:p w:rsidR="00642BC5" w:rsidRPr="00642BC5" w:rsidRDefault="00642BC5" w:rsidP="00B41C1C">
      <w:pPr>
        <w:pStyle w:val="Textonotapie"/>
        <w:rPr>
          <w:rFonts w:ascii="Times New Roman" w:hAnsi="Times New Roman" w:cs="Times New Roman"/>
          <w:lang w:val="en-US"/>
        </w:rPr>
      </w:pPr>
      <w:r w:rsidRPr="00944E8A">
        <w:rPr>
          <w:rStyle w:val="Refdenotaalpie"/>
          <w:rFonts w:ascii="Times New Roman" w:hAnsi="Times New Roman" w:cs="Times New Roman"/>
        </w:rPr>
        <w:footnoteRef/>
      </w:r>
      <w:r w:rsidRPr="00642BC5">
        <w:rPr>
          <w:rFonts w:ascii="Times New Roman" w:hAnsi="Times New Roman" w:cs="Times New Roman"/>
          <w:lang w:val="en-US"/>
        </w:rPr>
        <w:t>Det: Detomidine is alpha-2 adrenergic adrenoreceptor agonists.</w:t>
      </w:r>
    </w:p>
  </w:footnote>
  <w:footnote w:id="4">
    <w:p w:rsidR="00642BC5" w:rsidRPr="00642BC5" w:rsidRDefault="00642BC5" w:rsidP="00B41C1C">
      <w:pPr>
        <w:pStyle w:val="Textonotapie"/>
        <w:rPr>
          <w:lang w:val="en-US"/>
        </w:rPr>
      </w:pPr>
      <w:r>
        <w:rPr>
          <w:rStyle w:val="Refdenotaalpie"/>
        </w:rPr>
        <w:footnoteRef/>
      </w:r>
      <w:r w:rsidRPr="00642BC5">
        <w:rPr>
          <w:lang w:val="en-US"/>
        </w:rPr>
        <w:t xml:space="preserve"> IV:  Intravenous</w:t>
      </w:r>
    </w:p>
  </w:footnote>
  <w:footnote w:id="5">
    <w:p w:rsidR="00642BC5" w:rsidRPr="00642BC5" w:rsidRDefault="00642BC5" w:rsidP="00B41C1C">
      <w:pPr>
        <w:pStyle w:val="Textonotapie"/>
        <w:rPr>
          <w:lang w:val="en-US"/>
        </w:rPr>
      </w:pPr>
      <w:r>
        <w:rPr>
          <w:rStyle w:val="Refdenotaalpie"/>
        </w:rPr>
        <w:footnoteRef/>
      </w:r>
      <w:r w:rsidRPr="00642BC5">
        <w:rPr>
          <w:lang w:val="en-US"/>
        </w:rPr>
        <w:t xml:space="preserve"> Im:  Intramuscular</w:t>
      </w:r>
    </w:p>
  </w:footnote>
  <w:footnote w:id="6">
    <w:p w:rsidR="00642BC5" w:rsidRDefault="00642BC5" w:rsidP="00B41C1C">
      <w:pPr>
        <w:pStyle w:val="Textonotapie"/>
        <w:rPr>
          <w:rFonts w:ascii="Times New Roman" w:hAnsi="Times New Roman" w:cs="Times New Roman"/>
          <w:color w:val="404040" w:themeColor="text1" w:themeTint="BF"/>
          <w:lang w:val="en-US"/>
        </w:rPr>
      </w:pPr>
      <w:r w:rsidRPr="00944E8A">
        <w:rPr>
          <w:rStyle w:val="Refdenotaalpie"/>
          <w:rFonts w:ascii="Times New Roman" w:hAnsi="Times New Roman" w:cs="Times New Roman"/>
        </w:rPr>
        <w:footnoteRef/>
      </w:r>
      <w:r w:rsidRPr="00642BC5">
        <w:rPr>
          <w:rFonts w:ascii="Times New Roman" w:hAnsi="Times New Roman" w:cs="Times New Roman"/>
          <w:lang w:val="en-US"/>
        </w:rPr>
        <w:t xml:space="preserve"> YOH: </w:t>
      </w:r>
      <w:r w:rsidRPr="00944E8A">
        <w:rPr>
          <w:rFonts w:ascii="Times New Roman" w:hAnsi="Times New Roman" w:cs="Times New Roman"/>
          <w:color w:val="404040" w:themeColor="text1" w:themeTint="BF"/>
          <w:lang w:val="en-US"/>
        </w:rPr>
        <w:t>alpha-2 receptor antagonist.</w:t>
      </w:r>
    </w:p>
    <w:p w:rsidR="00642BC5" w:rsidRPr="00642BC5" w:rsidRDefault="00642BC5" w:rsidP="00B41C1C">
      <w:pPr>
        <w:pStyle w:val="Textonotapie"/>
        <w:rPr>
          <w:rFonts w:ascii="Times New Roman" w:hAnsi="Times New Roman" w:cs="Times New Roman"/>
          <w:lang w:val="en-US"/>
        </w:rPr>
      </w:pPr>
    </w:p>
  </w:footnote>
  <w:footnote w:id="7">
    <w:p w:rsidR="00642BC5" w:rsidRPr="00642BC5" w:rsidRDefault="00642BC5" w:rsidP="00B41C1C">
      <w:pPr>
        <w:pStyle w:val="Textonotapie"/>
        <w:rPr>
          <w:lang w:val="en-US"/>
        </w:rPr>
      </w:pPr>
      <w:r>
        <w:rPr>
          <w:rStyle w:val="Refdenotaalpie"/>
        </w:rPr>
        <w:footnoteRef/>
      </w:r>
      <w:r w:rsidRPr="00642BC5">
        <w:rPr>
          <w:lang w:val="en-US"/>
        </w:rPr>
        <w:t xml:space="preserve"> </w:t>
      </w:r>
      <w:r w:rsidRPr="00642BC5">
        <w:rPr>
          <w:sz w:val="20"/>
          <w:szCs w:val="20"/>
          <w:lang w:val="en-US"/>
        </w:rPr>
        <w:t xml:space="preserve">FDA:  </w:t>
      </w:r>
      <w:r w:rsidRPr="00642BC5">
        <w:rPr>
          <w:rFonts w:ascii="Times New Roman" w:eastAsia="Times New Roman" w:hAnsi="Times New Roman" w:cs="Times New Roman"/>
          <w:color w:val="404040" w:themeColor="text1" w:themeTint="BF"/>
          <w:sz w:val="20"/>
          <w:szCs w:val="20"/>
          <w:lang w:val="en-US"/>
        </w:rPr>
        <w:t>Food and Drug Administration.</w:t>
      </w:r>
    </w:p>
  </w:footnote>
  <w:footnote w:id="8">
    <w:p w:rsidR="00642BC5" w:rsidRPr="00642BC5" w:rsidRDefault="00642BC5" w:rsidP="00B41C1C">
      <w:pPr>
        <w:pStyle w:val="Textonotapie"/>
        <w:rPr>
          <w:lang w:val="en-US"/>
        </w:rPr>
      </w:pPr>
      <w:r>
        <w:rPr>
          <w:rStyle w:val="Refdenotaalpie"/>
        </w:rPr>
        <w:footnoteRef/>
      </w:r>
      <w:r w:rsidRPr="00642BC5">
        <w:rPr>
          <w:lang w:val="en-US"/>
        </w:rPr>
        <w:t xml:space="preserve"> AV: Atrio-ventricular</w:t>
      </w:r>
    </w:p>
  </w:footnote>
  <w:footnote w:id="9">
    <w:p w:rsidR="00642BC5" w:rsidRPr="00642BC5" w:rsidRDefault="00642BC5" w:rsidP="00B41C1C">
      <w:pPr>
        <w:pStyle w:val="Textonotapie"/>
        <w:rPr>
          <w:lang w:val="en-US"/>
        </w:rPr>
      </w:pPr>
      <w:r>
        <w:rPr>
          <w:rStyle w:val="Refdenotaalpie"/>
        </w:rPr>
        <w:footnoteRef/>
      </w:r>
      <w:r w:rsidRPr="00642BC5">
        <w:rPr>
          <w:lang w:val="en-US"/>
        </w:rPr>
        <w:t xml:space="preserve"> SL: Sublingual</w:t>
      </w:r>
    </w:p>
  </w:footnote>
  <w:footnote w:id="10">
    <w:p w:rsidR="00642BC5" w:rsidRPr="00642BC5" w:rsidRDefault="00642BC5" w:rsidP="00B41C1C">
      <w:pPr>
        <w:pStyle w:val="Textonotapie"/>
        <w:rPr>
          <w:rFonts w:ascii="Times New Roman" w:hAnsi="Times New Roman" w:cs="Times New Roman"/>
          <w:lang w:val="en-US"/>
        </w:rPr>
      </w:pPr>
      <w:r w:rsidRPr="00394FF2">
        <w:rPr>
          <w:rStyle w:val="Refdenotaalpie"/>
          <w:rFonts w:ascii="Times New Roman" w:hAnsi="Times New Roman" w:cs="Times New Roman"/>
        </w:rPr>
        <w:footnoteRef/>
      </w:r>
      <w:r w:rsidRPr="00642BC5">
        <w:rPr>
          <w:rFonts w:ascii="Times New Roman" w:hAnsi="Times New Roman" w:cs="Times New Roman"/>
          <w:lang w:val="en-US"/>
        </w:rPr>
        <w:t xml:space="preserve"> </w:t>
      </w:r>
      <w:r w:rsidRPr="00642BC5">
        <w:rPr>
          <w:rFonts w:ascii="Times New Roman" w:eastAsia="Times New Roman" w:hAnsi="Times New Roman" w:cs="Times New Roman"/>
          <w:color w:val="404040" w:themeColor="text1" w:themeTint="BF"/>
          <w:lang w:val="en-US"/>
        </w:rPr>
        <w:t>AUC: Area under the curve.</w:t>
      </w:r>
    </w:p>
  </w:footnote>
  <w:footnote w:id="11">
    <w:p w:rsidR="00642BC5" w:rsidRPr="00642BC5" w:rsidRDefault="00642BC5" w:rsidP="00B41C1C">
      <w:pPr>
        <w:spacing w:line="360" w:lineRule="auto"/>
        <w:rPr>
          <w:rFonts w:ascii="Times New Roman" w:eastAsia="Times New Roman" w:hAnsi="Times New Roman"/>
          <w:color w:val="404040" w:themeColor="text1" w:themeTint="BF"/>
          <w:sz w:val="24"/>
          <w:szCs w:val="24"/>
          <w:lang w:val="en-US"/>
        </w:rPr>
      </w:pPr>
      <w:r w:rsidRPr="00394FF2">
        <w:rPr>
          <w:rStyle w:val="Refdenotaalpie"/>
          <w:rFonts w:ascii="Times New Roman" w:hAnsi="Times New Roman"/>
          <w:sz w:val="24"/>
          <w:szCs w:val="24"/>
        </w:rPr>
        <w:footnoteRef/>
      </w:r>
      <w:r w:rsidRPr="00642BC5">
        <w:rPr>
          <w:rFonts w:ascii="Times New Roman" w:hAnsi="Times New Roman"/>
          <w:sz w:val="24"/>
          <w:szCs w:val="24"/>
          <w:lang w:val="en-US"/>
        </w:rPr>
        <w:t xml:space="preserve"> </w:t>
      </w:r>
      <w:r w:rsidRPr="00642BC5">
        <w:rPr>
          <w:rFonts w:ascii="Times New Roman" w:eastAsia="Times New Roman" w:hAnsi="Times New Roman"/>
          <w:color w:val="404040" w:themeColor="text1" w:themeTint="BF"/>
          <w:sz w:val="24"/>
          <w:szCs w:val="24"/>
          <w:lang w:val="en-US"/>
        </w:rPr>
        <w:t>C</w:t>
      </w:r>
      <w:r w:rsidRPr="00642BC5">
        <w:rPr>
          <w:rFonts w:ascii="Times New Roman" w:eastAsia="Times New Roman" w:hAnsi="Times New Roman"/>
          <w:color w:val="404040" w:themeColor="text1" w:themeTint="BF"/>
          <w:sz w:val="24"/>
          <w:szCs w:val="24"/>
          <w:vertAlign w:val="subscript"/>
          <w:lang w:val="en-US"/>
        </w:rPr>
        <w:t>max</w:t>
      </w:r>
      <w:r w:rsidRPr="00642BC5">
        <w:rPr>
          <w:rFonts w:ascii="Times New Roman" w:eastAsia="Times New Roman" w:hAnsi="Times New Roman"/>
          <w:color w:val="404040" w:themeColor="text1" w:themeTint="BF"/>
          <w:sz w:val="24"/>
          <w:szCs w:val="24"/>
          <w:lang w:val="en-US"/>
        </w:rPr>
        <w:t>: Maximal plasma concentration.</w:t>
      </w:r>
    </w:p>
    <w:p w:rsidR="00642BC5" w:rsidRPr="00642BC5" w:rsidRDefault="00642BC5" w:rsidP="00B41C1C">
      <w:pPr>
        <w:pStyle w:val="Textonotapie"/>
        <w:rPr>
          <w:lang w:val="en-US"/>
        </w:rPr>
      </w:pPr>
    </w:p>
  </w:footnote>
  <w:footnote w:id="12">
    <w:p w:rsidR="00642BC5" w:rsidRPr="00642BC5" w:rsidRDefault="00642BC5" w:rsidP="00B41C1C">
      <w:pPr>
        <w:pStyle w:val="Textonotapie"/>
        <w:rPr>
          <w:lang w:val="en-US"/>
        </w:rPr>
      </w:pPr>
      <w:r>
        <w:rPr>
          <w:rStyle w:val="Refdenotaalpie"/>
        </w:rPr>
        <w:footnoteRef/>
      </w:r>
      <w:r w:rsidRPr="00642BC5">
        <w:rPr>
          <w:lang w:val="en-US"/>
        </w:rPr>
        <w:t xml:space="preserve"> </w:t>
      </w:r>
      <w:r w:rsidRPr="00642BC5">
        <w:rPr>
          <w:rFonts w:ascii="Times New Roman" w:eastAsia="Times New Roman" w:hAnsi="Times New Roman" w:cs="Times New Roman"/>
          <w:color w:val="404040" w:themeColor="text1" w:themeTint="BF"/>
          <w:lang w:val="en-US"/>
        </w:rPr>
        <w:t>t</w:t>
      </w:r>
      <w:r w:rsidRPr="00642BC5">
        <w:rPr>
          <w:rFonts w:ascii="Times New Roman" w:eastAsia="Times New Roman" w:hAnsi="Times New Roman" w:cs="Times New Roman"/>
          <w:color w:val="404040" w:themeColor="text1" w:themeTint="BF"/>
          <w:vertAlign w:val="subscript"/>
          <w:lang w:val="en-US"/>
        </w:rPr>
        <w:t xml:space="preserve">1/2el: </w:t>
      </w:r>
      <w:r w:rsidRPr="00642BC5">
        <w:rPr>
          <w:rFonts w:ascii="Times New Roman" w:eastAsia="Times New Roman" w:hAnsi="Times New Roman" w:cs="Times New Roman"/>
          <w:color w:val="404040" w:themeColor="text1" w:themeTint="BF"/>
          <w:lang w:val="en-US"/>
        </w:rPr>
        <w:t xml:space="preserve">terminal elimination </w:t>
      </w:r>
      <w:r w:rsidRPr="00642BC5">
        <w:rPr>
          <w:rFonts w:ascii="Times New Roman" w:hAnsi="Times New Roman" w:cs="Times New Roman"/>
          <w:lang w:val="en-US"/>
        </w:rPr>
        <w:t>half life.</w:t>
      </w:r>
    </w:p>
  </w:footnote>
  <w:footnote w:id="13">
    <w:p w:rsidR="00642BC5" w:rsidRPr="00642BC5" w:rsidRDefault="00642BC5" w:rsidP="00B41C1C">
      <w:pPr>
        <w:spacing w:line="360" w:lineRule="auto"/>
        <w:rPr>
          <w:rFonts w:ascii="Times New Roman" w:eastAsia="Times New Roman" w:hAnsi="Times New Roman"/>
          <w:color w:val="404040" w:themeColor="text1" w:themeTint="BF"/>
          <w:sz w:val="24"/>
          <w:szCs w:val="24"/>
          <w:lang w:val="en-US"/>
        </w:rPr>
      </w:pPr>
      <w:r>
        <w:rPr>
          <w:rStyle w:val="Refdenotaalpie"/>
        </w:rPr>
        <w:footnoteRef/>
      </w:r>
      <w:r w:rsidRPr="00642BC5">
        <w:rPr>
          <w:lang w:val="en-US"/>
        </w:rPr>
        <w:t xml:space="preserve"> </w:t>
      </w:r>
      <w:r w:rsidRPr="00642BC5">
        <w:rPr>
          <w:rFonts w:ascii="Times New Roman" w:eastAsia="Times New Roman" w:hAnsi="Times New Roman"/>
          <w:color w:val="404040" w:themeColor="text1" w:themeTint="BF"/>
          <w:sz w:val="20"/>
          <w:lang w:val="en-US"/>
        </w:rPr>
        <w:t>T</w:t>
      </w:r>
      <w:r w:rsidRPr="00642BC5">
        <w:rPr>
          <w:rFonts w:ascii="Times New Roman" w:eastAsia="Times New Roman" w:hAnsi="Times New Roman"/>
          <w:color w:val="404040" w:themeColor="text1" w:themeTint="BF"/>
          <w:sz w:val="20"/>
          <w:vertAlign w:val="subscript"/>
          <w:lang w:val="en-US"/>
        </w:rPr>
        <w:t>max</w:t>
      </w:r>
      <w:r w:rsidRPr="00642BC5">
        <w:rPr>
          <w:rFonts w:ascii="Times New Roman" w:eastAsia="Times New Roman" w:hAnsi="Times New Roman"/>
          <w:color w:val="404040" w:themeColor="text1" w:themeTint="BF"/>
          <w:sz w:val="20"/>
          <w:lang w:val="en-US"/>
        </w:rPr>
        <w:t>: Time of maximal plasma concentration</w:t>
      </w:r>
    </w:p>
    <w:p w:rsidR="00642BC5" w:rsidRPr="00642BC5" w:rsidRDefault="00642BC5" w:rsidP="00B41C1C">
      <w:pPr>
        <w:pStyle w:val="Textonotapie"/>
        <w:rPr>
          <w:lang w:val="en-US"/>
        </w:rPr>
      </w:pPr>
    </w:p>
  </w:footnote>
  <w:footnote w:id="14">
    <w:p w:rsidR="00642BC5" w:rsidRPr="00642BC5" w:rsidRDefault="00642BC5" w:rsidP="00B41C1C">
      <w:pPr>
        <w:spacing w:line="360" w:lineRule="auto"/>
        <w:rPr>
          <w:rFonts w:ascii="Times New Roman" w:eastAsia="Times New Roman" w:hAnsi="Times New Roman"/>
          <w:color w:val="404040" w:themeColor="text1" w:themeTint="BF"/>
          <w:sz w:val="24"/>
          <w:szCs w:val="24"/>
          <w:lang w:val="en-US"/>
        </w:rPr>
      </w:pPr>
      <w:r>
        <w:rPr>
          <w:rStyle w:val="Refdenotaalpie"/>
        </w:rPr>
        <w:footnoteRef/>
      </w:r>
      <w:r w:rsidRPr="00642BC5">
        <w:rPr>
          <w:lang w:val="en-US"/>
        </w:rPr>
        <w:t xml:space="preserve"> </w:t>
      </w:r>
      <w:r w:rsidRPr="00642BC5">
        <w:rPr>
          <w:rFonts w:ascii="Times New Roman" w:eastAsia="Times New Roman" w:hAnsi="Times New Roman"/>
          <w:color w:val="404040" w:themeColor="text1" w:themeTint="BF"/>
          <w:sz w:val="20"/>
          <w:lang w:val="en-US"/>
        </w:rPr>
        <w:t>LOD: Limit of detection.</w:t>
      </w:r>
    </w:p>
    <w:p w:rsidR="00642BC5" w:rsidRPr="00642BC5" w:rsidRDefault="00642BC5" w:rsidP="00B41C1C">
      <w:pPr>
        <w:pStyle w:val="Textonotapie"/>
        <w:rPr>
          <w:lang w:val="en-US"/>
        </w:rPr>
      </w:pPr>
    </w:p>
  </w:footnote>
  <w:footnote w:id="15">
    <w:p w:rsidR="00642BC5" w:rsidRPr="00642BC5" w:rsidRDefault="00642BC5" w:rsidP="00B41C1C">
      <w:pPr>
        <w:spacing w:line="360" w:lineRule="auto"/>
        <w:rPr>
          <w:rFonts w:ascii="Times New Roman" w:eastAsia="Times New Roman" w:hAnsi="Times New Roman"/>
          <w:color w:val="404040" w:themeColor="text1" w:themeTint="BF"/>
          <w:sz w:val="24"/>
          <w:szCs w:val="24"/>
          <w:lang w:val="en-US"/>
        </w:rPr>
      </w:pPr>
      <w:r>
        <w:rPr>
          <w:rStyle w:val="Refdenotaalpie"/>
        </w:rPr>
        <w:footnoteRef/>
      </w:r>
      <w:r w:rsidRPr="00642BC5">
        <w:rPr>
          <w:lang w:val="en-US"/>
        </w:rPr>
        <w:t xml:space="preserve"> </w:t>
      </w:r>
      <w:r w:rsidRPr="00642BC5">
        <w:rPr>
          <w:rFonts w:ascii="Times New Roman" w:eastAsia="Times New Roman" w:hAnsi="Times New Roman"/>
          <w:color w:val="404040" w:themeColor="text1" w:themeTint="BF"/>
          <w:sz w:val="20"/>
          <w:lang w:val="en-US"/>
        </w:rPr>
        <w:t>AV: Atrioventricular.</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E22C68"/>
    <w:multiLevelType w:val="hybridMultilevel"/>
    <w:tmpl w:val="ABD6A18A"/>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
    <w:nsid w:val="123E0DA1"/>
    <w:multiLevelType w:val="multilevel"/>
    <w:tmpl w:val="FB9C1D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1BB65ACE"/>
    <w:multiLevelType w:val="hybridMultilevel"/>
    <w:tmpl w:val="A3F686B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22252833"/>
    <w:multiLevelType w:val="hybridMultilevel"/>
    <w:tmpl w:val="01F463F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nsid w:val="23220C97"/>
    <w:multiLevelType w:val="hybridMultilevel"/>
    <w:tmpl w:val="7AE4E3D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nsid w:val="2A2A3DFD"/>
    <w:multiLevelType w:val="hybridMultilevel"/>
    <w:tmpl w:val="CD966F2A"/>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6">
    <w:nsid w:val="2B4C4C77"/>
    <w:multiLevelType w:val="hybridMultilevel"/>
    <w:tmpl w:val="646CFAF2"/>
    <w:lvl w:ilvl="0" w:tplc="7B804856">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
    <w:nsid w:val="2C4E71FA"/>
    <w:multiLevelType w:val="hybridMultilevel"/>
    <w:tmpl w:val="94B0BA50"/>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8">
    <w:nsid w:val="46EB6005"/>
    <w:multiLevelType w:val="hybridMultilevel"/>
    <w:tmpl w:val="F572C28E"/>
    <w:lvl w:ilvl="0" w:tplc="080A0009">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
    <w:nsid w:val="4D712C3E"/>
    <w:multiLevelType w:val="hybridMultilevel"/>
    <w:tmpl w:val="BF9675B4"/>
    <w:lvl w:ilvl="0" w:tplc="9EE8A614">
      <w:start w:val="1"/>
      <w:numFmt w:val="decimal"/>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0">
    <w:nsid w:val="6B0F7155"/>
    <w:multiLevelType w:val="hybridMultilevel"/>
    <w:tmpl w:val="3BC69FA4"/>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0"/>
  </w:num>
  <w:num w:numId="2">
    <w:abstractNumId w:val="10"/>
  </w:num>
  <w:num w:numId="3">
    <w:abstractNumId w:val="7"/>
  </w:num>
  <w:num w:numId="4">
    <w:abstractNumId w:val="5"/>
  </w:num>
  <w:num w:numId="5">
    <w:abstractNumId w:val="8"/>
  </w:num>
  <w:num w:numId="6">
    <w:abstractNumId w:val="4"/>
  </w:num>
  <w:num w:numId="7">
    <w:abstractNumId w:val="3"/>
  </w:num>
  <w:num w:numId="8">
    <w:abstractNumId w:val="1"/>
  </w:num>
  <w:num w:numId="9">
    <w:abstractNumId w:val="2"/>
  </w:num>
  <w:num w:numId="10">
    <w:abstractNumId w:val="6"/>
  </w:num>
  <w:num w:numId="1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activeWritingStyle w:appName="MSWord" w:lang="en-US" w:vendorID="64" w:dllVersion="131078" w:nlCheck="1" w:checkStyle="1"/>
  <w:activeWritingStyle w:appName="MSWord" w:lang="es-MX" w:vendorID="64" w:dllVersion="131078" w:nlCheck="1" w:checkStyle="1"/>
  <w:activeWritingStyle w:appName="MSWord" w:lang="es-ES" w:vendorID="64" w:dllVersion="131078" w:nlCheck="1" w:checkStyle="1"/>
  <w:activeWritingStyle w:appName="MSWord" w:lang="en-GB" w:vendorID="64" w:dllVersion="131078" w:nlCheck="1" w:checkStyle="1"/>
  <w:activeWritingStyle w:appName="MSWord" w:lang="es-ES_tradnl" w:vendorID="64" w:dllVersion="131078" w:nlCheck="1" w:checkStyle="1"/>
  <w:proofState w:grammar="clean"/>
  <w:defaultTabStop w:val="708"/>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5A3A1B"/>
    <w:rsid w:val="0000425B"/>
    <w:rsid w:val="000130E4"/>
    <w:rsid w:val="00023200"/>
    <w:rsid w:val="00024016"/>
    <w:rsid w:val="00040D95"/>
    <w:rsid w:val="00043C55"/>
    <w:rsid w:val="000529E6"/>
    <w:rsid w:val="000646D9"/>
    <w:rsid w:val="00065198"/>
    <w:rsid w:val="000870AF"/>
    <w:rsid w:val="00087800"/>
    <w:rsid w:val="00087F17"/>
    <w:rsid w:val="0009169E"/>
    <w:rsid w:val="000928BE"/>
    <w:rsid w:val="000942DC"/>
    <w:rsid w:val="00095115"/>
    <w:rsid w:val="000C093A"/>
    <w:rsid w:val="000C0B23"/>
    <w:rsid w:val="000C4DE9"/>
    <w:rsid w:val="000C609B"/>
    <w:rsid w:val="000D772E"/>
    <w:rsid w:val="000F0A92"/>
    <w:rsid w:val="000F0C2A"/>
    <w:rsid w:val="000F3773"/>
    <w:rsid w:val="000F6B5E"/>
    <w:rsid w:val="001144E8"/>
    <w:rsid w:val="00117037"/>
    <w:rsid w:val="001310F4"/>
    <w:rsid w:val="00134066"/>
    <w:rsid w:val="0014068F"/>
    <w:rsid w:val="0014337C"/>
    <w:rsid w:val="00146395"/>
    <w:rsid w:val="00155490"/>
    <w:rsid w:val="0016772C"/>
    <w:rsid w:val="001839EA"/>
    <w:rsid w:val="001A0539"/>
    <w:rsid w:val="001A152C"/>
    <w:rsid w:val="001A6FD0"/>
    <w:rsid w:val="001B08CA"/>
    <w:rsid w:val="001B68FE"/>
    <w:rsid w:val="001B7FB1"/>
    <w:rsid w:val="001C229F"/>
    <w:rsid w:val="001D25A2"/>
    <w:rsid w:val="001D5AD4"/>
    <w:rsid w:val="001E1596"/>
    <w:rsid w:val="001E160B"/>
    <w:rsid w:val="001F5715"/>
    <w:rsid w:val="00200FAB"/>
    <w:rsid w:val="00202935"/>
    <w:rsid w:val="00204D00"/>
    <w:rsid w:val="002144F9"/>
    <w:rsid w:val="002154C1"/>
    <w:rsid w:val="00225454"/>
    <w:rsid w:val="00244941"/>
    <w:rsid w:val="00254ABA"/>
    <w:rsid w:val="0025708F"/>
    <w:rsid w:val="00275C67"/>
    <w:rsid w:val="002A109E"/>
    <w:rsid w:val="002A5F12"/>
    <w:rsid w:val="002B1121"/>
    <w:rsid w:val="002D0D38"/>
    <w:rsid w:val="002D490C"/>
    <w:rsid w:val="002D7881"/>
    <w:rsid w:val="002E092B"/>
    <w:rsid w:val="002E3963"/>
    <w:rsid w:val="002E635E"/>
    <w:rsid w:val="00304500"/>
    <w:rsid w:val="00320CA1"/>
    <w:rsid w:val="003269BD"/>
    <w:rsid w:val="00333E5D"/>
    <w:rsid w:val="00342957"/>
    <w:rsid w:val="00346C1F"/>
    <w:rsid w:val="0035727A"/>
    <w:rsid w:val="00362AB9"/>
    <w:rsid w:val="00370249"/>
    <w:rsid w:val="00370443"/>
    <w:rsid w:val="0037137F"/>
    <w:rsid w:val="00376E8B"/>
    <w:rsid w:val="00382711"/>
    <w:rsid w:val="00390081"/>
    <w:rsid w:val="00395249"/>
    <w:rsid w:val="00395B39"/>
    <w:rsid w:val="003A038F"/>
    <w:rsid w:val="003B5D4E"/>
    <w:rsid w:val="003B76B8"/>
    <w:rsid w:val="003C13BF"/>
    <w:rsid w:val="003D13E9"/>
    <w:rsid w:val="003D748D"/>
    <w:rsid w:val="003E50D0"/>
    <w:rsid w:val="003E68E6"/>
    <w:rsid w:val="003E6935"/>
    <w:rsid w:val="003F0117"/>
    <w:rsid w:val="003F511C"/>
    <w:rsid w:val="00400AE5"/>
    <w:rsid w:val="0044480C"/>
    <w:rsid w:val="0045364C"/>
    <w:rsid w:val="00456567"/>
    <w:rsid w:val="004566CE"/>
    <w:rsid w:val="0045709E"/>
    <w:rsid w:val="004647CC"/>
    <w:rsid w:val="004A1E6D"/>
    <w:rsid w:val="004B306D"/>
    <w:rsid w:val="004B525B"/>
    <w:rsid w:val="004D67F3"/>
    <w:rsid w:val="004E0078"/>
    <w:rsid w:val="004E4556"/>
    <w:rsid w:val="004E54D1"/>
    <w:rsid w:val="004F5582"/>
    <w:rsid w:val="0050097F"/>
    <w:rsid w:val="00507D7D"/>
    <w:rsid w:val="00520075"/>
    <w:rsid w:val="0052191A"/>
    <w:rsid w:val="0052466E"/>
    <w:rsid w:val="00532DE3"/>
    <w:rsid w:val="0054161F"/>
    <w:rsid w:val="00541E3E"/>
    <w:rsid w:val="005465A8"/>
    <w:rsid w:val="00546D5F"/>
    <w:rsid w:val="00547403"/>
    <w:rsid w:val="0055082D"/>
    <w:rsid w:val="00552A43"/>
    <w:rsid w:val="00564671"/>
    <w:rsid w:val="005652AD"/>
    <w:rsid w:val="005730BB"/>
    <w:rsid w:val="00584B01"/>
    <w:rsid w:val="005941EE"/>
    <w:rsid w:val="005A3A1B"/>
    <w:rsid w:val="005E42C1"/>
    <w:rsid w:val="005F3C79"/>
    <w:rsid w:val="005F697B"/>
    <w:rsid w:val="006030B4"/>
    <w:rsid w:val="00603407"/>
    <w:rsid w:val="00606B4A"/>
    <w:rsid w:val="00622D25"/>
    <w:rsid w:val="006333C7"/>
    <w:rsid w:val="00635FC2"/>
    <w:rsid w:val="00642BC5"/>
    <w:rsid w:val="00652938"/>
    <w:rsid w:val="00653FDE"/>
    <w:rsid w:val="006545DC"/>
    <w:rsid w:val="006554F9"/>
    <w:rsid w:val="00660820"/>
    <w:rsid w:val="00663B53"/>
    <w:rsid w:val="006962B3"/>
    <w:rsid w:val="0069749F"/>
    <w:rsid w:val="006A60EA"/>
    <w:rsid w:val="006B2B88"/>
    <w:rsid w:val="006C40E4"/>
    <w:rsid w:val="006E5273"/>
    <w:rsid w:val="006F0A31"/>
    <w:rsid w:val="006F62A5"/>
    <w:rsid w:val="00705138"/>
    <w:rsid w:val="00710898"/>
    <w:rsid w:val="007139B1"/>
    <w:rsid w:val="00745E9B"/>
    <w:rsid w:val="0075385F"/>
    <w:rsid w:val="007560C9"/>
    <w:rsid w:val="00765B78"/>
    <w:rsid w:val="00771FCE"/>
    <w:rsid w:val="00782357"/>
    <w:rsid w:val="00784EC8"/>
    <w:rsid w:val="00785557"/>
    <w:rsid w:val="00785933"/>
    <w:rsid w:val="007A03DD"/>
    <w:rsid w:val="007A082C"/>
    <w:rsid w:val="007A10DA"/>
    <w:rsid w:val="007A5290"/>
    <w:rsid w:val="007A6258"/>
    <w:rsid w:val="007C61CD"/>
    <w:rsid w:val="007D212D"/>
    <w:rsid w:val="007D372C"/>
    <w:rsid w:val="007D6C91"/>
    <w:rsid w:val="007E45B4"/>
    <w:rsid w:val="007F2F95"/>
    <w:rsid w:val="007F3F54"/>
    <w:rsid w:val="007F438B"/>
    <w:rsid w:val="008149E4"/>
    <w:rsid w:val="0081653E"/>
    <w:rsid w:val="00816C4A"/>
    <w:rsid w:val="008273EB"/>
    <w:rsid w:val="008328CF"/>
    <w:rsid w:val="008415DD"/>
    <w:rsid w:val="00850617"/>
    <w:rsid w:val="00853A15"/>
    <w:rsid w:val="00862FF5"/>
    <w:rsid w:val="0087098A"/>
    <w:rsid w:val="008723B6"/>
    <w:rsid w:val="0087408E"/>
    <w:rsid w:val="00881BC8"/>
    <w:rsid w:val="00885DF4"/>
    <w:rsid w:val="00893B00"/>
    <w:rsid w:val="008B6B76"/>
    <w:rsid w:val="008C74D1"/>
    <w:rsid w:val="008D6410"/>
    <w:rsid w:val="008E2920"/>
    <w:rsid w:val="008E38E2"/>
    <w:rsid w:val="008F62C8"/>
    <w:rsid w:val="008F7985"/>
    <w:rsid w:val="00905B7D"/>
    <w:rsid w:val="00910A9E"/>
    <w:rsid w:val="0091493F"/>
    <w:rsid w:val="0092051F"/>
    <w:rsid w:val="009205C5"/>
    <w:rsid w:val="00926800"/>
    <w:rsid w:val="00927445"/>
    <w:rsid w:val="0093656D"/>
    <w:rsid w:val="00943E79"/>
    <w:rsid w:val="00952FBA"/>
    <w:rsid w:val="009646C9"/>
    <w:rsid w:val="00965BFD"/>
    <w:rsid w:val="00984095"/>
    <w:rsid w:val="009917D8"/>
    <w:rsid w:val="00995A65"/>
    <w:rsid w:val="00997C3B"/>
    <w:rsid w:val="009A4AF5"/>
    <w:rsid w:val="009B2729"/>
    <w:rsid w:val="009C3DD8"/>
    <w:rsid w:val="009C43ED"/>
    <w:rsid w:val="009C5304"/>
    <w:rsid w:val="009D09A6"/>
    <w:rsid w:val="009D24F4"/>
    <w:rsid w:val="009E34D0"/>
    <w:rsid w:val="009F031D"/>
    <w:rsid w:val="009F45AD"/>
    <w:rsid w:val="00A055BD"/>
    <w:rsid w:val="00A16551"/>
    <w:rsid w:val="00A16E7A"/>
    <w:rsid w:val="00A2011E"/>
    <w:rsid w:val="00A2062B"/>
    <w:rsid w:val="00A23C7C"/>
    <w:rsid w:val="00A518CC"/>
    <w:rsid w:val="00A563FA"/>
    <w:rsid w:val="00A57632"/>
    <w:rsid w:val="00A70797"/>
    <w:rsid w:val="00A72E14"/>
    <w:rsid w:val="00A856B9"/>
    <w:rsid w:val="00A905CF"/>
    <w:rsid w:val="00A916C9"/>
    <w:rsid w:val="00A947DE"/>
    <w:rsid w:val="00A948CF"/>
    <w:rsid w:val="00A96179"/>
    <w:rsid w:val="00AA51FD"/>
    <w:rsid w:val="00AC0ACC"/>
    <w:rsid w:val="00AC7473"/>
    <w:rsid w:val="00AD54EC"/>
    <w:rsid w:val="00AD75C5"/>
    <w:rsid w:val="00AF1E1A"/>
    <w:rsid w:val="00AF7582"/>
    <w:rsid w:val="00B119C6"/>
    <w:rsid w:val="00B25F94"/>
    <w:rsid w:val="00B3137A"/>
    <w:rsid w:val="00B31C61"/>
    <w:rsid w:val="00B41262"/>
    <w:rsid w:val="00B41C1C"/>
    <w:rsid w:val="00B43431"/>
    <w:rsid w:val="00B55238"/>
    <w:rsid w:val="00B56224"/>
    <w:rsid w:val="00B6300C"/>
    <w:rsid w:val="00B73D19"/>
    <w:rsid w:val="00B74993"/>
    <w:rsid w:val="00B77455"/>
    <w:rsid w:val="00B86A46"/>
    <w:rsid w:val="00B90722"/>
    <w:rsid w:val="00B95D73"/>
    <w:rsid w:val="00B97952"/>
    <w:rsid w:val="00BB2DDA"/>
    <w:rsid w:val="00BB581B"/>
    <w:rsid w:val="00BC25EC"/>
    <w:rsid w:val="00BC4675"/>
    <w:rsid w:val="00BC6502"/>
    <w:rsid w:val="00BC6960"/>
    <w:rsid w:val="00BD5800"/>
    <w:rsid w:val="00BD7101"/>
    <w:rsid w:val="00BD73F6"/>
    <w:rsid w:val="00BE28B8"/>
    <w:rsid w:val="00BF1A65"/>
    <w:rsid w:val="00BF1B18"/>
    <w:rsid w:val="00BF3AAC"/>
    <w:rsid w:val="00C0666F"/>
    <w:rsid w:val="00C10CD6"/>
    <w:rsid w:val="00C12838"/>
    <w:rsid w:val="00C1366D"/>
    <w:rsid w:val="00C318FE"/>
    <w:rsid w:val="00C446E4"/>
    <w:rsid w:val="00C45981"/>
    <w:rsid w:val="00C5201F"/>
    <w:rsid w:val="00C535D5"/>
    <w:rsid w:val="00C57B17"/>
    <w:rsid w:val="00C64F43"/>
    <w:rsid w:val="00C72C60"/>
    <w:rsid w:val="00C76AEB"/>
    <w:rsid w:val="00C80799"/>
    <w:rsid w:val="00C82021"/>
    <w:rsid w:val="00C96489"/>
    <w:rsid w:val="00CC095D"/>
    <w:rsid w:val="00CD2907"/>
    <w:rsid w:val="00CD79F2"/>
    <w:rsid w:val="00CE65B8"/>
    <w:rsid w:val="00CE706B"/>
    <w:rsid w:val="00CF0B3B"/>
    <w:rsid w:val="00CF4EA4"/>
    <w:rsid w:val="00D05F24"/>
    <w:rsid w:val="00D13E9E"/>
    <w:rsid w:val="00D2111B"/>
    <w:rsid w:val="00D26710"/>
    <w:rsid w:val="00D353D7"/>
    <w:rsid w:val="00D35A68"/>
    <w:rsid w:val="00D401E5"/>
    <w:rsid w:val="00D43416"/>
    <w:rsid w:val="00D4552B"/>
    <w:rsid w:val="00D4559F"/>
    <w:rsid w:val="00D455F8"/>
    <w:rsid w:val="00D466A9"/>
    <w:rsid w:val="00D529BA"/>
    <w:rsid w:val="00D543F1"/>
    <w:rsid w:val="00D5482C"/>
    <w:rsid w:val="00D5749A"/>
    <w:rsid w:val="00D6360F"/>
    <w:rsid w:val="00D70817"/>
    <w:rsid w:val="00D724D9"/>
    <w:rsid w:val="00D75DA9"/>
    <w:rsid w:val="00D765B6"/>
    <w:rsid w:val="00D7709C"/>
    <w:rsid w:val="00D8178B"/>
    <w:rsid w:val="00D82CE3"/>
    <w:rsid w:val="00D946F4"/>
    <w:rsid w:val="00DA7D5B"/>
    <w:rsid w:val="00DB2A26"/>
    <w:rsid w:val="00DB3CCC"/>
    <w:rsid w:val="00DC7352"/>
    <w:rsid w:val="00DD2BBA"/>
    <w:rsid w:val="00DE41E4"/>
    <w:rsid w:val="00DF0FE6"/>
    <w:rsid w:val="00DF32B7"/>
    <w:rsid w:val="00E12004"/>
    <w:rsid w:val="00E13250"/>
    <w:rsid w:val="00E1568F"/>
    <w:rsid w:val="00E17990"/>
    <w:rsid w:val="00E25CD9"/>
    <w:rsid w:val="00E314DA"/>
    <w:rsid w:val="00E34199"/>
    <w:rsid w:val="00E373B0"/>
    <w:rsid w:val="00E402A5"/>
    <w:rsid w:val="00E43E78"/>
    <w:rsid w:val="00E64114"/>
    <w:rsid w:val="00E6454B"/>
    <w:rsid w:val="00E6680A"/>
    <w:rsid w:val="00E72D5B"/>
    <w:rsid w:val="00E84A0F"/>
    <w:rsid w:val="00E84B19"/>
    <w:rsid w:val="00E92F38"/>
    <w:rsid w:val="00EA69BD"/>
    <w:rsid w:val="00EB0B6A"/>
    <w:rsid w:val="00EB1631"/>
    <w:rsid w:val="00EC1FE0"/>
    <w:rsid w:val="00ED4860"/>
    <w:rsid w:val="00ED56B9"/>
    <w:rsid w:val="00ED642F"/>
    <w:rsid w:val="00EF19E2"/>
    <w:rsid w:val="00EF427C"/>
    <w:rsid w:val="00EF5B50"/>
    <w:rsid w:val="00F06948"/>
    <w:rsid w:val="00F10CE5"/>
    <w:rsid w:val="00F1328A"/>
    <w:rsid w:val="00F148A6"/>
    <w:rsid w:val="00F26434"/>
    <w:rsid w:val="00F3070F"/>
    <w:rsid w:val="00F37F78"/>
    <w:rsid w:val="00F42E6C"/>
    <w:rsid w:val="00F431EC"/>
    <w:rsid w:val="00F511EE"/>
    <w:rsid w:val="00F60CF9"/>
    <w:rsid w:val="00F73D9C"/>
    <w:rsid w:val="00F77BF1"/>
    <w:rsid w:val="00F9090F"/>
    <w:rsid w:val="00F94A64"/>
    <w:rsid w:val="00FC004E"/>
    <w:rsid w:val="00FC7D05"/>
    <w:rsid w:val="00FD2206"/>
    <w:rsid w:val="00FE4703"/>
    <w:rsid w:val="00FE494D"/>
    <w:rsid w:val="00FF1D65"/>
  </w:rsids>
  <m:mathPr>
    <m:mathFont m:val="Cambria Math"/>
    <m:brkBin m:val="before"/>
    <m:brkBinSub m:val="--"/>
    <m:smallFrac m:val="0"/>
    <m:dispDef/>
    <m:lMargin m:val="0"/>
    <m:rMargin m:val="0"/>
    <m:defJc m:val="centerGroup"/>
    <m:wrapIndent m:val="1440"/>
    <m:intLim m:val="subSup"/>
    <m:naryLim m:val="undOvr"/>
  </m:mathPr>
  <w:themeFontLang w:val="es-MX"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3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MX" w:eastAsia="en-US" w:bidi="ar-SA"/>
      </w:rPr>
    </w:rPrDefault>
    <w:pPrDefault>
      <w:pPr>
        <w:spacing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A3A1B"/>
    <w:pPr>
      <w:spacing w:line="240" w:lineRule="auto"/>
    </w:pPr>
    <w:rPr>
      <w:rFonts w:ascii="Arial" w:eastAsia="Batang" w:hAnsi="Arial" w:cs="Times New Roman"/>
      <w:szCs w:val="20"/>
      <w:lang w:val="es-ES" w:eastAsia="es-ES"/>
    </w:rPr>
  </w:style>
  <w:style w:type="paragraph" w:styleId="Ttulo1">
    <w:name w:val="heading 1"/>
    <w:basedOn w:val="Normal"/>
    <w:next w:val="Normal"/>
    <w:link w:val="Ttulo1Car"/>
    <w:qFormat/>
    <w:rsid w:val="00D2111B"/>
    <w:pPr>
      <w:keepNext/>
      <w:spacing w:before="240" w:after="60"/>
      <w:jc w:val="left"/>
      <w:outlineLvl w:val="0"/>
    </w:pPr>
    <w:rPr>
      <w:rFonts w:eastAsia="Times New Roman" w:cs="Arial"/>
      <w:b/>
      <w:bCs/>
      <w:kern w:val="32"/>
      <w:sz w:val="32"/>
      <w:szCs w:val="32"/>
    </w:rPr>
  </w:style>
  <w:style w:type="paragraph" w:styleId="Ttulo2">
    <w:name w:val="heading 2"/>
    <w:basedOn w:val="Normal"/>
    <w:next w:val="Normal"/>
    <w:link w:val="Ttulo2Car"/>
    <w:qFormat/>
    <w:rsid w:val="00D2111B"/>
    <w:pPr>
      <w:keepNext/>
      <w:spacing w:before="240" w:after="60"/>
      <w:jc w:val="left"/>
      <w:outlineLvl w:val="1"/>
    </w:pPr>
    <w:rPr>
      <w:rFonts w:eastAsia="Times New Roman" w:cs="Arial"/>
      <w:b/>
      <w:bCs/>
      <w:i/>
      <w:iCs/>
      <w:sz w:val="28"/>
      <w:szCs w:val="28"/>
    </w:rPr>
  </w:style>
  <w:style w:type="paragraph" w:styleId="Ttulo3">
    <w:name w:val="heading 3"/>
    <w:basedOn w:val="Normal"/>
    <w:next w:val="Normal"/>
    <w:link w:val="Ttulo3Car"/>
    <w:uiPriority w:val="9"/>
    <w:unhideWhenUsed/>
    <w:qFormat/>
    <w:rsid w:val="00D82CE3"/>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autoRedefine/>
    <w:uiPriority w:val="9"/>
    <w:unhideWhenUsed/>
    <w:qFormat/>
    <w:rsid w:val="003B76B8"/>
    <w:pPr>
      <w:keepNext/>
      <w:keepLines/>
      <w:spacing w:before="200"/>
      <w:outlineLvl w:val="3"/>
    </w:pPr>
    <w:rPr>
      <w:rFonts w:asciiTheme="majorHAnsi" w:eastAsiaTheme="majorEastAsia" w:hAnsiTheme="majorHAnsi" w:cstheme="majorBidi"/>
      <w:b/>
      <w:bCs/>
      <w:i/>
      <w:i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D2111B"/>
    <w:rPr>
      <w:rFonts w:ascii="Arial" w:eastAsia="Times New Roman" w:hAnsi="Arial" w:cs="Arial"/>
      <w:b/>
      <w:bCs/>
      <w:kern w:val="32"/>
      <w:sz w:val="32"/>
      <w:szCs w:val="32"/>
      <w:lang w:val="es-ES" w:eastAsia="es-ES"/>
    </w:rPr>
  </w:style>
  <w:style w:type="character" w:customStyle="1" w:styleId="Ttulo2Car">
    <w:name w:val="Título 2 Car"/>
    <w:basedOn w:val="Fuentedeprrafopredeter"/>
    <w:link w:val="Ttulo2"/>
    <w:rsid w:val="00D2111B"/>
    <w:rPr>
      <w:rFonts w:ascii="Arial" w:eastAsia="Times New Roman" w:hAnsi="Arial" w:cs="Arial"/>
      <w:b/>
      <w:bCs/>
      <w:i/>
      <w:iCs/>
      <w:sz w:val="28"/>
      <w:szCs w:val="28"/>
      <w:lang w:val="es-ES" w:eastAsia="es-ES"/>
    </w:rPr>
  </w:style>
  <w:style w:type="character" w:customStyle="1" w:styleId="Ttulo3Car">
    <w:name w:val="Título 3 Car"/>
    <w:basedOn w:val="Fuentedeprrafopredeter"/>
    <w:link w:val="Ttulo3"/>
    <w:uiPriority w:val="9"/>
    <w:rsid w:val="00D82CE3"/>
    <w:rPr>
      <w:rFonts w:asciiTheme="majorHAnsi" w:eastAsiaTheme="majorEastAsia" w:hAnsiTheme="majorHAnsi" w:cstheme="majorBidi"/>
      <w:b/>
      <w:bCs/>
      <w:color w:val="4F81BD" w:themeColor="accent1"/>
      <w:szCs w:val="20"/>
      <w:lang w:val="es-ES" w:eastAsia="es-ES"/>
    </w:rPr>
  </w:style>
  <w:style w:type="character" w:customStyle="1" w:styleId="Ttulo4Car">
    <w:name w:val="Título 4 Car"/>
    <w:basedOn w:val="Fuentedeprrafopredeter"/>
    <w:link w:val="Ttulo4"/>
    <w:uiPriority w:val="9"/>
    <w:rsid w:val="003B76B8"/>
    <w:rPr>
      <w:rFonts w:asciiTheme="majorHAnsi" w:eastAsiaTheme="majorEastAsia" w:hAnsiTheme="majorHAnsi" w:cstheme="majorBidi"/>
      <w:b/>
      <w:bCs/>
      <w:i/>
      <w:iCs/>
      <w:szCs w:val="20"/>
      <w:lang w:val="es-ES" w:eastAsia="es-ES"/>
    </w:rPr>
  </w:style>
  <w:style w:type="paragraph" w:styleId="Textoindependiente">
    <w:name w:val="Body Text"/>
    <w:basedOn w:val="Normal"/>
    <w:link w:val="TextoindependienteCar"/>
    <w:rsid w:val="005A3A1B"/>
    <w:rPr>
      <w:rFonts w:ascii="Tahoma" w:hAnsi="Tahoma"/>
      <w:sz w:val="24"/>
    </w:rPr>
  </w:style>
  <w:style w:type="character" w:customStyle="1" w:styleId="TextoindependienteCar">
    <w:name w:val="Texto independiente Car"/>
    <w:basedOn w:val="Fuentedeprrafopredeter"/>
    <w:link w:val="Textoindependiente"/>
    <w:rsid w:val="005A3A1B"/>
    <w:rPr>
      <w:rFonts w:ascii="Tahoma" w:eastAsia="Batang" w:hAnsi="Tahoma" w:cs="Times New Roman"/>
      <w:sz w:val="24"/>
      <w:szCs w:val="20"/>
      <w:lang w:val="es-ES" w:eastAsia="es-ES"/>
    </w:rPr>
  </w:style>
  <w:style w:type="paragraph" w:styleId="Encabezado">
    <w:name w:val="header"/>
    <w:basedOn w:val="Normal"/>
    <w:link w:val="EncabezadoCar"/>
    <w:uiPriority w:val="99"/>
    <w:unhideWhenUsed/>
    <w:rsid w:val="005A3A1B"/>
    <w:pPr>
      <w:tabs>
        <w:tab w:val="center" w:pos="4419"/>
        <w:tab w:val="right" w:pos="8838"/>
      </w:tabs>
    </w:pPr>
  </w:style>
  <w:style w:type="character" w:customStyle="1" w:styleId="EncabezadoCar">
    <w:name w:val="Encabezado Car"/>
    <w:basedOn w:val="Fuentedeprrafopredeter"/>
    <w:link w:val="Encabezado"/>
    <w:uiPriority w:val="99"/>
    <w:rsid w:val="005A3A1B"/>
    <w:rPr>
      <w:rFonts w:ascii="Arial" w:eastAsia="Batang" w:hAnsi="Arial" w:cs="Times New Roman"/>
      <w:szCs w:val="20"/>
      <w:lang w:val="es-ES" w:eastAsia="es-ES"/>
    </w:rPr>
  </w:style>
  <w:style w:type="paragraph" w:styleId="Piedepgina">
    <w:name w:val="footer"/>
    <w:basedOn w:val="Normal"/>
    <w:link w:val="PiedepginaCar"/>
    <w:uiPriority w:val="99"/>
    <w:unhideWhenUsed/>
    <w:rsid w:val="005A3A1B"/>
    <w:pPr>
      <w:tabs>
        <w:tab w:val="center" w:pos="4419"/>
        <w:tab w:val="right" w:pos="8838"/>
      </w:tabs>
    </w:pPr>
  </w:style>
  <w:style w:type="character" w:customStyle="1" w:styleId="PiedepginaCar">
    <w:name w:val="Pie de página Car"/>
    <w:basedOn w:val="Fuentedeprrafopredeter"/>
    <w:link w:val="Piedepgina"/>
    <w:uiPriority w:val="99"/>
    <w:rsid w:val="005A3A1B"/>
    <w:rPr>
      <w:rFonts w:ascii="Arial" w:eastAsia="Batang" w:hAnsi="Arial" w:cs="Times New Roman"/>
      <w:szCs w:val="20"/>
      <w:lang w:val="es-ES" w:eastAsia="es-ES"/>
    </w:rPr>
  </w:style>
  <w:style w:type="paragraph" w:styleId="Textoindependiente2">
    <w:name w:val="Body Text 2"/>
    <w:basedOn w:val="Normal"/>
    <w:link w:val="Textoindependiente2Car"/>
    <w:uiPriority w:val="99"/>
    <w:semiHidden/>
    <w:unhideWhenUsed/>
    <w:rsid w:val="005A3A1B"/>
    <w:pPr>
      <w:spacing w:after="120" w:line="480" w:lineRule="auto"/>
    </w:pPr>
  </w:style>
  <w:style w:type="character" w:customStyle="1" w:styleId="Textoindependiente2Car">
    <w:name w:val="Texto independiente 2 Car"/>
    <w:basedOn w:val="Fuentedeprrafopredeter"/>
    <w:link w:val="Textoindependiente2"/>
    <w:uiPriority w:val="99"/>
    <w:semiHidden/>
    <w:rsid w:val="005A3A1B"/>
    <w:rPr>
      <w:rFonts w:ascii="Arial" w:eastAsia="Batang" w:hAnsi="Arial" w:cs="Times New Roman"/>
      <w:szCs w:val="20"/>
      <w:lang w:val="es-ES" w:eastAsia="es-ES"/>
    </w:rPr>
  </w:style>
  <w:style w:type="paragraph" w:styleId="Ttulo">
    <w:name w:val="Title"/>
    <w:basedOn w:val="Normal"/>
    <w:link w:val="TtuloCar"/>
    <w:qFormat/>
    <w:rsid w:val="005A3A1B"/>
    <w:pPr>
      <w:spacing w:line="360" w:lineRule="auto"/>
      <w:jc w:val="center"/>
    </w:pPr>
    <w:rPr>
      <w:rFonts w:ascii="Times New Roman" w:eastAsia="Times New Roman" w:hAnsi="Times New Roman"/>
      <w:b/>
      <w:sz w:val="24"/>
      <w:szCs w:val="24"/>
    </w:rPr>
  </w:style>
  <w:style w:type="character" w:customStyle="1" w:styleId="TtuloCar">
    <w:name w:val="Título Car"/>
    <w:basedOn w:val="Fuentedeprrafopredeter"/>
    <w:link w:val="Ttulo"/>
    <w:rsid w:val="005A3A1B"/>
    <w:rPr>
      <w:rFonts w:ascii="Times New Roman" w:eastAsia="Times New Roman" w:hAnsi="Times New Roman" w:cs="Times New Roman"/>
      <w:b/>
      <w:sz w:val="24"/>
      <w:szCs w:val="24"/>
      <w:lang w:val="es-ES" w:eastAsia="es-ES"/>
    </w:rPr>
  </w:style>
  <w:style w:type="paragraph" w:styleId="Subttulo">
    <w:name w:val="Subtitle"/>
    <w:basedOn w:val="Normal"/>
    <w:link w:val="SubttuloCar"/>
    <w:qFormat/>
    <w:rsid w:val="005A3A1B"/>
    <w:pPr>
      <w:spacing w:line="360" w:lineRule="auto"/>
      <w:jc w:val="center"/>
    </w:pPr>
    <w:rPr>
      <w:rFonts w:eastAsia="Times New Roman" w:cs="Arial"/>
      <w:b/>
      <w:bCs/>
      <w:smallCaps/>
      <w:sz w:val="24"/>
      <w:szCs w:val="24"/>
    </w:rPr>
  </w:style>
  <w:style w:type="character" w:customStyle="1" w:styleId="SubttuloCar">
    <w:name w:val="Subtítulo Car"/>
    <w:basedOn w:val="Fuentedeprrafopredeter"/>
    <w:link w:val="Subttulo"/>
    <w:rsid w:val="005A3A1B"/>
    <w:rPr>
      <w:rFonts w:ascii="Arial" w:eastAsia="Times New Roman" w:hAnsi="Arial" w:cs="Arial"/>
      <w:b/>
      <w:bCs/>
      <w:smallCaps/>
      <w:sz w:val="24"/>
      <w:szCs w:val="24"/>
      <w:lang w:val="es-ES" w:eastAsia="es-ES"/>
    </w:rPr>
  </w:style>
  <w:style w:type="character" w:styleId="Nmerodepgina">
    <w:name w:val="page number"/>
    <w:basedOn w:val="Fuentedeprrafopredeter"/>
    <w:rsid w:val="005A3A1B"/>
  </w:style>
  <w:style w:type="paragraph" w:styleId="Textodeglobo">
    <w:name w:val="Balloon Text"/>
    <w:basedOn w:val="Normal"/>
    <w:link w:val="TextodegloboCar"/>
    <w:uiPriority w:val="99"/>
    <w:semiHidden/>
    <w:unhideWhenUsed/>
    <w:rsid w:val="005A3A1B"/>
    <w:rPr>
      <w:rFonts w:ascii="Tahoma" w:hAnsi="Tahoma" w:cs="Tahoma"/>
      <w:sz w:val="16"/>
      <w:szCs w:val="16"/>
    </w:rPr>
  </w:style>
  <w:style w:type="character" w:customStyle="1" w:styleId="TextodegloboCar">
    <w:name w:val="Texto de globo Car"/>
    <w:basedOn w:val="Fuentedeprrafopredeter"/>
    <w:link w:val="Textodeglobo"/>
    <w:uiPriority w:val="99"/>
    <w:semiHidden/>
    <w:rsid w:val="005A3A1B"/>
    <w:rPr>
      <w:rFonts w:ascii="Tahoma" w:eastAsia="Batang" w:hAnsi="Tahoma" w:cs="Tahoma"/>
      <w:sz w:val="16"/>
      <w:szCs w:val="16"/>
      <w:lang w:val="es-ES" w:eastAsia="es-ES"/>
    </w:rPr>
  </w:style>
  <w:style w:type="paragraph" w:styleId="Textoindependiente3">
    <w:name w:val="Body Text 3"/>
    <w:basedOn w:val="Normal"/>
    <w:link w:val="Textoindependiente3Car"/>
    <w:uiPriority w:val="99"/>
    <w:unhideWhenUsed/>
    <w:rsid w:val="003E6935"/>
    <w:pPr>
      <w:spacing w:after="120"/>
    </w:pPr>
    <w:rPr>
      <w:sz w:val="16"/>
      <w:szCs w:val="16"/>
    </w:rPr>
  </w:style>
  <w:style w:type="character" w:customStyle="1" w:styleId="Textoindependiente3Car">
    <w:name w:val="Texto independiente 3 Car"/>
    <w:basedOn w:val="Fuentedeprrafopredeter"/>
    <w:link w:val="Textoindependiente3"/>
    <w:uiPriority w:val="99"/>
    <w:rsid w:val="003E6935"/>
    <w:rPr>
      <w:rFonts w:ascii="Arial" w:eastAsia="Batang" w:hAnsi="Arial" w:cs="Times New Roman"/>
      <w:sz w:val="16"/>
      <w:szCs w:val="16"/>
      <w:lang w:val="es-ES" w:eastAsia="es-ES"/>
    </w:rPr>
  </w:style>
  <w:style w:type="character" w:customStyle="1" w:styleId="longtext">
    <w:name w:val="long_text"/>
    <w:basedOn w:val="Fuentedeprrafopredeter"/>
    <w:rsid w:val="00D82CE3"/>
  </w:style>
  <w:style w:type="character" w:customStyle="1" w:styleId="hps">
    <w:name w:val="hps"/>
    <w:basedOn w:val="Fuentedeprrafopredeter"/>
    <w:rsid w:val="00D82CE3"/>
  </w:style>
  <w:style w:type="character" w:styleId="Hipervnculo">
    <w:name w:val="Hyperlink"/>
    <w:basedOn w:val="Fuentedeprrafopredeter"/>
    <w:uiPriority w:val="99"/>
    <w:unhideWhenUsed/>
    <w:rsid w:val="00D82CE3"/>
    <w:rPr>
      <w:color w:val="0000FF"/>
      <w:u w:val="single"/>
    </w:rPr>
  </w:style>
  <w:style w:type="paragraph" w:styleId="TtulodeTDC">
    <w:name w:val="TOC Heading"/>
    <w:basedOn w:val="Ttulo1"/>
    <w:next w:val="Normal"/>
    <w:uiPriority w:val="39"/>
    <w:semiHidden/>
    <w:unhideWhenUsed/>
    <w:qFormat/>
    <w:rsid w:val="00E84B19"/>
    <w:pPr>
      <w:keepLines/>
      <w:spacing w:before="480" w:after="0" w:line="276" w:lineRule="auto"/>
      <w:outlineLvl w:val="9"/>
    </w:pPr>
    <w:rPr>
      <w:rFonts w:asciiTheme="majorHAnsi" w:eastAsiaTheme="majorEastAsia" w:hAnsiTheme="majorHAnsi" w:cstheme="majorBidi"/>
      <w:color w:val="365F91" w:themeColor="accent1" w:themeShade="BF"/>
      <w:kern w:val="0"/>
      <w:sz w:val="28"/>
      <w:szCs w:val="28"/>
      <w:lang w:val="es-MX" w:eastAsia="es-MX"/>
    </w:rPr>
  </w:style>
  <w:style w:type="paragraph" w:styleId="TDC1">
    <w:name w:val="toc 1"/>
    <w:basedOn w:val="Normal"/>
    <w:next w:val="Normal"/>
    <w:autoRedefine/>
    <w:uiPriority w:val="39"/>
    <w:unhideWhenUsed/>
    <w:rsid w:val="00E84B19"/>
    <w:pPr>
      <w:spacing w:after="100"/>
    </w:pPr>
  </w:style>
  <w:style w:type="paragraph" w:styleId="TDC2">
    <w:name w:val="toc 2"/>
    <w:basedOn w:val="Normal"/>
    <w:next w:val="Normal"/>
    <w:autoRedefine/>
    <w:uiPriority w:val="39"/>
    <w:unhideWhenUsed/>
    <w:rsid w:val="00E84B19"/>
    <w:pPr>
      <w:spacing w:after="100"/>
      <w:ind w:left="220"/>
    </w:pPr>
  </w:style>
  <w:style w:type="paragraph" w:styleId="TDC3">
    <w:name w:val="toc 3"/>
    <w:basedOn w:val="Normal"/>
    <w:next w:val="Normal"/>
    <w:autoRedefine/>
    <w:uiPriority w:val="39"/>
    <w:unhideWhenUsed/>
    <w:rsid w:val="00E84B19"/>
    <w:pPr>
      <w:spacing w:after="100"/>
      <w:ind w:left="440"/>
    </w:pPr>
  </w:style>
  <w:style w:type="paragraph" w:styleId="Prrafodelista">
    <w:name w:val="List Paragraph"/>
    <w:basedOn w:val="Normal"/>
    <w:uiPriority w:val="34"/>
    <w:qFormat/>
    <w:rsid w:val="00346C1F"/>
    <w:pPr>
      <w:ind w:left="720"/>
      <w:contextualSpacing/>
    </w:pPr>
  </w:style>
  <w:style w:type="character" w:styleId="nfasis">
    <w:name w:val="Emphasis"/>
    <w:basedOn w:val="Fuentedeprrafopredeter"/>
    <w:uiPriority w:val="20"/>
    <w:qFormat/>
    <w:rsid w:val="00EA69BD"/>
    <w:rPr>
      <w:b/>
      <w:bCs/>
      <w:i w:val="0"/>
      <w:iCs w:val="0"/>
    </w:rPr>
  </w:style>
  <w:style w:type="paragraph" w:styleId="Textonotapie">
    <w:name w:val="footnote text"/>
    <w:basedOn w:val="Normal"/>
    <w:link w:val="TextonotapieCar"/>
    <w:uiPriority w:val="99"/>
    <w:unhideWhenUsed/>
    <w:rsid w:val="00CE65B8"/>
    <w:pPr>
      <w:jc w:val="left"/>
    </w:pPr>
    <w:rPr>
      <w:rFonts w:asciiTheme="minorHAnsi" w:eastAsiaTheme="minorHAnsi" w:hAnsiTheme="minorHAnsi" w:cstheme="minorBidi"/>
      <w:sz w:val="24"/>
      <w:szCs w:val="24"/>
      <w:lang w:val="es-MX" w:eastAsia="en-US"/>
    </w:rPr>
  </w:style>
  <w:style w:type="character" w:customStyle="1" w:styleId="TextonotapieCar">
    <w:name w:val="Texto nota pie Car"/>
    <w:basedOn w:val="Fuentedeprrafopredeter"/>
    <w:link w:val="Textonotapie"/>
    <w:uiPriority w:val="99"/>
    <w:rsid w:val="00CE65B8"/>
    <w:rPr>
      <w:sz w:val="24"/>
      <w:szCs w:val="24"/>
    </w:rPr>
  </w:style>
  <w:style w:type="character" w:styleId="Refdenotaalpie">
    <w:name w:val="footnote reference"/>
    <w:basedOn w:val="Fuentedeprrafopredeter"/>
    <w:uiPriority w:val="99"/>
    <w:unhideWhenUsed/>
    <w:rsid w:val="00CE65B8"/>
    <w:rPr>
      <w:vertAlign w:val="superscript"/>
    </w:rPr>
  </w:style>
  <w:style w:type="table" w:styleId="Tablaconcuadrcula">
    <w:name w:val="Table Grid"/>
    <w:basedOn w:val="Tablanormal"/>
    <w:uiPriority w:val="59"/>
    <w:rsid w:val="00CE65B8"/>
    <w:pPr>
      <w:spacing w:line="240" w:lineRule="auto"/>
      <w:jc w:val="left"/>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unhideWhenUsed/>
    <w:rsid w:val="00F431EC"/>
    <w:pPr>
      <w:spacing w:before="100" w:beforeAutospacing="1" w:after="100" w:afterAutospacing="1"/>
      <w:jc w:val="left"/>
    </w:pPr>
    <w:rPr>
      <w:rFonts w:ascii="Times" w:eastAsiaTheme="minorEastAsia" w:hAnsi="Times"/>
      <w:sz w:val="20"/>
      <w:lang w:val="es-MX"/>
    </w:rPr>
  </w:style>
  <w:style w:type="character" w:styleId="Refdecomentario">
    <w:name w:val="annotation reference"/>
    <w:basedOn w:val="Fuentedeprrafopredeter"/>
    <w:uiPriority w:val="99"/>
    <w:semiHidden/>
    <w:unhideWhenUsed/>
    <w:rsid w:val="00D353D7"/>
    <w:rPr>
      <w:sz w:val="16"/>
      <w:szCs w:val="16"/>
    </w:rPr>
  </w:style>
  <w:style w:type="paragraph" w:styleId="Textocomentario">
    <w:name w:val="annotation text"/>
    <w:basedOn w:val="Normal"/>
    <w:link w:val="TextocomentarioCar"/>
    <w:uiPriority w:val="99"/>
    <w:semiHidden/>
    <w:unhideWhenUsed/>
    <w:rsid w:val="00D353D7"/>
    <w:rPr>
      <w:sz w:val="20"/>
    </w:rPr>
  </w:style>
  <w:style w:type="character" w:customStyle="1" w:styleId="TextocomentarioCar">
    <w:name w:val="Texto comentario Car"/>
    <w:basedOn w:val="Fuentedeprrafopredeter"/>
    <w:link w:val="Textocomentario"/>
    <w:uiPriority w:val="99"/>
    <w:semiHidden/>
    <w:rsid w:val="00D353D7"/>
    <w:rPr>
      <w:rFonts w:ascii="Arial" w:eastAsia="Batang" w:hAnsi="Arial" w:cs="Times New Roman"/>
      <w:sz w:val="20"/>
      <w:szCs w:val="20"/>
      <w:lang w:val="es-ES" w:eastAsia="es-ES"/>
    </w:rPr>
  </w:style>
  <w:style w:type="paragraph" w:styleId="Asuntodelcomentario">
    <w:name w:val="annotation subject"/>
    <w:basedOn w:val="Textocomentario"/>
    <w:next w:val="Textocomentario"/>
    <w:link w:val="AsuntodelcomentarioCar"/>
    <w:uiPriority w:val="99"/>
    <w:semiHidden/>
    <w:unhideWhenUsed/>
    <w:rsid w:val="00D353D7"/>
    <w:rPr>
      <w:b/>
      <w:bCs/>
    </w:rPr>
  </w:style>
  <w:style w:type="character" w:customStyle="1" w:styleId="AsuntodelcomentarioCar">
    <w:name w:val="Asunto del comentario Car"/>
    <w:basedOn w:val="TextocomentarioCar"/>
    <w:link w:val="Asuntodelcomentario"/>
    <w:uiPriority w:val="99"/>
    <w:semiHidden/>
    <w:rsid w:val="00D353D7"/>
    <w:rPr>
      <w:rFonts w:ascii="Arial" w:eastAsia="Batang" w:hAnsi="Arial" w:cs="Times New Roman"/>
      <w:b/>
      <w:bCs/>
      <w:sz w:val="20"/>
      <w:szCs w:val="20"/>
      <w:lang w:val="es-ES" w:eastAsia="es-ES"/>
    </w:rPr>
  </w:style>
  <w:style w:type="paragraph" w:styleId="Mapadeldocumento">
    <w:name w:val="Document Map"/>
    <w:basedOn w:val="Normal"/>
    <w:link w:val="MapadeldocumentoCar"/>
    <w:uiPriority w:val="99"/>
    <w:semiHidden/>
    <w:unhideWhenUsed/>
    <w:rsid w:val="00E43E78"/>
    <w:rPr>
      <w:rFonts w:ascii="Lucida Grande" w:hAnsi="Lucida Grande"/>
      <w:sz w:val="24"/>
      <w:szCs w:val="24"/>
    </w:rPr>
  </w:style>
  <w:style w:type="character" w:customStyle="1" w:styleId="MapadeldocumentoCar">
    <w:name w:val="Mapa del documento Car"/>
    <w:basedOn w:val="Fuentedeprrafopredeter"/>
    <w:link w:val="Mapadeldocumento"/>
    <w:uiPriority w:val="99"/>
    <w:semiHidden/>
    <w:rsid w:val="00E43E78"/>
    <w:rPr>
      <w:rFonts w:ascii="Lucida Grande" w:eastAsia="Batang" w:hAnsi="Lucida Grande" w:cs="Times New Roman"/>
      <w:sz w:val="24"/>
      <w:szCs w:val="24"/>
      <w:lang w:val="es-ES" w:eastAsia="es-ES"/>
    </w:rPr>
  </w:style>
  <w:style w:type="character" w:styleId="Nmerodelnea">
    <w:name w:val="line number"/>
    <w:basedOn w:val="Fuentedeprrafopredeter"/>
    <w:uiPriority w:val="99"/>
    <w:semiHidden/>
    <w:unhideWhenUsed/>
    <w:rsid w:val="000529E6"/>
  </w:style>
  <w:style w:type="paragraph" w:styleId="Textonotaalfinal">
    <w:name w:val="endnote text"/>
    <w:basedOn w:val="Normal"/>
    <w:link w:val="TextonotaalfinalCar"/>
    <w:uiPriority w:val="99"/>
    <w:unhideWhenUsed/>
    <w:rsid w:val="000529E6"/>
    <w:pPr>
      <w:jc w:val="left"/>
    </w:pPr>
    <w:rPr>
      <w:rFonts w:asciiTheme="minorHAnsi" w:eastAsiaTheme="minorHAnsi" w:hAnsiTheme="minorHAnsi" w:cstheme="minorBidi"/>
      <w:sz w:val="24"/>
      <w:szCs w:val="24"/>
      <w:lang w:val="es-MX" w:eastAsia="en-US"/>
    </w:rPr>
  </w:style>
  <w:style w:type="character" w:customStyle="1" w:styleId="TextonotaalfinalCar">
    <w:name w:val="Texto nota al final Car"/>
    <w:basedOn w:val="Fuentedeprrafopredeter"/>
    <w:link w:val="Textonotaalfinal"/>
    <w:uiPriority w:val="99"/>
    <w:rsid w:val="000529E6"/>
    <w:rPr>
      <w:sz w:val="24"/>
      <w:szCs w:val="24"/>
    </w:rPr>
  </w:style>
  <w:style w:type="character" w:styleId="Refdenotaalfinal">
    <w:name w:val="endnote reference"/>
    <w:basedOn w:val="Fuentedeprrafopredeter"/>
    <w:uiPriority w:val="99"/>
    <w:unhideWhenUsed/>
    <w:rsid w:val="000529E6"/>
    <w:rPr>
      <w:vertAlign w:val="superscript"/>
    </w:rPr>
  </w:style>
  <w:style w:type="paragraph" w:styleId="HTMLconformatoprevio">
    <w:name w:val="HTML Preformatted"/>
    <w:basedOn w:val="Normal"/>
    <w:link w:val="HTMLconformatoprevioCar"/>
    <w:uiPriority w:val="99"/>
    <w:unhideWhenUsed/>
    <w:rsid w:val="00B41C1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w:eastAsiaTheme="minorHAnsi" w:hAnsi="Courier" w:cs="Courier"/>
      <w:sz w:val="20"/>
      <w:lang w:val="es-MX"/>
    </w:rPr>
  </w:style>
  <w:style w:type="character" w:customStyle="1" w:styleId="HTMLconformatoprevioCar">
    <w:name w:val="HTML con formato previo Car"/>
    <w:basedOn w:val="Fuentedeprrafopredeter"/>
    <w:link w:val="HTMLconformatoprevio"/>
    <w:uiPriority w:val="99"/>
    <w:rsid w:val="00B41C1C"/>
    <w:rPr>
      <w:rFonts w:ascii="Courier" w:hAnsi="Courier" w:cs="Courier"/>
      <w:sz w:val="20"/>
      <w:szCs w:val="20"/>
      <w:lang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MX" w:eastAsia="en-US" w:bidi="ar-SA"/>
      </w:rPr>
    </w:rPrDefault>
    <w:pPrDefault>
      <w:pPr>
        <w:spacing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A3A1B"/>
    <w:pPr>
      <w:spacing w:line="240" w:lineRule="auto"/>
    </w:pPr>
    <w:rPr>
      <w:rFonts w:ascii="Arial" w:eastAsia="Batang" w:hAnsi="Arial" w:cs="Times New Roman"/>
      <w:szCs w:val="20"/>
      <w:lang w:val="es-ES" w:eastAsia="es-ES"/>
    </w:rPr>
  </w:style>
  <w:style w:type="paragraph" w:styleId="Ttulo1">
    <w:name w:val="heading 1"/>
    <w:basedOn w:val="Normal"/>
    <w:next w:val="Normal"/>
    <w:link w:val="Ttulo1Car"/>
    <w:qFormat/>
    <w:rsid w:val="00D2111B"/>
    <w:pPr>
      <w:keepNext/>
      <w:spacing w:before="240" w:after="60"/>
      <w:jc w:val="left"/>
      <w:outlineLvl w:val="0"/>
    </w:pPr>
    <w:rPr>
      <w:rFonts w:eastAsia="Times New Roman" w:cs="Arial"/>
      <w:b/>
      <w:bCs/>
      <w:kern w:val="32"/>
      <w:sz w:val="32"/>
      <w:szCs w:val="32"/>
    </w:rPr>
  </w:style>
  <w:style w:type="paragraph" w:styleId="Ttulo2">
    <w:name w:val="heading 2"/>
    <w:basedOn w:val="Normal"/>
    <w:next w:val="Normal"/>
    <w:link w:val="Ttulo2Car"/>
    <w:qFormat/>
    <w:rsid w:val="00D2111B"/>
    <w:pPr>
      <w:keepNext/>
      <w:spacing w:before="240" w:after="60"/>
      <w:jc w:val="left"/>
      <w:outlineLvl w:val="1"/>
    </w:pPr>
    <w:rPr>
      <w:rFonts w:eastAsia="Times New Roman" w:cs="Arial"/>
      <w:b/>
      <w:bCs/>
      <w:i/>
      <w:iCs/>
      <w:sz w:val="28"/>
      <w:szCs w:val="28"/>
    </w:rPr>
  </w:style>
  <w:style w:type="paragraph" w:styleId="Ttulo3">
    <w:name w:val="heading 3"/>
    <w:basedOn w:val="Normal"/>
    <w:next w:val="Normal"/>
    <w:link w:val="Ttulo3Car"/>
    <w:uiPriority w:val="9"/>
    <w:unhideWhenUsed/>
    <w:qFormat/>
    <w:rsid w:val="00D82CE3"/>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autoRedefine/>
    <w:uiPriority w:val="9"/>
    <w:unhideWhenUsed/>
    <w:qFormat/>
    <w:rsid w:val="003B76B8"/>
    <w:pPr>
      <w:keepNext/>
      <w:keepLines/>
      <w:spacing w:before="200"/>
      <w:outlineLvl w:val="3"/>
    </w:pPr>
    <w:rPr>
      <w:rFonts w:asciiTheme="majorHAnsi" w:eastAsiaTheme="majorEastAsia" w:hAnsiTheme="majorHAnsi" w:cstheme="majorBidi"/>
      <w:b/>
      <w:bCs/>
      <w:i/>
      <w:i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D2111B"/>
    <w:rPr>
      <w:rFonts w:ascii="Arial" w:eastAsia="Times New Roman" w:hAnsi="Arial" w:cs="Arial"/>
      <w:b/>
      <w:bCs/>
      <w:kern w:val="32"/>
      <w:sz w:val="32"/>
      <w:szCs w:val="32"/>
      <w:lang w:val="es-ES" w:eastAsia="es-ES"/>
    </w:rPr>
  </w:style>
  <w:style w:type="character" w:customStyle="1" w:styleId="Ttulo2Car">
    <w:name w:val="Título 2 Car"/>
    <w:basedOn w:val="Fuentedeprrafopredeter"/>
    <w:link w:val="Ttulo2"/>
    <w:rsid w:val="00D2111B"/>
    <w:rPr>
      <w:rFonts w:ascii="Arial" w:eastAsia="Times New Roman" w:hAnsi="Arial" w:cs="Arial"/>
      <w:b/>
      <w:bCs/>
      <w:i/>
      <w:iCs/>
      <w:sz w:val="28"/>
      <w:szCs w:val="28"/>
      <w:lang w:val="es-ES" w:eastAsia="es-ES"/>
    </w:rPr>
  </w:style>
  <w:style w:type="character" w:customStyle="1" w:styleId="Ttulo3Car">
    <w:name w:val="Título 3 Car"/>
    <w:basedOn w:val="Fuentedeprrafopredeter"/>
    <w:link w:val="Ttulo3"/>
    <w:uiPriority w:val="9"/>
    <w:rsid w:val="00D82CE3"/>
    <w:rPr>
      <w:rFonts w:asciiTheme="majorHAnsi" w:eastAsiaTheme="majorEastAsia" w:hAnsiTheme="majorHAnsi" w:cstheme="majorBidi"/>
      <w:b/>
      <w:bCs/>
      <w:color w:val="4F81BD" w:themeColor="accent1"/>
      <w:szCs w:val="20"/>
      <w:lang w:val="es-ES" w:eastAsia="es-ES"/>
    </w:rPr>
  </w:style>
  <w:style w:type="character" w:customStyle="1" w:styleId="Ttulo4Car">
    <w:name w:val="Título 4 Car"/>
    <w:basedOn w:val="Fuentedeprrafopredeter"/>
    <w:link w:val="Ttulo4"/>
    <w:uiPriority w:val="9"/>
    <w:rsid w:val="003B76B8"/>
    <w:rPr>
      <w:rFonts w:asciiTheme="majorHAnsi" w:eastAsiaTheme="majorEastAsia" w:hAnsiTheme="majorHAnsi" w:cstheme="majorBidi"/>
      <w:b/>
      <w:bCs/>
      <w:i/>
      <w:iCs/>
      <w:szCs w:val="20"/>
      <w:lang w:val="es-ES" w:eastAsia="es-ES"/>
    </w:rPr>
  </w:style>
  <w:style w:type="paragraph" w:styleId="Textoindependiente">
    <w:name w:val="Body Text"/>
    <w:basedOn w:val="Normal"/>
    <w:link w:val="TextoindependienteCar"/>
    <w:rsid w:val="005A3A1B"/>
    <w:rPr>
      <w:rFonts w:ascii="Tahoma" w:hAnsi="Tahoma"/>
      <w:sz w:val="24"/>
    </w:rPr>
  </w:style>
  <w:style w:type="character" w:customStyle="1" w:styleId="TextoindependienteCar">
    <w:name w:val="Texto de cuerpo Car"/>
    <w:basedOn w:val="Fuentedeprrafopredeter"/>
    <w:link w:val="Textoindependiente"/>
    <w:rsid w:val="005A3A1B"/>
    <w:rPr>
      <w:rFonts w:ascii="Tahoma" w:eastAsia="Batang" w:hAnsi="Tahoma" w:cs="Times New Roman"/>
      <w:sz w:val="24"/>
      <w:szCs w:val="20"/>
      <w:lang w:val="es-ES" w:eastAsia="es-ES"/>
    </w:rPr>
  </w:style>
  <w:style w:type="paragraph" w:styleId="Encabezado">
    <w:name w:val="header"/>
    <w:basedOn w:val="Normal"/>
    <w:link w:val="EncabezadoCar"/>
    <w:uiPriority w:val="99"/>
    <w:unhideWhenUsed/>
    <w:rsid w:val="005A3A1B"/>
    <w:pPr>
      <w:tabs>
        <w:tab w:val="center" w:pos="4419"/>
        <w:tab w:val="right" w:pos="8838"/>
      </w:tabs>
    </w:pPr>
  </w:style>
  <w:style w:type="character" w:customStyle="1" w:styleId="EncabezadoCar">
    <w:name w:val="Encabezado Car"/>
    <w:basedOn w:val="Fuentedeprrafopredeter"/>
    <w:link w:val="Encabezado"/>
    <w:uiPriority w:val="99"/>
    <w:rsid w:val="005A3A1B"/>
    <w:rPr>
      <w:rFonts w:ascii="Arial" w:eastAsia="Batang" w:hAnsi="Arial" w:cs="Times New Roman"/>
      <w:szCs w:val="20"/>
      <w:lang w:val="es-ES" w:eastAsia="es-ES"/>
    </w:rPr>
  </w:style>
  <w:style w:type="paragraph" w:styleId="Piedepgina">
    <w:name w:val="footer"/>
    <w:basedOn w:val="Normal"/>
    <w:link w:val="PiedepginaCar"/>
    <w:uiPriority w:val="99"/>
    <w:unhideWhenUsed/>
    <w:rsid w:val="005A3A1B"/>
    <w:pPr>
      <w:tabs>
        <w:tab w:val="center" w:pos="4419"/>
        <w:tab w:val="right" w:pos="8838"/>
      </w:tabs>
    </w:pPr>
  </w:style>
  <w:style w:type="character" w:customStyle="1" w:styleId="PiedepginaCar">
    <w:name w:val="Pie de página Car"/>
    <w:basedOn w:val="Fuentedeprrafopredeter"/>
    <w:link w:val="Piedepgina"/>
    <w:uiPriority w:val="99"/>
    <w:rsid w:val="005A3A1B"/>
    <w:rPr>
      <w:rFonts w:ascii="Arial" w:eastAsia="Batang" w:hAnsi="Arial" w:cs="Times New Roman"/>
      <w:szCs w:val="20"/>
      <w:lang w:val="es-ES" w:eastAsia="es-ES"/>
    </w:rPr>
  </w:style>
  <w:style w:type="paragraph" w:styleId="Textoindependiente2">
    <w:name w:val="Body Text 2"/>
    <w:basedOn w:val="Normal"/>
    <w:link w:val="Textoindependiente2Car"/>
    <w:uiPriority w:val="99"/>
    <w:semiHidden/>
    <w:unhideWhenUsed/>
    <w:rsid w:val="005A3A1B"/>
    <w:pPr>
      <w:spacing w:after="120" w:line="480" w:lineRule="auto"/>
    </w:pPr>
  </w:style>
  <w:style w:type="character" w:customStyle="1" w:styleId="Textoindependiente2Car">
    <w:name w:val="Texto de cuerpo 2 Car"/>
    <w:basedOn w:val="Fuentedeprrafopredeter"/>
    <w:link w:val="Textoindependiente2"/>
    <w:uiPriority w:val="99"/>
    <w:semiHidden/>
    <w:rsid w:val="005A3A1B"/>
    <w:rPr>
      <w:rFonts w:ascii="Arial" w:eastAsia="Batang" w:hAnsi="Arial" w:cs="Times New Roman"/>
      <w:szCs w:val="20"/>
      <w:lang w:val="es-ES" w:eastAsia="es-ES"/>
    </w:rPr>
  </w:style>
  <w:style w:type="paragraph" w:styleId="Ttulo">
    <w:name w:val="Title"/>
    <w:basedOn w:val="Normal"/>
    <w:link w:val="TtuloCar"/>
    <w:qFormat/>
    <w:rsid w:val="005A3A1B"/>
    <w:pPr>
      <w:spacing w:line="360" w:lineRule="auto"/>
      <w:jc w:val="center"/>
    </w:pPr>
    <w:rPr>
      <w:rFonts w:ascii="Times New Roman" w:eastAsia="Times New Roman" w:hAnsi="Times New Roman"/>
      <w:b/>
      <w:sz w:val="24"/>
      <w:szCs w:val="24"/>
    </w:rPr>
  </w:style>
  <w:style w:type="character" w:customStyle="1" w:styleId="TtuloCar">
    <w:name w:val="Título Car"/>
    <w:basedOn w:val="Fuentedeprrafopredeter"/>
    <w:link w:val="Ttulo"/>
    <w:rsid w:val="005A3A1B"/>
    <w:rPr>
      <w:rFonts w:ascii="Times New Roman" w:eastAsia="Times New Roman" w:hAnsi="Times New Roman" w:cs="Times New Roman"/>
      <w:b/>
      <w:sz w:val="24"/>
      <w:szCs w:val="24"/>
      <w:lang w:val="es-ES" w:eastAsia="es-ES"/>
    </w:rPr>
  </w:style>
  <w:style w:type="paragraph" w:styleId="Subttulo">
    <w:name w:val="Subtitle"/>
    <w:basedOn w:val="Normal"/>
    <w:link w:val="SubttuloCar"/>
    <w:qFormat/>
    <w:rsid w:val="005A3A1B"/>
    <w:pPr>
      <w:spacing w:line="360" w:lineRule="auto"/>
      <w:jc w:val="center"/>
    </w:pPr>
    <w:rPr>
      <w:rFonts w:eastAsia="Times New Roman" w:cs="Arial"/>
      <w:b/>
      <w:bCs/>
      <w:smallCaps/>
      <w:sz w:val="24"/>
      <w:szCs w:val="24"/>
    </w:rPr>
  </w:style>
  <w:style w:type="character" w:customStyle="1" w:styleId="SubttuloCar">
    <w:name w:val="Subtítulo Car"/>
    <w:basedOn w:val="Fuentedeprrafopredeter"/>
    <w:link w:val="Subttulo"/>
    <w:rsid w:val="005A3A1B"/>
    <w:rPr>
      <w:rFonts w:ascii="Arial" w:eastAsia="Times New Roman" w:hAnsi="Arial" w:cs="Arial"/>
      <w:b/>
      <w:bCs/>
      <w:smallCaps/>
      <w:sz w:val="24"/>
      <w:szCs w:val="24"/>
      <w:lang w:val="es-ES" w:eastAsia="es-ES"/>
    </w:rPr>
  </w:style>
  <w:style w:type="character" w:styleId="Nmerodepgina">
    <w:name w:val="page number"/>
    <w:basedOn w:val="Fuentedeprrafopredeter"/>
    <w:rsid w:val="005A3A1B"/>
  </w:style>
  <w:style w:type="paragraph" w:styleId="Textodeglobo">
    <w:name w:val="Balloon Text"/>
    <w:basedOn w:val="Normal"/>
    <w:link w:val="TextodegloboCar"/>
    <w:uiPriority w:val="99"/>
    <w:semiHidden/>
    <w:unhideWhenUsed/>
    <w:rsid w:val="005A3A1B"/>
    <w:rPr>
      <w:rFonts w:ascii="Tahoma" w:hAnsi="Tahoma" w:cs="Tahoma"/>
      <w:sz w:val="16"/>
      <w:szCs w:val="16"/>
    </w:rPr>
  </w:style>
  <w:style w:type="character" w:customStyle="1" w:styleId="TextodegloboCar">
    <w:name w:val="Texto de globo Car"/>
    <w:basedOn w:val="Fuentedeprrafopredeter"/>
    <w:link w:val="Textodeglobo"/>
    <w:uiPriority w:val="99"/>
    <w:semiHidden/>
    <w:rsid w:val="005A3A1B"/>
    <w:rPr>
      <w:rFonts w:ascii="Tahoma" w:eastAsia="Batang" w:hAnsi="Tahoma" w:cs="Tahoma"/>
      <w:sz w:val="16"/>
      <w:szCs w:val="16"/>
      <w:lang w:val="es-ES" w:eastAsia="es-ES"/>
    </w:rPr>
  </w:style>
  <w:style w:type="paragraph" w:styleId="Textoindependiente3">
    <w:name w:val="Body Text 3"/>
    <w:basedOn w:val="Normal"/>
    <w:link w:val="Textoindependiente3Car"/>
    <w:uiPriority w:val="99"/>
    <w:unhideWhenUsed/>
    <w:rsid w:val="003E6935"/>
    <w:pPr>
      <w:spacing w:after="120"/>
    </w:pPr>
    <w:rPr>
      <w:sz w:val="16"/>
      <w:szCs w:val="16"/>
    </w:rPr>
  </w:style>
  <w:style w:type="character" w:customStyle="1" w:styleId="Textoindependiente3Car">
    <w:name w:val="Texto de cuerpo 3 Car"/>
    <w:basedOn w:val="Fuentedeprrafopredeter"/>
    <w:link w:val="Textoindependiente3"/>
    <w:uiPriority w:val="99"/>
    <w:rsid w:val="003E6935"/>
    <w:rPr>
      <w:rFonts w:ascii="Arial" w:eastAsia="Batang" w:hAnsi="Arial" w:cs="Times New Roman"/>
      <w:sz w:val="16"/>
      <w:szCs w:val="16"/>
      <w:lang w:val="es-ES" w:eastAsia="es-ES"/>
    </w:rPr>
  </w:style>
  <w:style w:type="character" w:customStyle="1" w:styleId="longtext">
    <w:name w:val="long_text"/>
    <w:basedOn w:val="Fuentedeprrafopredeter"/>
    <w:rsid w:val="00D82CE3"/>
  </w:style>
  <w:style w:type="character" w:customStyle="1" w:styleId="hps">
    <w:name w:val="hps"/>
    <w:basedOn w:val="Fuentedeprrafopredeter"/>
    <w:rsid w:val="00D82CE3"/>
  </w:style>
  <w:style w:type="character" w:styleId="Hipervnculo">
    <w:name w:val="Hyperlink"/>
    <w:basedOn w:val="Fuentedeprrafopredeter"/>
    <w:uiPriority w:val="99"/>
    <w:unhideWhenUsed/>
    <w:rsid w:val="00D82CE3"/>
    <w:rPr>
      <w:color w:val="0000FF"/>
      <w:u w:val="single"/>
    </w:rPr>
  </w:style>
  <w:style w:type="paragraph" w:styleId="TtulodeTDC">
    <w:name w:val="TOC Heading"/>
    <w:basedOn w:val="Ttulo1"/>
    <w:next w:val="Normal"/>
    <w:uiPriority w:val="39"/>
    <w:semiHidden/>
    <w:unhideWhenUsed/>
    <w:qFormat/>
    <w:rsid w:val="00E84B19"/>
    <w:pPr>
      <w:keepLines/>
      <w:spacing w:before="480" w:after="0" w:line="276" w:lineRule="auto"/>
      <w:outlineLvl w:val="9"/>
    </w:pPr>
    <w:rPr>
      <w:rFonts w:asciiTheme="majorHAnsi" w:eastAsiaTheme="majorEastAsia" w:hAnsiTheme="majorHAnsi" w:cstheme="majorBidi"/>
      <w:color w:val="365F91" w:themeColor="accent1" w:themeShade="BF"/>
      <w:kern w:val="0"/>
      <w:sz w:val="28"/>
      <w:szCs w:val="28"/>
      <w:lang w:val="es-MX" w:eastAsia="es-MX"/>
    </w:rPr>
  </w:style>
  <w:style w:type="paragraph" w:styleId="TDC1">
    <w:name w:val="toc 1"/>
    <w:basedOn w:val="Normal"/>
    <w:next w:val="Normal"/>
    <w:autoRedefine/>
    <w:uiPriority w:val="39"/>
    <w:unhideWhenUsed/>
    <w:rsid w:val="00E84B19"/>
    <w:pPr>
      <w:spacing w:after="100"/>
    </w:pPr>
  </w:style>
  <w:style w:type="paragraph" w:styleId="TDC2">
    <w:name w:val="toc 2"/>
    <w:basedOn w:val="Normal"/>
    <w:next w:val="Normal"/>
    <w:autoRedefine/>
    <w:uiPriority w:val="39"/>
    <w:unhideWhenUsed/>
    <w:rsid w:val="00E84B19"/>
    <w:pPr>
      <w:spacing w:after="100"/>
      <w:ind w:left="220"/>
    </w:pPr>
  </w:style>
  <w:style w:type="paragraph" w:styleId="TDC3">
    <w:name w:val="toc 3"/>
    <w:basedOn w:val="Normal"/>
    <w:next w:val="Normal"/>
    <w:autoRedefine/>
    <w:uiPriority w:val="39"/>
    <w:unhideWhenUsed/>
    <w:rsid w:val="00E84B19"/>
    <w:pPr>
      <w:spacing w:after="100"/>
      <w:ind w:left="440"/>
    </w:pPr>
  </w:style>
  <w:style w:type="paragraph" w:styleId="Prrafodelista">
    <w:name w:val="List Paragraph"/>
    <w:basedOn w:val="Normal"/>
    <w:uiPriority w:val="34"/>
    <w:qFormat/>
    <w:rsid w:val="00346C1F"/>
    <w:pPr>
      <w:ind w:left="720"/>
      <w:contextualSpacing/>
    </w:pPr>
  </w:style>
  <w:style w:type="character" w:styleId="nfasis">
    <w:name w:val="Emphasis"/>
    <w:basedOn w:val="Fuentedeprrafopredeter"/>
    <w:uiPriority w:val="20"/>
    <w:qFormat/>
    <w:rsid w:val="00EA69BD"/>
    <w:rPr>
      <w:b/>
      <w:bCs/>
      <w:i w:val="0"/>
      <w:iCs w:val="0"/>
    </w:rPr>
  </w:style>
  <w:style w:type="paragraph" w:styleId="Textonotapie">
    <w:name w:val="footnote text"/>
    <w:basedOn w:val="Normal"/>
    <w:link w:val="TextonotapieCar"/>
    <w:uiPriority w:val="99"/>
    <w:unhideWhenUsed/>
    <w:rsid w:val="00CE65B8"/>
    <w:pPr>
      <w:jc w:val="left"/>
    </w:pPr>
    <w:rPr>
      <w:rFonts w:asciiTheme="minorHAnsi" w:eastAsiaTheme="minorHAnsi" w:hAnsiTheme="minorHAnsi" w:cstheme="minorBidi"/>
      <w:sz w:val="24"/>
      <w:szCs w:val="24"/>
      <w:lang w:val="es-MX" w:eastAsia="en-US"/>
    </w:rPr>
  </w:style>
  <w:style w:type="character" w:customStyle="1" w:styleId="TextonotapieCar">
    <w:name w:val="Texto nota pie Car"/>
    <w:basedOn w:val="Fuentedeprrafopredeter"/>
    <w:link w:val="Textonotapie"/>
    <w:uiPriority w:val="99"/>
    <w:rsid w:val="00CE65B8"/>
    <w:rPr>
      <w:sz w:val="24"/>
      <w:szCs w:val="24"/>
    </w:rPr>
  </w:style>
  <w:style w:type="character" w:styleId="Refdenotaalpie">
    <w:name w:val="footnote reference"/>
    <w:basedOn w:val="Fuentedeprrafopredeter"/>
    <w:uiPriority w:val="99"/>
    <w:unhideWhenUsed/>
    <w:rsid w:val="00CE65B8"/>
    <w:rPr>
      <w:vertAlign w:val="superscript"/>
    </w:rPr>
  </w:style>
  <w:style w:type="table" w:styleId="Tablaconcuadrcula">
    <w:name w:val="Table Grid"/>
    <w:basedOn w:val="Tablanormal"/>
    <w:uiPriority w:val="59"/>
    <w:rsid w:val="00CE65B8"/>
    <w:pPr>
      <w:spacing w:line="240" w:lineRule="auto"/>
      <w:jc w:val="left"/>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unhideWhenUsed/>
    <w:rsid w:val="00F431EC"/>
    <w:pPr>
      <w:spacing w:before="100" w:beforeAutospacing="1" w:after="100" w:afterAutospacing="1"/>
      <w:jc w:val="left"/>
    </w:pPr>
    <w:rPr>
      <w:rFonts w:ascii="Times" w:eastAsiaTheme="minorEastAsia" w:hAnsi="Times"/>
      <w:sz w:val="20"/>
      <w:lang w:val="es-MX"/>
    </w:rPr>
  </w:style>
  <w:style w:type="character" w:styleId="Refdecomentario">
    <w:name w:val="annotation reference"/>
    <w:basedOn w:val="Fuentedeprrafopredeter"/>
    <w:uiPriority w:val="99"/>
    <w:semiHidden/>
    <w:unhideWhenUsed/>
    <w:rsid w:val="00D353D7"/>
    <w:rPr>
      <w:sz w:val="16"/>
      <w:szCs w:val="16"/>
    </w:rPr>
  </w:style>
  <w:style w:type="paragraph" w:styleId="Textocomentario">
    <w:name w:val="annotation text"/>
    <w:basedOn w:val="Normal"/>
    <w:link w:val="TextocomentarioCar"/>
    <w:uiPriority w:val="99"/>
    <w:semiHidden/>
    <w:unhideWhenUsed/>
    <w:rsid w:val="00D353D7"/>
    <w:rPr>
      <w:sz w:val="20"/>
    </w:rPr>
  </w:style>
  <w:style w:type="character" w:customStyle="1" w:styleId="TextocomentarioCar">
    <w:name w:val="Texto comentario Car"/>
    <w:basedOn w:val="Fuentedeprrafopredeter"/>
    <w:link w:val="Textocomentario"/>
    <w:uiPriority w:val="99"/>
    <w:semiHidden/>
    <w:rsid w:val="00D353D7"/>
    <w:rPr>
      <w:rFonts w:ascii="Arial" w:eastAsia="Batang" w:hAnsi="Arial" w:cs="Times New Roman"/>
      <w:sz w:val="20"/>
      <w:szCs w:val="20"/>
      <w:lang w:val="es-ES" w:eastAsia="es-ES"/>
    </w:rPr>
  </w:style>
  <w:style w:type="paragraph" w:styleId="Asuntodelcomentario">
    <w:name w:val="annotation subject"/>
    <w:basedOn w:val="Textocomentario"/>
    <w:next w:val="Textocomentario"/>
    <w:link w:val="AsuntodelcomentarioCar"/>
    <w:uiPriority w:val="99"/>
    <w:semiHidden/>
    <w:unhideWhenUsed/>
    <w:rsid w:val="00D353D7"/>
    <w:rPr>
      <w:b/>
      <w:bCs/>
    </w:rPr>
  </w:style>
  <w:style w:type="character" w:customStyle="1" w:styleId="AsuntodelcomentarioCar">
    <w:name w:val="Asunto del comentario Car"/>
    <w:basedOn w:val="TextocomentarioCar"/>
    <w:link w:val="Asuntodelcomentario"/>
    <w:uiPriority w:val="99"/>
    <w:semiHidden/>
    <w:rsid w:val="00D353D7"/>
    <w:rPr>
      <w:rFonts w:ascii="Arial" w:eastAsia="Batang" w:hAnsi="Arial" w:cs="Times New Roman"/>
      <w:b/>
      <w:bCs/>
      <w:sz w:val="20"/>
      <w:szCs w:val="20"/>
      <w:lang w:val="es-ES" w:eastAsia="es-ES"/>
    </w:rPr>
  </w:style>
  <w:style w:type="paragraph" w:styleId="Mapadeldocumento">
    <w:name w:val="Document Map"/>
    <w:basedOn w:val="Normal"/>
    <w:link w:val="MapadeldocumentoCar"/>
    <w:uiPriority w:val="99"/>
    <w:semiHidden/>
    <w:unhideWhenUsed/>
    <w:rsid w:val="00E43E78"/>
    <w:rPr>
      <w:rFonts w:ascii="Lucida Grande" w:hAnsi="Lucida Grande"/>
      <w:sz w:val="24"/>
      <w:szCs w:val="24"/>
    </w:rPr>
  </w:style>
  <w:style w:type="character" w:customStyle="1" w:styleId="MapadeldocumentoCar">
    <w:name w:val="Mapa del documento Car"/>
    <w:basedOn w:val="Fuentedeprrafopredeter"/>
    <w:link w:val="Mapadeldocumento"/>
    <w:uiPriority w:val="99"/>
    <w:semiHidden/>
    <w:rsid w:val="00E43E78"/>
    <w:rPr>
      <w:rFonts w:ascii="Lucida Grande" w:eastAsia="Batang" w:hAnsi="Lucida Grande" w:cs="Times New Roman"/>
      <w:sz w:val="24"/>
      <w:szCs w:val="24"/>
      <w:lang w:val="es-ES" w:eastAsia="es-ES"/>
    </w:rPr>
  </w:style>
  <w:style w:type="character" w:styleId="Nmerodelnea">
    <w:name w:val="line number"/>
    <w:basedOn w:val="Fuentedeprrafopredeter"/>
    <w:uiPriority w:val="99"/>
    <w:semiHidden/>
    <w:unhideWhenUsed/>
    <w:rsid w:val="000529E6"/>
  </w:style>
  <w:style w:type="paragraph" w:styleId="Textonotaalfinal">
    <w:name w:val="endnote text"/>
    <w:basedOn w:val="Normal"/>
    <w:link w:val="TextonotaalfinalCar"/>
    <w:uiPriority w:val="99"/>
    <w:unhideWhenUsed/>
    <w:rsid w:val="000529E6"/>
    <w:pPr>
      <w:jc w:val="left"/>
    </w:pPr>
    <w:rPr>
      <w:rFonts w:asciiTheme="minorHAnsi" w:eastAsiaTheme="minorHAnsi" w:hAnsiTheme="minorHAnsi" w:cstheme="minorBidi"/>
      <w:sz w:val="24"/>
      <w:szCs w:val="24"/>
      <w:lang w:val="es-MX" w:eastAsia="en-US"/>
    </w:rPr>
  </w:style>
  <w:style w:type="character" w:customStyle="1" w:styleId="TextonotaalfinalCar">
    <w:name w:val="Texto nota al final Car"/>
    <w:basedOn w:val="Fuentedeprrafopredeter"/>
    <w:link w:val="Textonotaalfinal"/>
    <w:uiPriority w:val="99"/>
    <w:rsid w:val="000529E6"/>
    <w:rPr>
      <w:sz w:val="24"/>
      <w:szCs w:val="24"/>
    </w:rPr>
  </w:style>
  <w:style w:type="character" w:styleId="Refdenotaalfinal">
    <w:name w:val="endnote reference"/>
    <w:basedOn w:val="Fuentedeprrafopredeter"/>
    <w:uiPriority w:val="99"/>
    <w:unhideWhenUsed/>
    <w:rsid w:val="000529E6"/>
    <w:rPr>
      <w:vertAlign w:val="superscript"/>
    </w:rPr>
  </w:style>
  <w:style w:type="paragraph" w:styleId="HTMLconformatoprevio">
    <w:name w:val="HTML Preformatted"/>
    <w:basedOn w:val="Normal"/>
    <w:link w:val="HTMLconformatoprevioCar"/>
    <w:uiPriority w:val="99"/>
    <w:unhideWhenUsed/>
    <w:rsid w:val="00B41C1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w:eastAsiaTheme="minorHAnsi" w:hAnsi="Courier" w:cs="Courier"/>
      <w:sz w:val="20"/>
      <w:lang w:val="es-MX"/>
    </w:rPr>
  </w:style>
  <w:style w:type="character" w:customStyle="1" w:styleId="HTMLconformatoprevioCar">
    <w:name w:val="HTML con formato previo Car"/>
    <w:basedOn w:val="Fuentedeprrafopredeter"/>
    <w:link w:val="HTMLconformatoprevio"/>
    <w:uiPriority w:val="99"/>
    <w:rsid w:val="00B41C1C"/>
    <w:rPr>
      <w:rFonts w:ascii="Courier" w:hAnsi="Courier" w:cs="Courier"/>
      <w:sz w:val="20"/>
      <w:szCs w:val="20"/>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045686">
      <w:bodyDiv w:val="1"/>
      <w:marLeft w:val="0"/>
      <w:marRight w:val="0"/>
      <w:marTop w:val="0"/>
      <w:marBottom w:val="0"/>
      <w:divBdr>
        <w:top w:val="none" w:sz="0" w:space="0" w:color="auto"/>
        <w:left w:val="none" w:sz="0" w:space="0" w:color="auto"/>
        <w:bottom w:val="none" w:sz="0" w:space="0" w:color="auto"/>
        <w:right w:val="none" w:sz="0" w:space="0" w:color="auto"/>
      </w:divBdr>
    </w:div>
    <w:div w:id="24134387">
      <w:bodyDiv w:val="1"/>
      <w:marLeft w:val="0"/>
      <w:marRight w:val="0"/>
      <w:marTop w:val="0"/>
      <w:marBottom w:val="0"/>
      <w:divBdr>
        <w:top w:val="none" w:sz="0" w:space="0" w:color="auto"/>
        <w:left w:val="none" w:sz="0" w:space="0" w:color="auto"/>
        <w:bottom w:val="none" w:sz="0" w:space="0" w:color="auto"/>
        <w:right w:val="none" w:sz="0" w:space="0" w:color="auto"/>
      </w:divBdr>
    </w:div>
    <w:div w:id="221136249">
      <w:bodyDiv w:val="1"/>
      <w:marLeft w:val="0"/>
      <w:marRight w:val="0"/>
      <w:marTop w:val="0"/>
      <w:marBottom w:val="0"/>
      <w:divBdr>
        <w:top w:val="none" w:sz="0" w:space="0" w:color="auto"/>
        <w:left w:val="none" w:sz="0" w:space="0" w:color="auto"/>
        <w:bottom w:val="none" w:sz="0" w:space="0" w:color="auto"/>
        <w:right w:val="none" w:sz="0" w:space="0" w:color="auto"/>
      </w:divBdr>
      <w:divsChild>
        <w:div w:id="1483740188">
          <w:marLeft w:val="0"/>
          <w:marRight w:val="0"/>
          <w:marTop w:val="0"/>
          <w:marBottom w:val="0"/>
          <w:divBdr>
            <w:top w:val="none" w:sz="0" w:space="0" w:color="auto"/>
            <w:left w:val="none" w:sz="0" w:space="0" w:color="auto"/>
            <w:bottom w:val="none" w:sz="0" w:space="0" w:color="auto"/>
            <w:right w:val="none" w:sz="0" w:space="0" w:color="auto"/>
          </w:divBdr>
          <w:divsChild>
            <w:div w:id="1545755930">
              <w:marLeft w:val="0"/>
              <w:marRight w:val="0"/>
              <w:marTop w:val="0"/>
              <w:marBottom w:val="0"/>
              <w:divBdr>
                <w:top w:val="none" w:sz="0" w:space="0" w:color="auto"/>
                <w:left w:val="none" w:sz="0" w:space="0" w:color="auto"/>
                <w:bottom w:val="none" w:sz="0" w:space="0" w:color="auto"/>
                <w:right w:val="none" w:sz="0" w:space="0" w:color="auto"/>
              </w:divBdr>
              <w:divsChild>
                <w:div w:id="1966037821">
                  <w:marLeft w:val="0"/>
                  <w:marRight w:val="0"/>
                  <w:marTop w:val="0"/>
                  <w:marBottom w:val="0"/>
                  <w:divBdr>
                    <w:top w:val="none" w:sz="0" w:space="0" w:color="auto"/>
                    <w:left w:val="none" w:sz="0" w:space="0" w:color="auto"/>
                    <w:bottom w:val="none" w:sz="0" w:space="0" w:color="auto"/>
                    <w:right w:val="none" w:sz="0" w:space="0" w:color="auto"/>
                  </w:divBdr>
                  <w:divsChild>
                    <w:div w:id="218906371">
                      <w:marLeft w:val="0"/>
                      <w:marRight w:val="0"/>
                      <w:marTop w:val="0"/>
                      <w:marBottom w:val="0"/>
                      <w:divBdr>
                        <w:top w:val="none" w:sz="0" w:space="0" w:color="auto"/>
                        <w:left w:val="none" w:sz="0" w:space="0" w:color="auto"/>
                        <w:bottom w:val="none" w:sz="0" w:space="0" w:color="auto"/>
                        <w:right w:val="none" w:sz="0" w:space="0" w:color="auto"/>
                      </w:divBdr>
                      <w:divsChild>
                        <w:div w:id="1063138865">
                          <w:marLeft w:val="0"/>
                          <w:marRight w:val="0"/>
                          <w:marTop w:val="0"/>
                          <w:marBottom w:val="0"/>
                          <w:divBdr>
                            <w:top w:val="none" w:sz="0" w:space="0" w:color="auto"/>
                            <w:left w:val="none" w:sz="0" w:space="0" w:color="auto"/>
                            <w:bottom w:val="none" w:sz="0" w:space="0" w:color="auto"/>
                            <w:right w:val="none" w:sz="0" w:space="0" w:color="auto"/>
                          </w:divBdr>
                          <w:divsChild>
                            <w:div w:id="1246259095">
                              <w:marLeft w:val="0"/>
                              <w:marRight w:val="0"/>
                              <w:marTop w:val="0"/>
                              <w:marBottom w:val="0"/>
                              <w:divBdr>
                                <w:top w:val="none" w:sz="0" w:space="0" w:color="auto"/>
                                <w:left w:val="none" w:sz="0" w:space="0" w:color="auto"/>
                                <w:bottom w:val="none" w:sz="0" w:space="0" w:color="auto"/>
                                <w:right w:val="none" w:sz="0" w:space="0" w:color="auto"/>
                              </w:divBdr>
                              <w:divsChild>
                                <w:div w:id="114956478">
                                  <w:marLeft w:val="0"/>
                                  <w:marRight w:val="0"/>
                                  <w:marTop w:val="0"/>
                                  <w:marBottom w:val="0"/>
                                  <w:divBdr>
                                    <w:top w:val="none" w:sz="0" w:space="0" w:color="auto"/>
                                    <w:left w:val="none" w:sz="0" w:space="0" w:color="auto"/>
                                    <w:bottom w:val="none" w:sz="0" w:space="0" w:color="auto"/>
                                    <w:right w:val="none" w:sz="0" w:space="0" w:color="auto"/>
                                  </w:divBdr>
                                  <w:divsChild>
                                    <w:div w:id="1871261366">
                                      <w:marLeft w:val="60"/>
                                      <w:marRight w:val="0"/>
                                      <w:marTop w:val="0"/>
                                      <w:marBottom w:val="0"/>
                                      <w:divBdr>
                                        <w:top w:val="none" w:sz="0" w:space="0" w:color="auto"/>
                                        <w:left w:val="none" w:sz="0" w:space="0" w:color="auto"/>
                                        <w:bottom w:val="none" w:sz="0" w:space="0" w:color="auto"/>
                                        <w:right w:val="none" w:sz="0" w:space="0" w:color="auto"/>
                                      </w:divBdr>
                                      <w:divsChild>
                                        <w:div w:id="920408526">
                                          <w:marLeft w:val="0"/>
                                          <w:marRight w:val="0"/>
                                          <w:marTop w:val="0"/>
                                          <w:marBottom w:val="0"/>
                                          <w:divBdr>
                                            <w:top w:val="none" w:sz="0" w:space="0" w:color="auto"/>
                                            <w:left w:val="none" w:sz="0" w:space="0" w:color="auto"/>
                                            <w:bottom w:val="none" w:sz="0" w:space="0" w:color="auto"/>
                                            <w:right w:val="none" w:sz="0" w:space="0" w:color="auto"/>
                                          </w:divBdr>
                                          <w:divsChild>
                                            <w:div w:id="916937219">
                                              <w:marLeft w:val="0"/>
                                              <w:marRight w:val="0"/>
                                              <w:marTop w:val="0"/>
                                              <w:marBottom w:val="120"/>
                                              <w:divBdr>
                                                <w:top w:val="single" w:sz="6" w:space="0" w:color="F5F5F5"/>
                                                <w:left w:val="single" w:sz="6" w:space="0" w:color="F5F5F5"/>
                                                <w:bottom w:val="single" w:sz="6" w:space="0" w:color="F5F5F5"/>
                                                <w:right w:val="single" w:sz="6" w:space="0" w:color="F5F5F5"/>
                                              </w:divBdr>
                                              <w:divsChild>
                                                <w:div w:id="1068724503">
                                                  <w:marLeft w:val="0"/>
                                                  <w:marRight w:val="0"/>
                                                  <w:marTop w:val="0"/>
                                                  <w:marBottom w:val="0"/>
                                                  <w:divBdr>
                                                    <w:top w:val="none" w:sz="0" w:space="0" w:color="auto"/>
                                                    <w:left w:val="none" w:sz="0" w:space="0" w:color="auto"/>
                                                    <w:bottom w:val="none" w:sz="0" w:space="0" w:color="auto"/>
                                                    <w:right w:val="none" w:sz="0" w:space="0" w:color="auto"/>
                                                  </w:divBdr>
                                                  <w:divsChild>
                                                    <w:div w:id="1813718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420838432">
      <w:bodyDiv w:val="1"/>
      <w:marLeft w:val="0"/>
      <w:marRight w:val="0"/>
      <w:marTop w:val="0"/>
      <w:marBottom w:val="0"/>
      <w:divBdr>
        <w:top w:val="none" w:sz="0" w:space="0" w:color="auto"/>
        <w:left w:val="none" w:sz="0" w:space="0" w:color="auto"/>
        <w:bottom w:val="none" w:sz="0" w:space="0" w:color="auto"/>
        <w:right w:val="none" w:sz="0" w:space="0" w:color="auto"/>
      </w:divBdr>
      <w:divsChild>
        <w:div w:id="1993021249">
          <w:marLeft w:val="0"/>
          <w:marRight w:val="0"/>
          <w:marTop w:val="0"/>
          <w:marBottom w:val="0"/>
          <w:divBdr>
            <w:top w:val="none" w:sz="0" w:space="0" w:color="auto"/>
            <w:left w:val="none" w:sz="0" w:space="0" w:color="auto"/>
            <w:bottom w:val="none" w:sz="0" w:space="0" w:color="auto"/>
            <w:right w:val="none" w:sz="0" w:space="0" w:color="auto"/>
          </w:divBdr>
          <w:divsChild>
            <w:div w:id="105664017">
              <w:marLeft w:val="0"/>
              <w:marRight w:val="0"/>
              <w:marTop w:val="0"/>
              <w:marBottom w:val="0"/>
              <w:divBdr>
                <w:top w:val="none" w:sz="0" w:space="0" w:color="auto"/>
                <w:left w:val="none" w:sz="0" w:space="0" w:color="auto"/>
                <w:bottom w:val="none" w:sz="0" w:space="0" w:color="auto"/>
                <w:right w:val="none" w:sz="0" w:space="0" w:color="auto"/>
              </w:divBdr>
              <w:divsChild>
                <w:div w:id="2114855541">
                  <w:marLeft w:val="0"/>
                  <w:marRight w:val="0"/>
                  <w:marTop w:val="0"/>
                  <w:marBottom w:val="0"/>
                  <w:divBdr>
                    <w:top w:val="none" w:sz="0" w:space="0" w:color="auto"/>
                    <w:left w:val="none" w:sz="0" w:space="0" w:color="auto"/>
                    <w:bottom w:val="none" w:sz="0" w:space="0" w:color="auto"/>
                    <w:right w:val="none" w:sz="0" w:space="0" w:color="auto"/>
                  </w:divBdr>
                  <w:divsChild>
                    <w:div w:id="1960449783">
                      <w:marLeft w:val="0"/>
                      <w:marRight w:val="0"/>
                      <w:marTop w:val="0"/>
                      <w:marBottom w:val="0"/>
                      <w:divBdr>
                        <w:top w:val="none" w:sz="0" w:space="0" w:color="auto"/>
                        <w:left w:val="none" w:sz="0" w:space="0" w:color="auto"/>
                        <w:bottom w:val="none" w:sz="0" w:space="0" w:color="auto"/>
                        <w:right w:val="none" w:sz="0" w:space="0" w:color="auto"/>
                      </w:divBdr>
                      <w:divsChild>
                        <w:div w:id="1044133484">
                          <w:marLeft w:val="0"/>
                          <w:marRight w:val="0"/>
                          <w:marTop w:val="0"/>
                          <w:marBottom w:val="0"/>
                          <w:divBdr>
                            <w:top w:val="none" w:sz="0" w:space="0" w:color="auto"/>
                            <w:left w:val="none" w:sz="0" w:space="0" w:color="auto"/>
                            <w:bottom w:val="none" w:sz="0" w:space="0" w:color="auto"/>
                            <w:right w:val="none" w:sz="0" w:space="0" w:color="auto"/>
                          </w:divBdr>
                          <w:divsChild>
                            <w:div w:id="1106774855">
                              <w:marLeft w:val="0"/>
                              <w:marRight w:val="0"/>
                              <w:marTop w:val="0"/>
                              <w:marBottom w:val="0"/>
                              <w:divBdr>
                                <w:top w:val="none" w:sz="0" w:space="0" w:color="auto"/>
                                <w:left w:val="none" w:sz="0" w:space="0" w:color="auto"/>
                                <w:bottom w:val="none" w:sz="0" w:space="0" w:color="auto"/>
                                <w:right w:val="none" w:sz="0" w:space="0" w:color="auto"/>
                              </w:divBdr>
                              <w:divsChild>
                                <w:div w:id="1159350566">
                                  <w:marLeft w:val="0"/>
                                  <w:marRight w:val="0"/>
                                  <w:marTop w:val="0"/>
                                  <w:marBottom w:val="0"/>
                                  <w:divBdr>
                                    <w:top w:val="none" w:sz="0" w:space="0" w:color="auto"/>
                                    <w:left w:val="none" w:sz="0" w:space="0" w:color="auto"/>
                                    <w:bottom w:val="none" w:sz="0" w:space="0" w:color="auto"/>
                                    <w:right w:val="none" w:sz="0" w:space="0" w:color="auto"/>
                                  </w:divBdr>
                                  <w:divsChild>
                                    <w:div w:id="687216623">
                                      <w:marLeft w:val="60"/>
                                      <w:marRight w:val="0"/>
                                      <w:marTop w:val="0"/>
                                      <w:marBottom w:val="0"/>
                                      <w:divBdr>
                                        <w:top w:val="none" w:sz="0" w:space="0" w:color="auto"/>
                                        <w:left w:val="none" w:sz="0" w:space="0" w:color="auto"/>
                                        <w:bottom w:val="none" w:sz="0" w:space="0" w:color="auto"/>
                                        <w:right w:val="none" w:sz="0" w:space="0" w:color="auto"/>
                                      </w:divBdr>
                                      <w:divsChild>
                                        <w:div w:id="297228752">
                                          <w:marLeft w:val="0"/>
                                          <w:marRight w:val="0"/>
                                          <w:marTop w:val="0"/>
                                          <w:marBottom w:val="0"/>
                                          <w:divBdr>
                                            <w:top w:val="none" w:sz="0" w:space="0" w:color="auto"/>
                                            <w:left w:val="none" w:sz="0" w:space="0" w:color="auto"/>
                                            <w:bottom w:val="none" w:sz="0" w:space="0" w:color="auto"/>
                                            <w:right w:val="none" w:sz="0" w:space="0" w:color="auto"/>
                                          </w:divBdr>
                                          <w:divsChild>
                                            <w:div w:id="633951992">
                                              <w:marLeft w:val="0"/>
                                              <w:marRight w:val="0"/>
                                              <w:marTop w:val="0"/>
                                              <w:marBottom w:val="120"/>
                                              <w:divBdr>
                                                <w:top w:val="single" w:sz="6" w:space="0" w:color="F5F5F5"/>
                                                <w:left w:val="single" w:sz="6" w:space="0" w:color="F5F5F5"/>
                                                <w:bottom w:val="single" w:sz="6" w:space="0" w:color="F5F5F5"/>
                                                <w:right w:val="single" w:sz="6" w:space="0" w:color="F5F5F5"/>
                                              </w:divBdr>
                                              <w:divsChild>
                                                <w:div w:id="877350151">
                                                  <w:marLeft w:val="0"/>
                                                  <w:marRight w:val="0"/>
                                                  <w:marTop w:val="0"/>
                                                  <w:marBottom w:val="0"/>
                                                  <w:divBdr>
                                                    <w:top w:val="none" w:sz="0" w:space="0" w:color="auto"/>
                                                    <w:left w:val="none" w:sz="0" w:space="0" w:color="auto"/>
                                                    <w:bottom w:val="none" w:sz="0" w:space="0" w:color="auto"/>
                                                    <w:right w:val="none" w:sz="0" w:space="0" w:color="auto"/>
                                                  </w:divBdr>
                                                  <w:divsChild>
                                                    <w:div w:id="455832826">
                                                      <w:marLeft w:val="0"/>
                                                      <w:marRight w:val="0"/>
                                                      <w:marTop w:val="0"/>
                                                      <w:marBottom w:val="0"/>
                                                      <w:divBdr>
                                                        <w:top w:val="none" w:sz="0" w:space="0" w:color="auto"/>
                                                        <w:left w:val="none" w:sz="0" w:space="0" w:color="auto"/>
                                                        <w:bottom w:val="none" w:sz="0" w:space="0" w:color="auto"/>
                                                        <w:right w:val="none" w:sz="0" w:space="0" w:color="auto"/>
                                                      </w:divBdr>
                                                    </w:div>
                                                  </w:divsChild>
                                                </w:div>
                                                <w:div w:id="1307247477">
                                                  <w:marLeft w:val="0"/>
                                                  <w:marRight w:val="0"/>
                                                  <w:marTop w:val="0"/>
                                                  <w:marBottom w:val="0"/>
                                                  <w:divBdr>
                                                    <w:top w:val="none" w:sz="0" w:space="0" w:color="auto"/>
                                                    <w:left w:val="none" w:sz="0" w:space="0" w:color="auto"/>
                                                    <w:bottom w:val="none" w:sz="0" w:space="0" w:color="auto"/>
                                                    <w:right w:val="none" w:sz="0" w:space="0" w:color="auto"/>
                                                  </w:divBdr>
                                                  <w:divsChild>
                                                    <w:div w:id="892542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024670431">
      <w:bodyDiv w:val="1"/>
      <w:marLeft w:val="0"/>
      <w:marRight w:val="0"/>
      <w:marTop w:val="0"/>
      <w:marBottom w:val="0"/>
      <w:divBdr>
        <w:top w:val="none" w:sz="0" w:space="0" w:color="auto"/>
        <w:left w:val="none" w:sz="0" w:space="0" w:color="auto"/>
        <w:bottom w:val="none" w:sz="0" w:space="0" w:color="auto"/>
        <w:right w:val="none" w:sz="0" w:space="0" w:color="auto"/>
      </w:divBdr>
      <w:divsChild>
        <w:div w:id="936641418">
          <w:marLeft w:val="0"/>
          <w:marRight w:val="0"/>
          <w:marTop w:val="0"/>
          <w:marBottom w:val="0"/>
          <w:divBdr>
            <w:top w:val="none" w:sz="0" w:space="0" w:color="auto"/>
            <w:left w:val="none" w:sz="0" w:space="0" w:color="auto"/>
            <w:bottom w:val="none" w:sz="0" w:space="0" w:color="auto"/>
            <w:right w:val="none" w:sz="0" w:space="0" w:color="auto"/>
          </w:divBdr>
          <w:divsChild>
            <w:div w:id="1919946724">
              <w:marLeft w:val="0"/>
              <w:marRight w:val="0"/>
              <w:marTop w:val="0"/>
              <w:marBottom w:val="0"/>
              <w:divBdr>
                <w:top w:val="none" w:sz="0" w:space="0" w:color="auto"/>
                <w:left w:val="none" w:sz="0" w:space="0" w:color="auto"/>
                <w:bottom w:val="none" w:sz="0" w:space="0" w:color="auto"/>
                <w:right w:val="none" w:sz="0" w:space="0" w:color="auto"/>
              </w:divBdr>
              <w:divsChild>
                <w:div w:id="1975793697">
                  <w:marLeft w:val="0"/>
                  <w:marRight w:val="0"/>
                  <w:marTop w:val="0"/>
                  <w:marBottom w:val="0"/>
                  <w:divBdr>
                    <w:top w:val="none" w:sz="0" w:space="0" w:color="auto"/>
                    <w:left w:val="none" w:sz="0" w:space="0" w:color="auto"/>
                    <w:bottom w:val="none" w:sz="0" w:space="0" w:color="auto"/>
                    <w:right w:val="none" w:sz="0" w:space="0" w:color="auto"/>
                  </w:divBdr>
                  <w:divsChild>
                    <w:div w:id="1694571371">
                      <w:marLeft w:val="0"/>
                      <w:marRight w:val="0"/>
                      <w:marTop w:val="0"/>
                      <w:marBottom w:val="0"/>
                      <w:divBdr>
                        <w:top w:val="none" w:sz="0" w:space="0" w:color="auto"/>
                        <w:left w:val="none" w:sz="0" w:space="0" w:color="auto"/>
                        <w:bottom w:val="none" w:sz="0" w:space="0" w:color="auto"/>
                        <w:right w:val="none" w:sz="0" w:space="0" w:color="auto"/>
                      </w:divBdr>
                      <w:divsChild>
                        <w:div w:id="409157335">
                          <w:marLeft w:val="0"/>
                          <w:marRight w:val="0"/>
                          <w:marTop w:val="0"/>
                          <w:marBottom w:val="0"/>
                          <w:divBdr>
                            <w:top w:val="none" w:sz="0" w:space="0" w:color="auto"/>
                            <w:left w:val="none" w:sz="0" w:space="0" w:color="auto"/>
                            <w:bottom w:val="none" w:sz="0" w:space="0" w:color="auto"/>
                            <w:right w:val="none" w:sz="0" w:space="0" w:color="auto"/>
                          </w:divBdr>
                          <w:divsChild>
                            <w:div w:id="1670208479">
                              <w:marLeft w:val="0"/>
                              <w:marRight w:val="0"/>
                              <w:marTop w:val="0"/>
                              <w:marBottom w:val="0"/>
                              <w:divBdr>
                                <w:top w:val="none" w:sz="0" w:space="0" w:color="auto"/>
                                <w:left w:val="none" w:sz="0" w:space="0" w:color="auto"/>
                                <w:bottom w:val="none" w:sz="0" w:space="0" w:color="auto"/>
                                <w:right w:val="none" w:sz="0" w:space="0" w:color="auto"/>
                              </w:divBdr>
                              <w:divsChild>
                                <w:div w:id="444353060">
                                  <w:marLeft w:val="0"/>
                                  <w:marRight w:val="0"/>
                                  <w:marTop w:val="0"/>
                                  <w:marBottom w:val="0"/>
                                  <w:divBdr>
                                    <w:top w:val="none" w:sz="0" w:space="0" w:color="auto"/>
                                    <w:left w:val="none" w:sz="0" w:space="0" w:color="auto"/>
                                    <w:bottom w:val="none" w:sz="0" w:space="0" w:color="auto"/>
                                    <w:right w:val="none" w:sz="0" w:space="0" w:color="auto"/>
                                  </w:divBdr>
                                  <w:divsChild>
                                    <w:div w:id="49158386">
                                      <w:marLeft w:val="60"/>
                                      <w:marRight w:val="0"/>
                                      <w:marTop w:val="0"/>
                                      <w:marBottom w:val="0"/>
                                      <w:divBdr>
                                        <w:top w:val="none" w:sz="0" w:space="0" w:color="auto"/>
                                        <w:left w:val="none" w:sz="0" w:space="0" w:color="auto"/>
                                        <w:bottom w:val="none" w:sz="0" w:space="0" w:color="auto"/>
                                        <w:right w:val="none" w:sz="0" w:space="0" w:color="auto"/>
                                      </w:divBdr>
                                      <w:divsChild>
                                        <w:div w:id="1217593567">
                                          <w:marLeft w:val="0"/>
                                          <w:marRight w:val="0"/>
                                          <w:marTop w:val="0"/>
                                          <w:marBottom w:val="0"/>
                                          <w:divBdr>
                                            <w:top w:val="none" w:sz="0" w:space="0" w:color="auto"/>
                                            <w:left w:val="none" w:sz="0" w:space="0" w:color="auto"/>
                                            <w:bottom w:val="none" w:sz="0" w:space="0" w:color="auto"/>
                                            <w:right w:val="none" w:sz="0" w:space="0" w:color="auto"/>
                                          </w:divBdr>
                                          <w:divsChild>
                                            <w:div w:id="548961144">
                                              <w:marLeft w:val="0"/>
                                              <w:marRight w:val="0"/>
                                              <w:marTop w:val="0"/>
                                              <w:marBottom w:val="120"/>
                                              <w:divBdr>
                                                <w:top w:val="single" w:sz="6" w:space="0" w:color="F5F5F5"/>
                                                <w:left w:val="single" w:sz="6" w:space="0" w:color="F5F5F5"/>
                                                <w:bottom w:val="single" w:sz="6" w:space="0" w:color="F5F5F5"/>
                                                <w:right w:val="single" w:sz="6" w:space="0" w:color="F5F5F5"/>
                                              </w:divBdr>
                                              <w:divsChild>
                                                <w:div w:id="1671249752">
                                                  <w:marLeft w:val="0"/>
                                                  <w:marRight w:val="0"/>
                                                  <w:marTop w:val="0"/>
                                                  <w:marBottom w:val="0"/>
                                                  <w:divBdr>
                                                    <w:top w:val="none" w:sz="0" w:space="0" w:color="auto"/>
                                                    <w:left w:val="none" w:sz="0" w:space="0" w:color="auto"/>
                                                    <w:bottom w:val="none" w:sz="0" w:space="0" w:color="auto"/>
                                                    <w:right w:val="none" w:sz="0" w:space="0" w:color="auto"/>
                                                  </w:divBdr>
                                                  <w:divsChild>
                                                    <w:div w:id="1614366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025910715">
      <w:bodyDiv w:val="1"/>
      <w:marLeft w:val="0"/>
      <w:marRight w:val="0"/>
      <w:marTop w:val="0"/>
      <w:marBottom w:val="0"/>
      <w:divBdr>
        <w:top w:val="none" w:sz="0" w:space="0" w:color="auto"/>
        <w:left w:val="none" w:sz="0" w:space="0" w:color="auto"/>
        <w:bottom w:val="none" w:sz="0" w:space="0" w:color="auto"/>
        <w:right w:val="none" w:sz="0" w:space="0" w:color="auto"/>
      </w:divBdr>
      <w:divsChild>
        <w:div w:id="43650718">
          <w:marLeft w:val="0"/>
          <w:marRight w:val="0"/>
          <w:marTop w:val="0"/>
          <w:marBottom w:val="0"/>
          <w:divBdr>
            <w:top w:val="none" w:sz="0" w:space="0" w:color="auto"/>
            <w:left w:val="none" w:sz="0" w:space="0" w:color="auto"/>
            <w:bottom w:val="none" w:sz="0" w:space="0" w:color="auto"/>
            <w:right w:val="none" w:sz="0" w:space="0" w:color="auto"/>
          </w:divBdr>
          <w:divsChild>
            <w:div w:id="757092074">
              <w:marLeft w:val="0"/>
              <w:marRight w:val="0"/>
              <w:marTop w:val="0"/>
              <w:marBottom w:val="0"/>
              <w:divBdr>
                <w:top w:val="none" w:sz="0" w:space="0" w:color="auto"/>
                <w:left w:val="none" w:sz="0" w:space="0" w:color="auto"/>
                <w:bottom w:val="none" w:sz="0" w:space="0" w:color="auto"/>
                <w:right w:val="none" w:sz="0" w:space="0" w:color="auto"/>
              </w:divBdr>
              <w:divsChild>
                <w:div w:id="1228538985">
                  <w:marLeft w:val="0"/>
                  <w:marRight w:val="0"/>
                  <w:marTop w:val="0"/>
                  <w:marBottom w:val="0"/>
                  <w:divBdr>
                    <w:top w:val="none" w:sz="0" w:space="0" w:color="auto"/>
                    <w:left w:val="none" w:sz="0" w:space="0" w:color="auto"/>
                    <w:bottom w:val="none" w:sz="0" w:space="0" w:color="auto"/>
                    <w:right w:val="none" w:sz="0" w:space="0" w:color="auto"/>
                  </w:divBdr>
                  <w:divsChild>
                    <w:div w:id="1741828154">
                      <w:marLeft w:val="0"/>
                      <w:marRight w:val="0"/>
                      <w:marTop w:val="0"/>
                      <w:marBottom w:val="0"/>
                      <w:divBdr>
                        <w:top w:val="none" w:sz="0" w:space="0" w:color="auto"/>
                        <w:left w:val="none" w:sz="0" w:space="0" w:color="auto"/>
                        <w:bottom w:val="none" w:sz="0" w:space="0" w:color="auto"/>
                        <w:right w:val="none" w:sz="0" w:space="0" w:color="auto"/>
                      </w:divBdr>
                      <w:divsChild>
                        <w:div w:id="804733255">
                          <w:marLeft w:val="0"/>
                          <w:marRight w:val="0"/>
                          <w:marTop w:val="0"/>
                          <w:marBottom w:val="0"/>
                          <w:divBdr>
                            <w:top w:val="none" w:sz="0" w:space="0" w:color="auto"/>
                            <w:left w:val="none" w:sz="0" w:space="0" w:color="auto"/>
                            <w:bottom w:val="none" w:sz="0" w:space="0" w:color="auto"/>
                            <w:right w:val="none" w:sz="0" w:space="0" w:color="auto"/>
                          </w:divBdr>
                          <w:divsChild>
                            <w:div w:id="452985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14192754">
      <w:bodyDiv w:val="1"/>
      <w:marLeft w:val="0"/>
      <w:marRight w:val="0"/>
      <w:marTop w:val="0"/>
      <w:marBottom w:val="0"/>
      <w:divBdr>
        <w:top w:val="none" w:sz="0" w:space="0" w:color="auto"/>
        <w:left w:val="none" w:sz="0" w:space="0" w:color="auto"/>
        <w:bottom w:val="none" w:sz="0" w:space="0" w:color="auto"/>
        <w:right w:val="none" w:sz="0" w:space="0" w:color="auto"/>
      </w:divBdr>
      <w:divsChild>
        <w:div w:id="1745950163">
          <w:marLeft w:val="0"/>
          <w:marRight w:val="0"/>
          <w:marTop w:val="0"/>
          <w:marBottom w:val="0"/>
          <w:divBdr>
            <w:top w:val="none" w:sz="0" w:space="0" w:color="auto"/>
            <w:left w:val="none" w:sz="0" w:space="0" w:color="auto"/>
            <w:bottom w:val="none" w:sz="0" w:space="0" w:color="auto"/>
            <w:right w:val="none" w:sz="0" w:space="0" w:color="auto"/>
          </w:divBdr>
          <w:divsChild>
            <w:div w:id="1682387407">
              <w:marLeft w:val="0"/>
              <w:marRight w:val="0"/>
              <w:marTop w:val="0"/>
              <w:marBottom w:val="0"/>
              <w:divBdr>
                <w:top w:val="none" w:sz="0" w:space="0" w:color="auto"/>
                <w:left w:val="none" w:sz="0" w:space="0" w:color="auto"/>
                <w:bottom w:val="none" w:sz="0" w:space="0" w:color="auto"/>
                <w:right w:val="none" w:sz="0" w:space="0" w:color="auto"/>
              </w:divBdr>
              <w:divsChild>
                <w:div w:id="1940988112">
                  <w:marLeft w:val="0"/>
                  <w:marRight w:val="0"/>
                  <w:marTop w:val="0"/>
                  <w:marBottom w:val="0"/>
                  <w:divBdr>
                    <w:top w:val="none" w:sz="0" w:space="0" w:color="auto"/>
                    <w:left w:val="none" w:sz="0" w:space="0" w:color="auto"/>
                    <w:bottom w:val="none" w:sz="0" w:space="0" w:color="auto"/>
                    <w:right w:val="none" w:sz="0" w:space="0" w:color="auto"/>
                  </w:divBdr>
                  <w:divsChild>
                    <w:div w:id="330914945">
                      <w:marLeft w:val="0"/>
                      <w:marRight w:val="0"/>
                      <w:marTop w:val="0"/>
                      <w:marBottom w:val="0"/>
                      <w:divBdr>
                        <w:top w:val="none" w:sz="0" w:space="0" w:color="auto"/>
                        <w:left w:val="none" w:sz="0" w:space="0" w:color="auto"/>
                        <w:bottom w:val="none" w:sz="0" w:space="0" w:color="auto"/>
                        <w:right w:val="none" w:sz="0" w:space="0" w:color="auto"/>
                      </w:divBdr>
                      <w:divsChild>
                        <w:div w:id="1320771024">
                          <w:marLeft w:val="0"/>
                          <w:marRight w:val="0"/>
                          <w:marTop w:val="0"/>
                          <w:marBottom w:val="0"/>
                          <w:divBdr>
                            <w:top w:val="none" w:sz="0" w:space="0" w:color="auto"/>
                            <w:left w:val="none" w:sz="0" w:space="0" w:color="auto"/>
                            <w:bottom w:val="none" w:sz="0" w:space="0" w:color="auto"/>
                            <w:right w:val="none" w:sz="0" w:space="0" w:color="auto"/>
                          </w:divBdr>
                          <w:divsChild>
                            <w:div w:id="1477451403">
                              <w:marLeft w:val="0"/>
                              <w:marRight w:val="0"/>
                              <w:marTop w:val="0"/>
                              <w:marBottom w:val="0"/>
                              <w:divBdr>
                                <w:top w:val="none" w:sz="0" w:space="0" w:color="auto"/>
                                <w:left w:val="none" w:sz="0" w:space="0" w:color="auto"/>
                                <w:bottom w:val="none" w:sz="0" w:space="0" w:color="auto"/>
                                <w:right w:val="none" w:sz="0" w:space="0" w:color="auto"/>
                              </w:divBdr>
                              <w:divsChild>
                                <w:div w:id="244926678">
                                  <w:marLeft w:val="0"/>
                                  <w:marRight w:val="0"/>
                                  <w:marTop w:val="0"/>
                                  <w:marBottom w:val="0"/>
                                  <w:divBdr>
                                    <w:top w:val="none" w:sz="0" w:space="0" w:color="auto"/>
                                    <w:left w:val="none" w:sz="0" w:space="0" w:color="auto"/>
                                    <w:bottom w:val="none" w:sz="0" w:space="0" w:color="auto"/>
                                    <w:right w:val="none" w:sz="0" w:space="0" w:color="auto"/>
                                  </w:divBdr>
                                  <w:divsChild>
                                    <w:div w:id="1406533862">
                                      <w:marLeft w:val="60"/>
                                      <w:marRight w:val="0"/>
                                      <w:marTop w:val="0"/>
                                      <w:marBottom w:val="0"/>
                                      <w:divBdr>
                                        <w:top w:val="none" w:sz="0" w:space="0" w:color="auto"/>
                                        <w:left w:val="none" w:sz="0" w:space="0" w:color="auto"/>
                                        <w:bottom w:val="none" w:sz="0" w:space="0" w:color="auto"/>
                                        <w:right w:val="none" w:sz="0" w:space="0" w:color="auto"/>
                                      </w:divBdr>
                                      <w:divsChild>
                                        <w:div w:id="1206137792">
                                          <w:marLeft w:val="0"/>
                                          <w:marRight w:val="0"/>
                                          <w:marTop w:val="0"/>
                                          <w:marBottom w:val="0"/>
                                          <w:divBdr>
                                            <w:top w:val="none" w:sz="0" w:space="0" w:color="auto"/>
                                            <w:left w:val="none" w:sz="0" w:space="0" w:color="auto"/>
                                            <w:bottom w:val="none" w:sz="0" w:space="0" w:color="auto"/>
                                            <w:right w:val="none" w:sz="0" w:space="0" w:color="auto"/>
                                          </w:divBdr>
                                          <w:divsChild>
                                            <w:div w:id="1771702768">
                                              <w:marLeft w:val="0"/>
                                              <w:marRight w:val="0"/>
                                              <w:marTop w:val="0"/>
                                              <w:marBottom w:val="120"/>
                                              <w:divBdr>
                                                <w:top w:val="single" w:sz="6" w:space="0" w:color="F5F5F5"/>
                                                <w:left w:val="single" w:sz="6" w:space="0" w:color="F5F5F5"/>
                                                <w:bottom w:val="single" w:sz="6" w:space="0" w:color="F5F5F5"/>
                                                <w:right w:val="single" w:sz="6" w:space="0" w:color="F5F5F5"/>
                                              </w:divBdr>
                                              <w:divsChild>
                                                <w:div w:id="698548603">
                                                  <w:marLeft w:val="0"/>
                                                  <w:marRight w:val="0"/>
                                                  <w:marTop w:val="0"/>
                                                  <w:marBottom w:val="0"/>
                                                  <w:divBdr>
                                                    <w:top w:val="none" w:sz="0" w:space="0" w:color="auto"/>
                                                    <w:left w:val="none" w:sz="0" w:space="0" w:color="auto"/>
                                                    <w:bottom w:val="none" w:sz="0" w:space="0" w:color="auto"/>
                                                    <w:right w:val="none" w:sz="0" w:space="0" w:color="auto"/>
                                                  </w:divBdr>
                                                  <w:divsChild>
                                                    <w:div w:id="1438138063">
                                                      <w:marLeft w:val="0"/>
                                                      <w:marRight w:val="0"/>
                                                      <w:marTop w:val="0"/>
                                                      <w:marBottom w:val="0"/>
                                                      <w:divBdr>
                                                        <w:top w:val="none" w:sz="0" w:space="0" w:color="auto"/>
                                                        <w:left w:val="none" w:sz="0" w:space="0" w:color="auto"/>
                                                        <w:bottom w:val="none" w:sz="0" w:space="0" w:color="auto"/>
                                                        <w:right w:val="none" w:sz="0" w:space="0" w:color="auto"/>
                                                      </w:divBdr>
                                                    </w:div>
                                                  </w:divsChild>
                                                </w:div>
                                                <w:div w:id="2036418191">
                                                  <w:marLeft w:val="0"/>
                                                  <w:marRight w:val="0"/>
                                                  <w:marTop w:val="0"/>
                                                  <w:marBottom w:val="0"/>
                                                  <w:divBdr>
                                                    <w:top w:val="none" w:sz="0" w:space="0" w:color="auto"/>
                                                    <w:left w:val="none" w:sz="0" w:space="0" w:color="auto"/>
                                                    <w:bottom w:val="none" w:sz="0" w:space="0" w:color="auto"/>
                                                    <w:right w:val="none" w:sz="0" w:space="0" w:color="auto"/>
                                                  </w:divBdr>
                                                  <w:divsChild>
                                                    <w:div w:id="1411734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357005647">
      <w:bodyDiv w:val="1"/>
      <w:marLeft w:val="0"/>
      <w:marRight w:val="0"/>
      <w:marTop w:val="0"/>
      <w:marBottom w:val="0"/>
      <w:divBdr>
        <w:top w:val="none" w:sz="0" w:space="0" w:color="auto"/>
        <w:left w:val="none" w:sz="0" w:space="0" w:color="auto"/>
        <w:bottom w:val="none" w:sz="0" w:space="0" w:color="auto"/>
        <w:right w:val="none" w:sz="0" w:space="0" w:color="auto"/>
      </w:divBdr>
    </w:div>
    <w:div w:id="1370495190">
      <w:bodyDiv w:val="1"/>
      <w:marLeft w:val="0"/>
      <w:marRight w:val="0"/>
      <w:marTop w:val="0"/>
      <w:marBottom w:val="0"/>
      <w:divBdr>
        <w:top w:val="none" w:sz="0" w:space="0" w:color="auto"/>
        <w:left w:val="none" w:sz="0" w:space="0" w:color="auto"/>
        <w:bottom w:val="none" w:sz="0" w:space="0" w:color="auto"/>
        <w:right w:val="none" w:sz="0" w:space="0" w:color="auto"/>
      </w:divBdr>
    </w:div>
    <w:div w:id="1509908169">
      <w:bodyDiv w:val="1"/>
      <w:marLeft w:val="0"/>
      <w:marRight w:val="0"/>
      <w:marTop w:val="0"/>
      <w:marBottom w:val="0"/>
      <w:divBdr>
        <w:top w:val="none" w:sz="0" w:space="0" w:color="auto"/>
        <w:left w:val="none" w:sz="0" w:space="0" w:color="auto"/>
        <w:bottom w:val="none" w:sz="0" w:space="0" w:color="auto"/>
        <w:right w:val="none" w:sz="0" w:space="0" w:color="auto"/>
      </w:divBdr>
      <w:divsChild>
        <w:div w:id="475882595">
          <w:marLeft w:val="0"/>
          <w:marRight w:val="0"/>
          <w:marTop w:val="0"/>
          <w:marBottom w:val="0"/>
          <w:divBdr>
            <w:top w:val="none" w:sz="0" w:space="0" w:color="auto"/>
            <w:left w:val="none" w:sz="0" w:space="0" w:color="auto"/>
            <w:bottom w:val="none" w:sz="0" w:space="0" w:color="auto"/>
            <w:right w:val="none" w:sz="0" w:space="0" w:color="auto"/>
          </w:divBdr>
          <w:divsChild>
            <w:div w:id="2059668001">
              <w:marLeft w:val="0"/>
              <w:marRight w:val="0"/>
              <w:marTop w:val="0"/>
              <w:marBottom w:val="0"/>
              <w:divBdr>
                <w:top w:val="none" w:sz="0" w:space="0" w:color="auto"/>
                <w:left w:val="none" w:sz="0" w:space="0" w:color="auto"/>
                <w:bottom w:val="none" w:sz="0" w:space="0" w:color="auto"/>
                <w:right w:val="none" w:sz="0" w:space="0" w:color="auto"/>
              </w:divBdr>
              <w:divsChild>
                <w:div w:id="645940105">
                  <w:marLeft w:val="0"/>
                  <w:marRight w:val="0"/>
                  <w:marTop w:val="0"/>
                  <w:marBottom w:val="0"/>
                  <w:divBdr>
                    <w:top w:val="none" w:sz="0" w:space="0" w:color="auto"/>
                    <w:left w:val="none" w:sz="0" w:space="0" w:color="auto"/>
                    <w:bottom w:val="none" w:sz="0" w:space="0" w:color="auto"/>
                    <w:right w:val="none" w:sz="0" w:space="0" w:color="auto"/>
                  </w:divBdr>
                  <w:divsChild>
                    <w:div w:id="373849645">
                      <w:marLeft w:val="0"/>
                      <w:marRight w:val="0"/>
                      <w:marTop w:val="0"/>
                      <w:marBottom w:val="0"/>
                      <w:divBdr>
                        <w:top w:val="none" w:sz="0" w:space="0" w:color="auto"/>
                        <w:left w:val="none" w:sz="0" w:space="0" w:color="auto"/>
                        <w:bottom w:val="none" w:sz="0" w:space="0" w:color="auto"/>
                        <w:right w:val="none" w:sz="0" w:space="0" w:color="auto"/>
                      </w:divBdr>
                      <w:divsChild>
                        <w:div w:id="1426613052">
                          <w:marLeft w:val="0"/>
                          <w:marRight w:val="0"/>
                          <w:marTop w:val="0"/>
                          <w:marBottom w:val="0"/>
                          <w:divBdr>
                            <w:top w:val="none" w:sz="0" w:space="0" w:color="auto"/>
                            <w:left w:val="none" w:sz="0" w:space="0" w:color="auto"/>
                            <w:bottom w:val="none" w:sz="0" w:space="0" w:color="auto"/>
                            <w:right w:val="none" w:sz="0" w:space="0" w:color="auto"/>
                          </w:divBdr>
                          <w:divsChild>
                            <w:div w:id="771047654">
                              <w:marLeft w:val="0"/>
                              <w:marRight w:val="0"/>
                              <w:marTop w:val="0"/>
                              <w:marBottom w:val="0"/>
                              <w:divBdr>
                                <w:top w:val="none" w:sz="0" w:space="0" w:color="auto"/>
                                <w:left w:val="none" w:sz="0" w:space="0" w:color="auto"/>
                                <w:bottom w:val="none" w:sz="0" w:space="0" w:color="auto"/>
                                <w:right w:val="none" w:sz="0" w:space="0" w:color="auto"/>
                              </w:divBdr>
                              <w:divsChild>
                                <w:div w:id="981158885">
                                  <w:marLeft w:val="0"/>
                                  <w:marRight w:val="0"/>
                                  <w:marTop w:val="0"/>
                                  <w:marBottom w:val="0"/>
                                  <w:divBdr>
                                    <w:top w:val="none" w:sz="0" w:space="0" w:color="auto"/>
                                    <w:left w:val="none" w:sz="0" w:space="0" w:color="auto"/>
                                    <w:bottom w:val="none" w:sz="0" w:space="0" w:color="auto"/>
                                    <w:right w:val="none" w:sz="0" w:space="0" w:color="auto"/>
                                  </w:divBdr>
                                  <w:divsChild>
                                    <w:div w:id="63181730">
                                      <w:marLeft w:val="0"/>
                                      <w:marRight w:val="0"/>
                                      <w:marTop w:val="0"/>
                                      <w:marBottom w:val="0"/>
                                      <w:divBdr>
                                        <w:top w:val="none" w:sz="0" w:space="0" w:color="auto"/>
                                        <w:left w:val="none" w:sz="0" w:space="0" w:color="auto"/>
                                        <w:bottom w:val="none" w:sz="0" w:space="0" w:color="auto"/>
                                        <w:right w:val="none" w:sz="0" w:space="0" w:color="auto"/>
                                      </w:divBdr>
                                      <w:divsChild>
                                        <w:div w:id="1929074504">
                                          <w:marLeft w:val="0"/>
                                          <w:marRight w:val="0"/>
                                          <w:marTop w:val="0"/>
                                          <w:marBottom w:val="0"/>
                                          <w:divBdr>
                                            <w:top w:val="none" w:sz="0" w:space="0" w:color="auto"/>
                                            <w:left w:val="none" w:sz="0" w:space="0" w:color="auto"/>
                                            <w:bottom w:val="none" w:sz="0" w:space="0" w:color="auto"/>
                                            <w:right w:val="none" w:sz="0" w:space="0" w:color="auto"/>
                                          </w:divBdr>
                                          <w:divsChild>
                                            <w:div w:id="528301865">
                                              <w:marLeft w:val="0"/>
                                              <w:marRight w:val="0"/>
                                              <w:marTop w:val="0"/>
                                              <w:marBottom w:val="0"/>
                                              <w:divBdr>
                                                <w:top w:val="none" w:sz="0" w:space="0" w:color="auto"/>
                                                <w:left w:val="none" w:sz="0" w:space="0" w:color="auto"/>
                                                <w:bottom w:val="none" w:sz="0" w:space="0" w:color="auto"/>
                                                <w:right w:val="none" w:sz="0" w:space="0" w:color="auto"/>
                                              </w:divBdr>
                                              <w:divsChild>
                                                <w:div w:id="1408265808">
                                                  <w:marLeft w:val="0"/>
                                                  <w:marRight w:val="0"/>
                                                  <w:marTop w:val="0"/>
                                                  <w:marBottom w:val="0"/>
                                                  <w:divBdr>
                                                    <w:top w:val="none" w:sz="0" w:space="0" w:color="auto"/>
                                                    <w:left w:val="none" w:sz="0" w:space="0" w:color="auto"/>
                                                    <w:bottom w:val="none" w:sz="0" w:space="0" w:color="auto"/>
                                                    <w:right w:val="none" w:sz="0" w:space="0" w:color="auto"/>
                                                  </w:divBdr>
                                                </w:div>
                                              </w:divsChild>
                                            </w:div>
                                            <w:div w:id="1838223444">
                                              <w:marLeft w:val="0"/>
                                              <w:marRight w:val="0"/>
                                              <w:marTop w:val="0"/>
                                              <w:marBottom w:val="0"/>
                                              <w:divBdr>
                                                <w:top w:val="none" w:sz="0" w:space="0" w:color="auto"/>
                                                <w:left w:val="none" w:sz="0" w:space="0" w:color="auto"/>
                                                <w:bottom w:val="none" w:sz="0" w:space="0" w:color="auto"/>
                                                <w:right w:val="none" w:sz="0" w:space="0" w:color="auto"/>
                                              </w:divBdr>
                                              <w:divsChild>
                                                <w:div w:id="255872275">
                                                  <w:marLeft w:val="0"/>
                                                  <w:marRight w:val="0"/>
                                                  <w:marTop w:val="0"/>
                                                  <w:marBottom w:val="0"/>
                                                  <w:divBdr>
                                                    <w:top w:val="none" w:sz="0" w:space="0" w:color="auto"/>
                                                    <w:left w:val="none" w:sz="0" w:space="0" w:color="auto"/>
                                                    <w:bottom w:val="none" w:sz="0" w:space="0" w:color="auto"/>
                                                    <w:right w:val="none" w:sz="0" w:space="0" w:color="auto"/>
                                                  </w:divBdr>
                                                  <w:divsChild>
                                                    <w:div w:id="15730795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31869479">
      <w:bodyDiv w:val="1"/>
      <w:marLeft w:val="0"/>
      <w:marRight w:val="0"/>
      <w:marTop w:val="0"/>
      <w:marBottom w:val="0"/>
      <w:divBdr>
        <w:top w:val="none" w:sz="0" w:space="0" w:color="auto"/>
        <w:left w:val="none" w:sz="0" w:space="0" w:color="auto"/>
        <w:bottom w:val="none" w:sz="0" w:space="0" w:color="auto"/>
        <w:right w:val="none" w:sz="0" w:space="0" w:color="auto"/>
      </w:divBdr>
      <w:divsChild>
        <w:div w:id="1350137864">
          <w:marLeft w:val="0"/>
          <w:marRight w:val="0"/>
          <w:marTop w:val="0"/>
          <w:marBottom w:val="0"/>
          <w:divBdr>
            <w:top w:val="none" w:sz="0" w:space="0" w:color="auto"/>
            <w:left w:val="none" w:sz="0" w:space="0" w:color="auto"/>
            <w:bottom w:val="none" w:sz="0" w:space="0" w:color="auto"/>
            <w:right w:val="none" w:sz="0" w:space="0" w:color="auto"/>
          </w:divBdr>
          <w:divsChild>
            <w:div w:id="1308516020">
              <w:marLeft w:val="0"/>
              <w:marRight w:val="0"/>
              <w:marTop w:val="0"/>
              <w:marBottom w:val="0"/>
              <w:divBdr>
                <w:top w:val="none" w:sz="0" w:space="0" w:color="auto"/>
                <w:left w:val="none" w:sz="0" w:space="0" w:color="auto"/>
                <w:bottom w:val="none" w:sz="0" w:space="0" w:color="auto"/>
                <w:right w:val="none" w:sz="0" w:space="0" w:color="auto"/>
              </w:divBdr>
              <w:divsChild>
                <w:div w:id="320041497">
                  <w:marLeft w:val="0"/>
                  <w:marRight w:val="0"/>
                  <w:marTop w:val="0"/>
                  <w:marBottom w:val="0"/>
                  <w:divBdr>
                    <w:top w:val="none" w:sz="0" w:space="0" w:color="auto"/>
                    <w:left w:val="none" w:sz="0" w:space="0" w:color="auto"/>
                    <w:bottom w:val="none" w:sz="0" w:space="0" w:color="auto"/>
                    <w:right w:val="none" w:sz="0" w:space="0" w:color="auto"/>
                  </w:divBdr>
                  <w:divsChild>
                    <w:div w:id="61686529">
                      <w:marLeft w:val="0"/>
                      <w:marRight w:val="0"/>
                      <w:marTop w:val="0"/>
                      <w:marBottom w:val="0"/>
                      <w:divBdr>
                        <w:top w:val="none" w:sz="0" w:space="0" w:color="auto"/>
                        <w:left w:val="none" w:sz="0" w:space="0" w:color="auto"/>
                        <w:bottom w:val="none" w:sz="0" w:space="0" w:color="auto"/>
                        <w:right w:val="none" w:sz="0" w:space="0" w:color="auto"/>
                      </w:divBdr>
                      <w:divsChild>
                        <w:div w:id="1539008723">
                          <w:marLeft w:val="0"/>
                          <w:marRight w:val="0"/>
                          <w:marTop w:val="0"/>
                          <w:marBottom w:val="0"/>
                          <w:divBdr>
                            <w:top w:val="none" w:sz="0" w:space="0" w:color="auto"/>
                            <w:left w:val="none" w:sz="0" w:space="0" w:color="auto"/>
                            <w:bottom w:val="none" w:sz="0" w:space="0" w:color="auto"/>
                            <w:right w:val="none" w:sz="0" w:space="0" w:color="auto"/>
                          </w:divBdr>
                          <w:divsChild>
                            <w:div w:id="731536576">
                              <w:marLeft w:val="0"/>
                              <w:marRight w:val="0"/>
                              <w:marTop w:val="0"/>
                              <w:marBottom w:val="0"/>
                              <w:divBdr>
                                <w:top w:val="none" w:sz="0" w:space="0" w:color="auto"/>
                                <w:left w:val="none" w:sz="0" w:space="0" w:color="auto"/>
                                <w:bottom w:val="none" w:sz="0" w:space="0" w:color="auto"/>
                                <w:right w:val="none" w:sz="0" w:space="0" w:color="auto"/>
                              </w:divBdr>
                              <w:divsChild>
                                <w:div w:id="336738059">
                                  <w:marLeft w:val="0"/>
                                  <w:marRight w:val="0"/>
                                  <w:marTop w:val="0"/>
                                  <w:marBottom w:val="0"/>
                                  <w:divBdr>
                                    <w:top w:val="none" w:sz="0" w:space="0" w:color="auto"/>
                                    <w:left w:val="none" w:sz="0" w:space="0" w:color="auto"/>
                                    <w:bottom w:val="none" w:sz="0" w:space="0" w:color="auto"/>
                                    <w:right w:val="none" w:sz="0" w:space="0" w:color="auto"/>
                                  </w:divBdr>
                                  <w:divsChild>
                                    <w:div w:id="856121438">
                                      <w:marLeft w:val="60"/>
                                      <w:marRight w:val="0"/>
                                      <w:marTop w:val="0"/>
                                      <w:marBottom w:val="0"/>
                                      <w:divBdr>
                                        <w:top w:val="none" w:sz="0" w:space="0" w:color="auto"/>
                                        <w:left w:val="none" w:sz="0" w:space="0" w:color="auto"/>
                                        <w:bottom w:val="none" w:sz="0" w:space="0" w:color="auto"/>
                                        <w:right w:val="none" w:sz="0" w:space="0" w:color="auto"/>
                                      </w:divBdr>
                                      <w:divsChild>
                                        <w:div w:id="1526862564">
                                          <w:marLeft w:val="0"/>
                                          <w:marRight w:val="0"/>
                                          <w:marTop w:val="0"/>
                                          <w:marBottom w:val="0"/>
                                          <w:divBdr>
                                            <w:top w:val="none" w:sz="0" w:space="0" w:color="auto"/>
                                            <w:left w:val="none" w:sz="0" w:space="0" w:color="auto"/>
                                            <w:bottom w:val="none" w:sz="0" w:space="0" w:color="auto"/>
                                            <w:right w:val="none" w:sz="0" w:space="0" w:color="auto"/>
                                          </w:divBdr>
                                          <w:divsChild>
                                            <w:div w:id="651249554">
                                              <w:marLeft w:val="0"/>
                                              <w:marRight w:val="0"/>
                                              <w:marTop w:val="0"/>
                                              <w:marBottom w:val="120"/>
                                              <w:divBdr>
                                                <w:top w:val="single" w:sz="6" w:space="0" w:color="F5F5F5"/>
                                                <w:left w:val="single" w:sz="6" w:space="0" w:color="F5F5F5"/>
                                                <w:bottom w:val="single" w:sz="6" w:space="0" w:color="F5F5F5"/>
                                                <w:right w:val="single" w:sz="6" w:space="0" w:color="F5F5F5"/>
                                              </w:divBdr>
                                              <w:divsChild>
                                                <w:div w:id="1623345248">
                                                  <w:marLeft w:val="0"/>
                                                  <w:marRight w:val="0"/>
                                                  <w:marTop w:val="0"/>
                                                  <w:marBottom w:val="0"/>
                                                  <w:divBdr>
                                                    <w:top w:val="none" w:sz="0" w:space="0" w:color="auto"/>
                                                    <w:left w:val="none" w:sz="0" w:space="0" w:color="auto"/>
                                                    <w:bottom w:val="none" w:sz="0" w:space="0" w:color="auto"/>
                                                    <w:right w:val="none" w:sz="0" w:space="0" w:color="auto"/>
                                                  </w:divBdr>
                                                  <w:divsChild>
                                                    <w:div w:id="1651250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pedrosanchezaparicio0@gmail.com"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onlinelibrary.wiley.com/journal/10.1111/(ISSN)1365-2885/homepage/ForAuthors.html" TargetMode="Externa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refman.com/support/rmstyles.asp" TargetMode="Externa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image" Target="media/image2.png"/><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CE6781F-CADF-481A-8328-6FF92C5A0E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TotalTime>
  <Pages>1</Pages>
  <Words>49548</Words>
  <Characters>272516</Characters>
  <Application>Microsoft Office Word</Application>
  <DocSecurity>0</DocSecurity>
  <Lines>2270</Lines>
  <Paragraphs>642</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321422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aparicio</dc:creator>
  <cp:lastModifiedBy>Osorio</cp:lastModifiedBy>
  <cp:revision>4</cp:revision>
  <cp:lastPrinted>2016-01-26T23:42:00Z</cp:lastPrinted>
  <dcterms:created xsi:type="dcterms:W3CDTF">2016-09-20T14:52:00Z</dcterms:created>
  <dcterms:modified xsi:type="dcterms:W3CDTF">2016-09-20T15:32:00Z</dcterms:modified>
</cp:coreProperties>
</file>