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r>
        <w:rPr>
          <w:rFonts w:ascii="Times New Roman"/>
        </w:rPr>
        <w:drawing>
          <wp:inline distT="0" distB="0" distL="0" distR="0">
            <wp:extent cx="6660282" cy="815501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660282" cy="8155019"/>
                    </a:xfrm>
                    <a:prstGeom prst="rect">
                      <a:avLst/>
                    </a:prstGeom>
                  </pic:spPr>
                </pic:pic>
              </a:graphicData>
            </a:graphic>
          </wp:inline>
        </w:drawing>
      </w:r>
      <w:r>
        <w:rPr>
          <w:rFonts w:ascii="Times New Roman"/>
        </w:rPr>
      </w:r>
    </w:p>
    <w:p>
      <w:pPr>
        <w:spacing w:after="0"/>
        <w:rPr>
          <w:rFonts w:ascii="Times New Roman"/>
        </w:rPr>
        <w:sectPr>
          <w:type w:val="continuous"/>
          <w:pgSz w:w="10660" w:h="13050"/>
          <w:pgMar w:top="0" w:bottom="0" w:left="0" w:right="0"/>
        </w:sectPr>
      </w:pPr>
    </w:p>
    <w:p>
      <w:pPr>
        <w:pStyle w:val="BodyText"/>
        <w:spacing w:before="6"/>
        <w:rPr>
          <w:rFonts w:ascii="Times New Roman"/>
          <w:sz w:val="29"/>
        </w:rPr>
      </w:pPr>
    </w:p>
    <w:p>
      <w:pPr>
        <w:pStyle w:val="BodyText"/>
        <w:spacing w:line="240" w:lineRule="exact" w:before="61"/>
        <w:ind w:left="351" w:right="3898"/>
      </w:pPr>
      <w:r>
        <w:rPr>
          <w:color w:val="231F20"/>
        </w:rPr>
        <w:t>Ciudad - territorio sustentable Procesos, actores y estructuras</w:t>
      </w:r>
    </w:p>
    <w:p>
      <w:pPr>
        <w:spacing w:after="0" w:line="240" w:lineRule="exact"/>
        <w:sectPr>
          <w:pgSz w:w="9640" w:h="13040"/>
          <w:pgMar w:top="1200" w:bottom="280" w:left="1340" w:right="1340"/>
        </w:sectPr>
      </w:pPr>
    </w:p>
    <w:p>
      <w:pPr>
        <w:pStyle w:val="BodyText"/>
      </w:pPr>
    </w:p>
    <w:p>
      <w:pPr>
        <w:pStyle w:val="BodyText"/>
      </w:pPr>
    </w:p>
    <w:p>
      <w:pPr>
        <w:pStyle w:val="BodyText"/>
      </w:pPr>
    </w:p>
    <w:p>
      <w:pPr>
        <w:pStyle w:val="BodyText"/>
      </w:pPr>
    </w:p>
    <w:p>
      <w:pPr>
        <w:pStyle w:val="BodyText"/>
        <w:rPr>
          <w:sz w:val="28"/>
        </w:rPr>
      </w:pPr>
    </w:p>
    <w:p>
      <w:pPr>
        <w:pStyle w:val="Heading1"/>
        <w:ind w:left="1483" w:right="1237"/>
      </w:pPr>
      <w:r>
        <w:rPr>
          <w:color w:val="231F20"/>
          <w:w w:val="80"/>
        </w:rPr>
        <w:t>Ciudad-territorio  sustentable</w:t>
      </w:r>
    </w:p>
    <w:p>
      <w:pPr>
        <w:spacing w:before="49"/>
        <w:ind w:left="1483" w:right="1237" w:firstLine="0"/>
        <w:jc w:val="center"/>
        <w:rPr>
          <w:rFonts w:ascii="Arial"/>
          <w:sz w:val="36"/>
        </w:rPr>
      </w:pPr>
      <w:r>
        <w:rPr>
          <w:rFonts w:ascii="Arial"/>
          <w:color w:val="231F20"/>
          <w:w w:val="85"/>
          <w:sz w:val="36"/>
        </w:rPr>
        <w:t>Procesos,</w:t>
      </w:r>
      <w:r>
        <w:rPr>
          <w:rFonts w:ascii="Arial"/>
          <w:color w:val="231F20"/>
          <w:spacing w:val="-51"/>
          <w:w w:val="85"/>
          <w:sz w:val="36"/>
        </w:rPr>
        <w:t> </w:t>
      </w:r>
      <w:r>
        <w:rPr>
          <w:rFonts w:ascii="Arial"/>
          <w:color w:val="231F20"/>
          <w:w w:val="85"/>
          <w:sz w:val="36"/>
        </w:rPr>
        <w:t>actores</w:t>
      </w:r>
      <w:r>
        <w:rPr>
          <w:rFonts w:ascii="Arial"/>
          <w:color w:val="231F20"/>
          <w:spacing w:val="-51"/>
          <w:w w:val="85"/>
          <w:sz w:val="36"/>
        </w:rPr>
        <w:t> </w:t>
      </w:r>
      <w:r>
        <w:rPr>
          <w:rFonts w:ascii="Arial"/>
          <w:color w:val="231F20"/>
          <w:w w:val="85"/>
          <w:sz w:val="36"/>
        </w:rPr>
        <w:t>y</w:t>
      </w:r>
      <w:r>
        <w:rPr>
          <w:rFonts w:ascii="Arial"/>
          <w:color w:val="231F20"/>
          <w:spacing w:val="-51"/>
          <w:w w:val="85"/>
          <w:sz w:val="36"/>
        </w:rPr>
        <w:t> </w:t>
      </w:r>
      <w:r>
        <w:rPr>
          <w:rFonts w:ascii="Arial"/>
          <w:color w:val="231F20"/>
          <w:w w:val="85"/>
          <w:sz w:val="36"/>
        </w:rPr>
        <w:t>estructuras</w:t>
      </w:r>
    </w:p>
    <w:p>
      <w:pPr>
        <w:pStyle w:val="BodyText"/>
        <w:rPr>
          <w:rFonts w:ascii="Arial"/>
          <w:sz w:val="36"/>
        </w:rPr>
      </w:pPr>
    </w:p>
    <w:p>
      <w:pPr>
        <w:pStyle w:val="BodyText"/>
        <w:spacing w:before="9"/>
        <w:rPr>
          <w:rFonts w:ascii="Arial"/>
          <w:sz w:val="48"/>
        </w:rPr>
      </w:pPr>
    </w:p>
    <w:p>
      <w:pPr>
        <w:pStyle w:val="Heading4"/>
        <w:spacing w:line="182" w:lineRule="auto"/>
        <w:ind w:left="2400" w:right="2150"/>
      </w:pPr>
      <w:r>
        <w:rPr>
          <w:color w:val="231F20"/>
        </w:rPr>
        <w:t>Guadalupe Hoyos Castillo Miroslawa Czerny</w:t>
      </w:r>
    </w:p>
    <w:p>
      <w:pPr>
        <w:spacing w:before="179"/>
        <w:ind w:left="1483" w:right="1236" w:firstLine="0"/>
        <w:jc w:val="center"/>
        <w:rPr>
          <w:rFonts w:ascii="Calibri"/>
          <w:sz w:val="26"/>
        </w:rPr>
      </w:pPr>
      <w:r>
        <w:rPr>
          <w:rFonts w:ascii="Calibri"/>
          <w:color w:val="231F20"/>
          <w:sz w:val="26"/>
        </w:rPr>
        <w:t>(Coordinadoras)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spacing w:after="0"/>
        <w:rPr>
          <w:rFonts w:ascii="Calibri"/>
        </w:rPr>
        <w:sectPr>
          <w:pgSz w:w="9640" w:h="13040"/>
          <w:pgMar w:top="1200" w:bottom="280" w:left="1340" w:right="1020"/>
        </w:sectPr>
      </w:pPr>
    </w:p>
    <w:p>
      <w:pPr>
        <w:pStyle w:val="BodyText"/>
        <w:spacing w:before="10"/>
        <w:rPr>
          <w:rFonts w:ascii="Calibri"/>
          <w:sz w:val="18"/>
        </w:rPr>
      </w:pPr>
    </w:p>
    <w:p>
      <w:pPr>
        <w:spacing w:line="261" w:lineRule="auto" w:before="0"/>
        <w:ind w:left="590" w:right="0" w:firstLine="0"/>
        <w:jc w:val="center"/>
        <w:rPr>
          <w:rFonts w:ascii="Arial" w:hAnsi="Arial"/>
          <w:sz w:val="16"/>
        </w:rPr>
      </w:pPr>
      <w:r>
        <w:rPr>
          <w:rFonts w:ascii="Arial" w:hAnsi="Arial"/>
          <w:color w:val="231F20"/>
          <w:w w:val="85"/>
          <w:sz w:val="16"/>
        </w:rPr>
        <w:t>Centro</w:t>
      </w:r>
      <w:r>
        <w:rPr>
          <w:rFonts w:ascii="Arial" w:hAnsi="Arial"/>
          <w:color w:val="231F20"/>
          <w:spacing w:val="-17"/>
          <w:w w:val="85"/>
          <w:sz w:val="16"/>
        </w:rPr>
        <w:t> </w:t>
      </w:r>
      <w:r>
        <w:rPr>
          <w:rFonts w:ascii="Arial" w:hAnsi="Arial"/>
          <w:color w:val="231F20"/>
          <w:w w:val="85"/>
          <w:sz w:val="16"/>
        </w:rPr>
        <w:t>de</w:t>
      </w:r>
      <w:r>
        <w:rPr>
          <w:rFonts w:ascii="Arial" w:hAnsi="Arial"/>
          <w:color w:val="231F20"/>
          <w:spacing w:val="-17"/>
          <w:w w:val="85"/>
          <w:sz w:val="16"/>
        </w:rPr>
        <w:t> </w:t>
      </w:r>
      <w:r>
        <w:rPr>
          <w:rFonts w:ascii="Arial" w:hAnsi="Arial"/>
          <w:color w:val="231F20"/>
          <w:w w:val="85"/>
          <w:sz w:val="16"/>
        </w:rPr>
        <w:t>Investigación</w:t>
      </w:r>
      <w:r>
        <w:rPr>
          <w:rFonts w:ascii="Arial" w:hAnsi="Arial"/>
          <w:color w:val="231F20"/>
          <w:spacing w:val="-17"/>
          <w:w w:val="85"/>
          <w:sz w:val="16"/>
        </w:rPr>
        <w:t> </w:t>
      </w:r>
      <w:r>
        <w:rPr>
          <w:rFonts w:ascii="Arial" w:hAnsi="Arial"/>
          <w:color w:val="231F20"/>
          <w:w w:val="85"/>
          <w:sz w:val="16"/>
        </w:rPr>
        <w:t>y</w:t>
      </w:r>
      <w:r>
        <w:rPr>
          <w:rFonts w:ascii="Arial" w:hAnsi="Arial"/>
          <w:color w:val="231F20"/>
          <w:spacing w:val="-17"/>
          <w:w w:val="85"/>
          <w:sz w:val="16"/>
        </w:rPr>
        <w:t> </w:t>
      </w:r>
      <w:r>
        <w:rPr>
          <w:rFonts w:ascii="Arial" w:hAnsi="Arial"/>
          <w:color w:val="231F20"/>
          <w:w w:val="85"/>
          <w:sz w:val="16"/>
        </w:rPr>
        <w:t>Estudios</w:t>
      </w:r>
      <w:r>
        <w:rPr>
          <w:rFonts w:ascii="Arial" w:hAnsi="Arial"/>
          <w:color w:val="231F20"/>
          <w:spacing w:val="-21"/>
          <w:w w:val="85"/>
          <w:sz w:val="16"/>
        </w:rPr>
        <w:t> </w:t>
      </w:r>
      <w:r>
        <w:rPr>
          <w:rFonts w:ascii="Arial" w:hAnsi="Arial"/>
          <w:color w:val="231F20"/>
          <w:w w:val="85"/>
          <w:sz w:val="16"/>
        </w:rPr>
        <w:t>Avanzados</w:t>
      </w:r>
      <w:r>
        <w:rPr>
          <w:rFonts w:ascii="Arial" w:hAnsi="Arial"/>
          <w:color w:val="231F20"/>
          <w:spacing w:val="-17"/>
          <w:w w:val="85"/>
          <w:sz w:val="16"/>
        </w:rPr>
        <w:t> </w:t>
      </w:r>
      <w:r>
        <w:rPr>
          <w:rFonts w:ascii="Arial" w:hAnsi="Arial"/>
          <w:color w:val="231F20"/>
          <w:w w:val="85"/>
          <w:sz w:val="16"/>
        </w:rPr>
        <w:t>en Planeación</w:t>
      </w:r>
      <w:r>
        <w:rPr>
          <w:rFonts w:ascii="Arial" w:hAnsi="Arial"/>
          <w:color w:val="231F20"/>
          <w:spacing w:val="-23"/>
          <w:w w:val="85"/>
          <w:sz w:val="16"/>
        </w:rPr>
        <w:t> </w:t>
      </w:r>
      <w:r>
        <w:rPr>
          <w:rFonts w:ascii="Arial" w:hAnsi="Arial"/>
          <w:color w:val="231F20"/>
          <w:w w:val="85"/>
          <w:sz w:val="16"/>
        </w:rPr>
        <w:t>Territorial</w:t>
      </w:r>
      <w:r>
        <w:rPr>
          <w:rFonts w:ascii="Arial" w:hAnsi="Arial"/>
          <w:color w:val="231F20"/>
          <w:spacing w:val="-21"/>
          <w:w w:val="85"/>
          <w:sz w:val="16"/>
        </w:rPr>
        <w:t> </w:t>
      </w:r>
      <w:r>
        <w:rPr>
          <w:rFonts w:ascii="Arial" w:hAnsi="Arial"/>
          <w:color w:val="231F20"/>
          <w:w w:val="85"/>
          <w:sz w:val="16"/>
        </w:rPr>
        <w:t>de</w:t>
      </w:r>
      <w:r>
        <w:rPr>
          <w:rFonts w:ascii="Arial" w:hAnsi="Arial"/>
          <w:color w:val="231F20"/>
          <w:spacing w:val="-21"/>
          <w:w w:val="85"/>
          <w:sz w:val="16"/>
        </w:rPr>
        <w:t> </w:t>
      </w:r>
      <w:r>
        <w:rPr>
          <w:rFonts w:ascii="Arial" w:hAnsi="Arial"/>
          <w:color w:val="231F20"/>
          <w:w w:val="85"/>
          <w:sz w:val="16"/>
        </w:rPr>
        <w:t>la</w:t>
      </w:r>
      <w:r>
        <w:rPr>
          <w:rFonts w:ascii="Arial" w:hAnsi="Arial"/>
          <w:color w:val="231F20"/>
          <w:spacing w:val="-21"/>
          <w:w w:val="85"/>
          <w:sz w:val="16"/>
        </w:rPr>
        <w:t> </w:t>
      </w:r>
      <w:r>
        <w:rPr>
          <w:rFonts w:ascii="Arial" w:hAnsi="Arial"/>
          <w:color w:val="231F20"/>
          <w:w w:val="85"/>
          <w:sz w:val="16"/>
        </w:rPr>
        <w:t>Facultad</w:t>
      </w:r>
      <w:r>
        <w:rPr>
          <w:rFonts w:ascii="Arial" w:hAnsi="Arial"/>
          <w:color w:val="231F20"/>
          <w:spacing w:val="-21"/>
          <w:w w:val="85"/>
          <w:sz w:val="16"/>
        </w:rPr>
        <w:t> </w:t>
      </w:r>
      <w:r>
        <w:rPr>
          <w:rFonts w:ascii="Arial" w:hAnsi="Arial"/>
          <w:color w:val="231F20"/>
          <w:w w:val="85"/>
          <w:sz w:val="16"/>
        </w:rPr>
        <w:t>de</w:t>
      </w:r>
      <w:r>
        <w:rPr>
          <w:rFonts w:ascii="Arial" w:hAnsi="Arial"/>
          <w:color w:val="231F20"/>
          <w:spacing w:val="-21"/>
          <w:w w:val="85"/>
          <w:sz w:val="16"/>
        </w:rPr>
        <w:t> </w:t>
      </w:r>
      <w:r>
        <w:rPr>
          <w:rFonts w:ascii="Arial" w:hAnsi="Arial"/>
          <w:color w:val="231F20"/>
          <w:w w:val="85"/>
          <w:sz w:val="16"/>
        </w:rPr>
        <w:t>Planeación</w:t>
      </w:r>
      <w:r>
        <w:rPr>
          <w:rFonts w:ascii="Arial" w:hAnsi="Arial"/>
          <w:color w:val="231F20"/>
          <w:w w:val="81"/>
          <w:sz w:val="16"/>
        </w:rPr>
        <w:t> </w:t>
      </w:r>
      <w:r>
        <w:rPr>
          <w:rFonts w:ascii="Arial" w:hAnsi="Arial"/>
          <w:color w:val="231F20"/>
          <w:w w:val="85"/>
          <w:sz w:val="16"/>
        </w:rPr>
        <w:t>Urbana</w:t>
      </w:r>
      <w:r>
        <w:rPr>
          <w:rFonts w:ascii="Arial" w:hAnsi="Arial"/>
          <w:color w:val="231F20"/>
          <w:spacing w:val="-20"/>
          <w:w w:val="85"/>
          <w:sz w:val="16"/>
        </w:rPr>
        <w:t> </w:t>
      </w:r>
      <w:r>
        <w:rPr>
          <w:rFonts w:ascii="Arial" w:hAnsi="Arial"/>
          <w:color w:val="231F20"/>
          <w:w w:val="85"/>
          <w:sz w:val="16"/>
        </w:rPr>
        <w:t>y</w:t>
      </w:r>
      <w:r>
        <w:rPr>
          <w:rFonts w:ascii="Arial" w:hAnsi="Arial"/>
          <w:color w:val="231F20"/>
          <w:spacing w:val="-20"/>
          <w:w w:val="85"/>
          <w:sz w:val="16"/>
        </w:rPr>
        <w:t> </w:t>
      </w:r>
      <w:r>
        <w:rPr>
          <w:rFonts w:ascii="Arial" w:hAnsi="Arial"/>
          <w:color w:val="231F20"/>
          <w:w w:val="85"/>
          <w:sz w:val="16"/>
        </w:rPr>
        <w:t>Regional</w:t>
      </w:r>
    </w:p>
    <w:p>
      <w:pPr>
        <w:pStyle w:val="BodyText"/>
        <w:rPr>
          <w:rFonts w:ascii="Arial"/>
        </w:rPr>
      </w:pPr>
      <w:r>
        <w:rPr/>
        <w:br w:type="column"/>
      </w:r>
      <w:r>
        <w:rPr>
          <w:rFonts w:ascii="Arial"/>
        </w:rPr>
      </w:r>
    </w:p>
    <w:p>
      <w:pPr>
        <w:spacing w:before="0"/>
        <w:ind w:left="555" w:right="0" w:firstLine="0"/>
        <w:jc w:val="left"/>
        <w:rPr>
          <w:rFonts w:ascii="Arial" w:hAnsi="Arial"/>
          <w:sz w:val="16"/>
        </w:rPr>
      </w:pPr>
      <w:r>
        <w:rPr>
          <w:rFonts w:ascii="Arial" w:hAnsi="Arial"/>
          <w:color w:val="231F20"/>
          <w:w w:val="85"/>
          <w:sz w:val="16"/>
        </w:rPr>
        <w:t>Facultad de Geografía y Estudios Regionales</w:t>
      </w:r>
    </w:p>
    <w:p>
      <w:pPr>
        <w:spacing w:after="0"/>
        <w:jc w:val="left"/>
        <w:rPr>
          <w:rFonts w:ascii="Arial" w:hAnsi="Arial"/>
          <w:sz w:val="16"/>
        </w:rPr>
        <w:sectPr>
          <w:type w:val="continuous"/>
          <w:pgSz w:w="9640" w:h="13040"/>
          <w:pgMar w:top="0" w:bottom="0" w:left="1340" w:right="1020"/>
          <w:cols w:num="2" w:equalWidth="0">
            <w:col w:w="3543" w:space="40"/>
            <w:col w:w="3697"/>
          </w:cols>
        </w:sectPr>
      </w:pPr>
    </w:p>
    <w:p>
      <w:pPr>
        <w:tabs>
          <w:tab w:pos="4496" w:val="left" w:leader="none"/>
        </w:tabs>
        <w:spacing w:before="76"/>
        <w:ind w:left="760" w:right="0" w:firstLine="0"/>
        <w:jc w:val="left"/>
        <w:rPr>
          <w:rFonts w:ascii="Arial" w:hAnsi="Arial"/>
          <w:sz w:val="16"/>
        </w:rPr>
      </w:pPr>
      <w:r>
        <w:rPr>
          <w:rFonts w:ascii="Arial" w:hAnsi="Arial"/>
          <w:color w:val="231F20"/>
          <w:w w:val="85"/>
          <w:sz w:val="16"/>
        </w:rPr>
        <w:t>Universidad</w:t>
      </w:r>
      <w:r>
        <w:rPr>
          <w:rFonts w:ascii="Arial" w:hAnsi="Arial"/>
          <w:color w:val="231F20"/>
          <w:spacing w:val="-19"/>
          <w:w w:val="85"/>
          <w:sz w:val="16"/>
        </w:rPr>
        <w:t> </w:t>
      </w:r>
      <w:r>
        <w:rPr>
          <w:rFonts w:ascii="Arial" w:hAnsi="Arial"/>
          <w:color w:val="231F20"/>
          <w:w w:val="85"/>
          <w:sz w:val="16"/>
        </w:rPr>
        <w:t>Autónoma</w:t>
      </w:r>
      <w:r>
        <w:rPr>
          <w:rFonts w:ascii="Arial" w:hAnsi="Arial"/>
          <w:color w:val="231F20"/>
          <w:spacing w:val="-14"/>
          <w:w w:val="85"/>
          <w:sz w:val="16"/>
        </w:rPr>
        <w:t> </w:t>
      </w:r>
      <w:r>
        <w:rPr>
          <w:rFonts w:ascii="Arial" w:hAnsi="Arial"/>
          <w:color w:val="231F20"/>
          <w:w w:val="85"/>
          <w:sz w:val="16"/>
        </w:rPr>
        <w:t>del</w:t>
      </w:r>
      <w:r>
        <w:rPr>
          <w:rFonts w:ascii="Arial" w:hAnsi="Arial"/>
          <w:color w:val="231F20"/>
          <w:spacing w:val="-14"/>
          <w:w w:val="85"/>
          <w:sz w:val="16"/>
        </w:rPr>
        <w:t> </w:t>
      </w:r>
      <w:r>
        <w:rPr>
          <w:rFonts w:ascii="Arial" w:hAnsi="Arial"/>
          <w:color w:val="231F20"/>
          <w:w w:val="85"/>
          <w:sz w:val="16"/>
        </w:rPr>
        <w:t>Estado</w:t>
      </w:r>
      <w:r>
        <w:rPr>
          <w:rFonts w:ascii="Arial" w:hAnsi="Arial"/>
          <w:color w:val="231F20"/>
          <w:spacing w:val="-14"/>
          <w:w w:val="85"/>
          <w:sz w:val="16"/>
        </w:rPr>
        <w:t> </w:t>
      </w:r>
      <w:r>
        <w:rPr>
          <w:rFonts w:ascii="Arial" w:hAnsi="Arial"/>
          <w:color w:val="231F20"/>
          <w:w w:val="85"/>
          <w:sz w:val="16"/>
        </w:rPr>
        <w:t>de</w:t>
      </w:r>
      <w:r>
        <w:rPr>
          <w:rFonts w:ascii="Arial" w:hAnsi="Arial"/>
          <w:color w:val="231F20"/>
          <w:spacing w:val="-14"/>
          <w:w w:val="85"/>
          <w:sz w:val="16"/>
        </w:rPr>
        <w:t> </w:t>
      </w:r>
      <w:r>
        <w:rPr>
          <w:rFonts w:ascii="Arial" w:hAnsi="Arial"/>
          <w:color w:val="231F20"/>
          <w:w w:val="85"/>
          <w:sz w:val="16"/>
        </w:rPr>
        <w:t>México</w:t>
        <w:tab/>
      </w:r>
      <w:r>
        <w:rPr>
          <w:rFonts w:ascii="Arial" w:hAnsi="Arial"/>
          <w:color w:val="231F20"/>
          <w:w w:val="80"/>
          <w:sz w:val="16"/>
        </w:rPr>
        <w:t>Universidad de Varsovia, </w:t>
      </w:r>
      <w:r>
        <w:rPr>
          <w:rFonts w:ascii="Arial" w:hAnsi="Arial"/>
          <w:color w:val="231F20"/>
          <w:spacing w:val="1"/>
          <w:w w:val="80"/>
          <w:sz w:val="16"/>
        </w:rPr>
        <w:t> </w:t>
      </w:r>
      <w:r>
        <w:rPr>
          <w:rFonts w:ascii="Arial" w:hAnsi="Arial"/>
          <w:color w:val="231F20"/>
          <w:w w:val="80"/>
          <w:sz w:val="16"/>
        </w:rPr>
        <w:t>Polonia</w:t>
      </w:r>
    </w:p>
    <w:p>
      <w:pPr>
        <w:pStyle w:val="BodyText"/>
        <w:spacing w:before="9"/>
        <w:rPr>
          <w:rFonts w:ascii="Arial"/>
          <w:sz w:val="12"/>
        </w:rPr>
      </w:pPr>
      <w:r>
        <w:rPr/>
        <w:pict>
          <v:line style="position:absolute;mso-position-horizontal-relative:page;mso-position-vertical-relative:paragraph;z-index:0;mso-wrap-distance-left:0;mso-wrap-distance-right:0" from="85.039398pt,9.804886pt" to="425.196398pt,9.804886pt" stroked="true" strokeweight="1pt" strokecolor="#231f20">
            <w10:wrap type="topAndBottom"/>
          </v:line>
        </w:pict>
      </w:r>
    </w:p>
    <w:p>
      <w:pPr>
        <w:pStyle w:val="BodyText"/>
        <w:spacing w:before="4"/>
        <w:rPr>
          <w:rFonts w:ascii="Arial"/>
          <w:sz w:val="16"/>
        </w:rPr>
      </w:pPr>
    </w:p>
    <w:p>
      <w:pPr>
        <w:spacing w:before="0"/>
        <w:ind w:left="1483" w:right="1237" w:firstLine="0"/>
        <w:jc w:val="center"/>
        <w:rPr>
          <w:rFonts w:ascii="Arial"/>
          <w:sz w:val="28"/>
        </w:rPr>
      </w:pPr>
      <w:r>
        <w:rPr>
          <w:rFonts w:ascii="Arial"/>
          <w:color w:val="231F20"/>
          <w:w w:val="90"/>
          <w:sz w:val="28"/>
        </w:rPr>
        <w:t>2014</w:t>
      </w:r>
    </w:p>
    <w:p>
      <w:pPr>
        <w:spacing w:after="0"/>
        <w:jc w:val="center"/>
        <w:rPr>
          <w:rFonts w:ascii="Arial"/>
          <w:sz w:val="28"/>
        </w:rPr>
        <w:sectPr>
          <w:type w:val="continuous"/>
          <w:pgSz w:w="9640" w:h="13040"/>
          <w:pgMar w:top="0" w:bottom="0" w:left="1340" w:right="102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4"/>
        <w:rPr>
          <w:rFonts w:ascii="Arial"/>
          <w:sz w:val="18"/>
        </w:rPr>
      </w:pPr>
    </w:p>
    <w:p>
      <w:pPr>
        <w:pStyle w:val="BodyText"/>
        <w:spacing w:line="240" w:lineRule="exact" w:before="1"/>
        <w:ind w:left="113" w:right="5091"/>
        <w:rPr>
          <w:rFonts w:ascii="Calibri" w:hAnsi="Calibri"/>
        </w:rPr>
      </w:pPr>
      <w:r>
        <w:rPr>
          <w:rFonts w:ascii="Calibri" w:hAnsi="Calibri"/>
          <w:color w:val="231F20"/>
        </w:rPr>
        <w:t>© Derechos reservados 1ª edición 2014</w:t>
      </w:r>
    </w:p>
    <w:p>
      <w:pPr>
        <w:pStyle w:val="BodyText"/>
        <w:spacing w:before="1"/>
        <w:ind w:left="113"/>
        <w:rPr>
          <w:rFonts w:ascii="Calibri" w:hAnsi="Calibri"/>
        </w:rPr>
      </w:pPr>
      <w:r>
        <w:rPr>
          <w:rFonts w:ascii="Calibri" w:hAnsi="Calibri"/>
          <w:color w:val="231F20"/>
        </w:rPr>
        <w:t>Universidad Autónoma del Estado de México</w:t>
      </w:r>
    </w:p>
    <w:p>
      <w:pPr>
        <w:pStyle w:val="BodyText"/>
        <w:rPr>
          <w:rFonts w:ascii="Calibri"/>
        </w:rPr>
      </w:pPr>
    </w:p>
    <w:p>
      <w:pPr>
        <w:pStyle w:val="Heading3"/>
        <w:spacing w:before="155"/>
      </w:pPr>
      <w:r>
        <w:rPr>
          <w:color w:val="231F20"/>
        </w:rPr>
        <w:t>ISBN 978-607-422-543-3</w:t>
      </w:r>
    </w:p>
    <w:p>
      <w:pPr>
        <w:pStyle w:val="BodyText"/>
        <w:spacing w:line="242" w:lineRule="exact" w:before="214"/>
        <w:ind w:left="113"/>
        <w:rPr>
          <w:rFonts w:ascii="Calibri" w:hAnsi="Calibri"/>
        </w:rPr>
      </w:pPr>
      <w:r>
        <w:rPr>
          <w:rFonts w:ascii="Calibri" w:hAnsi="Calibri"/>
          <w:color w:val="231F20"/>
        </w:rPr>
        <w:t>Impreso y hecho en México</w:t>
      </w:r>
    </w:p>
    <w:p>
      <w:pPr>
        <w:spacing w:line="242" w:lineRule="exact" w:before="0"/>
        <w:ind w:left="113" w:right="0" w:firstLine="0"/>
        <w:jc w:val="left"/>
        <w:rPr>
          <w:rFonts w:ascii="Calibri"/>
          <w:i/>
          <w:sz w:val="20"/>
        </w:rPr>
      </w:pPr>
      <w:r>
        <w:rPr>
          <w:rFonts w:ascii="Calibri"/>
          <w:i/>
          <w:color w:val="231F20"/>
          <w:sz w:val="20"/>
        </w:rPr>
        <w:t>Printed and made in Mexico</w:t>
      </w:r>
    </w:p>
    <w:p>
      <w:pPr>
        <w:spacing w:after="0" w:line="242" w:lineRule="exact"/>
        <w:jc w:val="left"/>
        <w:rPr>
          <w:rFonts w:ascii="Calibri"/>
          <w:sz w:val="20"/>
        </w:rPr>
        <w:sectPr>
          <w:pgSz w:w="9640" w:h="13040"/>
          <w:pgMar w:top="1200" w:bottom="280" w:left="1020" w:right="1340"/>
        </w:sectPr>
      </w:pPr>
    </w:p>
    <w:p>
      <w:pPr>
        <w:pStyle w:val="BodyText"/>
        <w:rPr>
          <w:rFonts w:ascii="Calibri"/>
          <w:i/>
        </w:rPr>
      </w:pPr>
    </w:p>
    <w:p>
      <w:pPr>
        <w:pStyle w:val="Heading1"/>
        <w:spacing w:before="166"/>
      </w:pPr>
      <w:r>
        <w:rPr>
          <w:color w:val="231F20"/>
          <w:w w:val="90"/>
        </w:rPr>
        <w:t>Contenido</w:t>
      </w:r>
    </w:p>
    <w:p>
      <w:pPr>
        <w:pStyle w:val="BodyText"/>
        <w:spacing w:before="4"/>
        <w:rPr>
          <w:rFonts w:ascii="Arial"/>
          <w:sz w:val="48"/>
        </w:rPr>
      </w:pPr>
    </w:p>
    <w:p>
      <w:pPr>
        <w:pStyle w:val="BodyText"/>
        <w:ind w:left="423" w:right="1021"/>
        <w:jc w:val="center"/>
        <w:rPr>
          <w:rFonts w:ascii="Arial" w:hAnsi="Arial"/>
        </w:rPr>
      </w:pPr>
      <w:r>
        <w:rPr>
          <w:rFonts w:ascii="Arial" w:hAnsi="Arial"/>
          <w:color w:val="231F20"/>
          <w:w w:val="90"/>
        </w:rPr>
        <w:t>Introducción</w:t>
      </w:r>
    </w:p>
    <w:p>
      <w:pPr>
        <w:pStyle w:val="BodyText"/>
        <w:rPr>
          <w:rFonts w:ascii="Arial"/>
          <w:sz w:val="16"/>
        </w:rPr>
      </w:pPr>
    </w:p>
    <w:p>
      <w:pPr>
        <w:pStyle w:val="BodyText"/>
        <w:spacing w:before="43"/>
        <w:ind w:left="440"/>
      </w:pPr>
      <w:r>
        <w:rPr>
          <w:color w:val="231F20"/>
        </w:rPr>
        <w:t>Guadalupe Hoyos Castillo y Miroslawa Czerny</w:t>
      </w:r>
    </w:p>
    <w:p>
      <w:pPr>
        <w:tabs>
          <w:tab w:pos="7083" w:val="right" w:leader="none"/>
        </w:tabs>
        <w:spacing w:line="245" w:lineRule="exact" w:before="40"/>
        <w:ind w:left="724" w:right="0" w:firstLine="0"/>
        <w:jc w:val="left"/>
        <w:rPr>
          <w:sz w:val="20"/>
        </w:rPr>
      </w:pPr>
      <w:r>
        <w:rPr>
          <w:rFonts w:ascii="Calibri" w:hAnsi="Calibri"/>
          <w:i/>
          <w:color w:val="231F20"/>
          <w:sz w:val="20"/>
        </w:rPr>
        <w:t>Descentralización urbana en América Latina y México.</w:t>
      </w:r>
      <w:r>
        <w:rPr>
          <w:rFonts w:ascii="Calibri" w:hAnsi="Calibri"/>
          <w:i/>
          <w:color w:val="231F20"/>
          <w:spacing w:val="-16"/>
          <w:sz w:val="20"/>
        </w:rPr>
        <w:t> </w:t>
      </w:r>
      <w:r>
        <w:rPr>
          <w:rFonts w:ascii="Calibri" w:hAnsi="Calibri"/>
          <w:i/>
          <w:color w:val="231F20"/>
          <w:sz w:val="20"/>
        </w:rPr>
        <w:t>¿Es</w:t>
      </w:r>
      <w:r>
        <w:rPr>
          <w:rFonts w:ascii="Calibri" w:hAnsi="Calibri"/>
          <w:i/>
          <w:color w:val="231F20"/>
          <w:spacing w:val="-2"/>
          <w:sz w:val="20"/>
        </w:rPr>
        <w:t> </w:t>
      </w:r>
      <w:r>
        <w:rPr>
          <w:rFonts w:ascii="Calibri" w:hAnsi="Calibri"/>
          <w:i/>
          <w:color w:val="231F20"/>
          <w:sz w:val="20"/>
        </w:rPr>
        <w:t>posible</w:t>
      </w:r>
      <w:r>
        <w:rPr>
          <w:color w:val="231F20"/>
          <w:sz w:val="20"/>
        </w:rPr>
        <w:tab/>
        <w:t>11</w:t>
      </w:r>
    </w:p>
    <w:p>
      <w:pPr>
        <w:spacing w:line="219" w:lineRule="exact" w:before="0"/>
        <w:ind w:left="724" w:right="0" w:firstLine="0"/>
        <w:jc w:val="left"/>
        <w:rPr>
          <w:rFonts w:ascii="Calibri"/>
          <w:i/>
          <w:sz w:val="20"/>
        </w:rPr>
      </w:pPr>
      <w:r>
        <w:rPr>
          <w:rFonts w:ascii="Calibri"/>
          <w:i/>
          <w:color w:val="231F20"/>
          <w:sz w:val="20"/>
        </w:rPr>
        <w:t>arribar a la ciudad-territorio?</w:t>
      </w:r>
    </w:p>
    <w:p>
      <w:pPr>
        <w:pStyle w:val="BodyText"/>
        <w:spacing w:before="448"/>
        <w:ind w:left="2241"/>
        <w:rPr>
          <w:rFonts w:ascii="Arial"/>
        </w:rPr>
      </w:pPr>
      <w:r>
        <w:rPr>
          <w:rFonts w:ascii="Arial"/>
          <w:color w:val="231F20"/>
          <w:w w:val="85"/>
        </w:rPr>
        <w:t>Parte I. Procesos y territorios</w:t>
      </w:r>
    </w:p>
    <w:p>
      <w:pPr>
        <w:pStyle w:val="BodyText"/>
        <w:spacing w:before="227"/>
        <w:ind w:left="423" w:right="5082"/>
        <w:jc w:val="center"/>
      </w:pPr>
      <w:r>
        <w:rPr>
          <w:color w:val="231F20"/>
        </w:rPr>
        <w:t>Barbara Jaczewska</w:t>
      </w:r>
    </w:p>
    <w:p>
      <w:pPr>
        <w:tabs>
          <w:tab w:pos="6883" w:val="left" w:leader="none"/>
        </w:tabs>
        <w:spacing w:line="245" w:lineRule="exact" w:before="40"/>
        <w:ind w:left="723" w:right="0" w:firstLine="0"/>
        <w:jc w:val="left"/>
        <w:rPr>
          <w:sz w:val="20"/>
        </w:rPr>
      </w:pPr>
      <w:r>
        <w:rPr>
          <w:rFonts w:ascii="Calibri"/>
          <w:i/>
          <w:color w:val="231F20"/>
          <w:sz w:val="20"/>
        </w:rPr>
        <w:t>Emergence of local immigrants integration as a</w:t>
      </w:r>
      <w:r>
        <w:rPr>
          <w:rFonts w:ascii="Calibri"/>
          <w:i/>
          <w:color w:val="231F20"/>
          <w:spacing w:val="-27"/>
          <w:sz w:val="20"/>
        </w:rPr>
        <w:t> </w:t>
      </w:r>
      <w:r>
        <w:rPr>
          <w:rFonts w:ascii="Calibri"/>
          <w:i/>
          <w:color w:val="231F20"/>
          <w:sz w:val="20"/>
        </w:rPr>
        <w:t>European</w:t>
      </w:r>
      <w:r>
        <w:rPr>
          <w:rFonts w:ascii="Calibri"/>
          <w:i/>
          <w:color w:val="231F20"/>
          <w:spacing w:val="-4"/>
          <w:sz w:val="20"/>
        </w:rPr>
        <w:t> </w:t>
      </w:r>
      <w:r>
        <w:rPr>
          <w:rFonts w:ascii="Calibri"/>
          <w:i/>
          <w:color w:val="231F20"/>
          <w:sz w:val="20"/>
        </w:rPr>
        <w:t>Union</w:t>
      </w:r>
      <w:r>
        <w:rPr>
          <w:color w:val="231F20"/>
          <w:sz w:val="20"/>
        </w:rPr>
        <w:tab/>
        <w:t>33</w:t>
      </w:r>
    </w:p>
    <w:p>
      <w:pPr>
        <w:spacing w:line="219" w:lineRule="exact" w:before="0"/>
        <w:ind w:left="723" w:right="0" w:firstLine="0"/>
        <w:jc w:val="left"/>
        <w:rPr>
          <w:rFonts w:ascii="Calibri"/>
          <w:i/>
          <w:sz w:val="20"/>
        </w:rPr>
      </w:pPr>
      <w:r>
        <w:rPr>
          <w:rFonts w:ascii="Calibri"/>
          <w:i/>
          <w:color w:val="231F20"/>
          <w:sz w:val="20"/>
        </w:rPr>
        <w:t>policy issue</w:t>
      </w:r>
    </w:p>
    <w:p>
      <w:pPr>
        <w:pStyle w:val="BodyText"/>
        <w:spacing w:line="240" w:lineRule="exact" w:before="204"/>
        <w:ind w:left="440" w:right="1171"/>
      </w:pPr>
      <w:r>
        <w:rPr>
          <w:color w:val="231F20"/>
        </w:rPr>
        <w:t>Rodrigo Pimienta Lastra, Martha Vera Bolaños, Michael Shea y Elena M. Gutiérrez Cárdenas</w:t>
      </w:r>
    </w:p>
    <w:p>
      <w:pPr>
        <w:tabs>
          <w:tab w:pos="6883" w:val="left" w:leader="none"/>
        </w:tabs>
        <w:spacing w:line="245" w:lineRule="exact" w:before="52"/>
        <w:ind w:left="723" w:right="0" w:firstLine="0"/>
        <w:jc w:val="left"/>
        <w:rPr>
          <w:sz w:val="20"/>
        </w:rPr>
      </w:pPr>
      <w:r>
        <w:rPr>
          <w:rFonts w:ascii="Calibri"/>
          <w:i/>
          <w:color w:val="231F20"/>
          <w:sz w:val="20"/>
        </w:rPr>
        <w:t>An analysis of the internal migratory flows</w:t>
      </w:r>
      <w:r>
        <w:rPr>
          <w:rFonts w:ascii="Calibri"/>
          <w:i/>
          <w:color w:val="231F20"/>
          <w:spacing w:val="-22"/>
          <w:sz w:val="20"/>
        </w:rPr>
        <w:t> </w:t>
      </w:r>
      <w:r>
        <w:rPr>
          <w:rFonts w:ascii="Calibri"/>
          <w:i/>
          <w:color w:val="231F20"/>
          <w:sz w:val="20"/>
        </w:rPr>
        <w:t>which</w:t>
      </w:r>
      <w:r>
        <w:rPr>
          <w:rFonts w:ascii="Calibri"/>
          <w:i/>
          <w:color w:val="231F20"/>
          <w:spacing w:val="-4"/>
          <w:sz w:val="20"/>
        </w:rPr>
        <w:t> </w:t>
      </w:r>
      <w:r>
        <w:rPr>
          <w:rFonts w:ascii="Calibri"/>
          <w:i/>
          <w:color w:val="231F20"/>
          <w:sz w:val="20"/>
        </w:rPr>
        <w:t>transformed</w:t>
      </w:r>
      <w:r>
        <w:rPr>
          <w:color w:val="231F20"/>
          <w:sz w:val="20"/>
        </w:rPr>
        <w:tab/>
        <w:t>51</w:t>
      </w:r>
    </w:p>
    <w:p>
      <w:pPr>
        <w:spacing w:line="219" w:lineRule="exact" w:before="0"/>
        <w:ind w:left="723" w:right="0" w:firstLine="0"/>
        <w:jc w:val="left"/>
        <w:rPr>
          <w:rFonts w:ascii="Calibri"/>
          <w:i/>
          <w:sz w:val="20"/>
        </w:rPr>
      </w:pPr>
      <w:r>
        <w:rPr>
          <w:rFonts w:ascii="Calibri"/>
          <w:i/>
          <w:color w:val="231F20"/>
          <w:sz w:val="20"/>
        </w:rPr>
        <w:t>Mexico State</w:t>
      </w:r>
    </w:p>
    <w:p>
      <w:pPr>
        <w:pStyle w:val="BodyText"/>
        <w:spacing w:before="186"/>
        <w:ind w:left="440"/>
      </w:pPr>
      <w:r>
        <w:rPr>
          <w:color w:val="231F20"/>
        </w:rPr>
        <w:t>Piotr Raźniak and Anna Winiarczyk-Raźniak</w:t>
      </w:r>
    </w:p>
    <w:p>
      <w:pPr>
        <w:tabs>
          <w:tab w:pos="6883" w:val="left" w:leader="none"/>
        </w:tabs>
        <w:spacing w:before="40"/>
        <w:ind w:left="723" w:right="0" w:firstLine="0"/>
        <w:jc w:val="left"/>
        <w:rPr>
          <w:sz w:val="20"/>
        </w:rPr>
      </w:pPr>
      <w:r>
        <w:rPr>
          <w:rFonts w:ascii="Calibri"/>
          <w:i/>
          <w:color w:val="231F20"/>
          <w:sz w:val="20"/>
        </w:rPr>
        <w:t>Social security of cities and</w:t>
      </w:r>
      <w:r>
        <w:rPr>
          <w:rFonts w:ascii="Calibri"/>
          <w:i/>
          <w:color w:val="231F20"/>
          <w:spacing w:val="-18"/>
          <w:sz w:val="20"/>
        </w:rPr>
        <w:t> </w:t>
      </w:r>
      <w:r>
        <w:rPr>
          <w:rFonts w:ascii="Calibri"/>
          <w:i/>
          <w:color w:val="231F20"/>
          <w:sz w:val="20"/>
        </w:rPr>
        <w:t>surrounding</w:t>
      </w:r>
      <w:r>
        <w:rPr>
          <w:rFonts w:ascii="Calibri"/>
          <w:i/>
          <w:color w:val="231F20"/>
          <w:spacing w:val="-4"/>
          <w:sz w:val="20"/>
        </w:rPr>
        <w:t> </w:t>
      </w:r>
      <w:r>
        <w:rPr>
          <w:rFonts w:ascii="Calibri"/>
          <w:i/>
          <w:color w:val="231F20"/>
          <w:sz w:val="20"/>
        </w:rPr>
        <w:t>areas</w:t>
      </w:r>
      <w:r>
        <w:rPr>
          <w:color w:val="231F20"/>
          <w:sz w:val="20"/>
        </w:rPr>
        <w:tab/>
        <w:t>71</w:t>
      </w:r>
    </w:p>
    <w:p>
      <w:pPr>
        <w:pStyle w:val="BodyText"/>
        <w:spacing w:before="402"/>
        <w:ind w:left="1624"/>
        <w:rPr>
          <w:rFonts w:ascii="Arial"/>
        </w:rPr>
      </w:pPr>
      <w:r>
        <w:rPr>
          <w:rFonts w:ascii="Arial"/>
          <w:color w:val="231F20"/>
          <w:w w:val="85"/>
        </w:rPr>
        <w:t>Parte II. Estructuras ambientales sustentables</w:t>
      </w:r>
    </w:p>
    <w:p>
      <w:pPr>
        <w:pStyle w:val="BodyText"/>
        <w:spacing w:before="227"/>
        <w:ind w:left="439"/>
      </w:pPr>
      <w:r>
        <w:rPr>
          <w:color w:val="231F20"/>
        </w:rPr>
        <w:t>Joanna Miętkiewska-Brynda and Jerzy Makowski</w:t>
      </w:r>
    </w:p>
    <w:p>
      <w:pPr>
        <w:tabs>
          <w:tab w:pos="6882" w:val="left" w:leader="none"/>
        </w:tabs>
        <w:spacing w:before="40"/>
        <w:ind w:left="723" w:right="0" w:firstLine="0"/>
        <w:jc w:val="left"/>
        <w:rPr>
          <w:sz w:val="20"/>
        </w:rPr>
      </w:pPr>
      <w:r>
        <w:rPr>
          <w:rFonts w:ascii="Calibri" w:hAnsi="Calibri"/>
          <w:i/>
          <w:color w:val="231F20"/>
          <w:sz w:val="20"/>
        </w:rPr>
        <w:t>Ciudad versus medio ambiente. Reflexión sobre</w:t>
      </w:r>
      <w:r>
        <w:rPr>
          <w:rFonts w:ascii="Calibri" w:hAnsi="Calibri"/>
          <w:i/>
          <w:color w:val="231F20"/>
          <w:spacing w:val="-25"/>
          <w:sz w:val="20"/>
        </w:rPr>
        <w:t> </w:t>
      </w:r>
      <w:r>
        <w:rPr>
          <w:rFonts w:ascii="Calibri" w:hAnsi="Calibri"/>
          <w:i/>
          <w:color w:val="231F20"/>
          <w:sz w:val="20"/>
        </w:rPr>
        <w:t>las</w:t>
      </w:r>
      <w:r>
        <w:rPr>
          <w:rFonts w:ascii="Calibri" w:hAnsi="Calibri"/>
          <w:i/>
          <w:color w:val="231F20"/>
          <w:spacing w:val="-4"/>
          <w:sz w:val="20"/>
        </w:rPr>
        <w:t> </w:t>
      </w:r>
      <w:r>
        <w:rPr>
          <w:rFonts w:ascii="Calibri" w:hAnsi="Calibri"/>
          <w:i/>
          <w:color w:val="231F20"/>
          <w:sz w:val="20"/>
        </w:rPr>
        <w:t>relaciones</w:t>
      </w:r>
      <w:r>
        <w:rPr>
          <w:color w:val="231F20"/>
          <w:sz w:val="20"/>
        </w:rPr>
        <w:tab/>
        <w:t>87</w:t>
      </w:r>
    </w:p>
    <w:p>
      <w:pPr>
        <w:pStyle w:val="BodyText"/>
        <w:spacing w:before="140"/>
        <w:ind w:left="439"/>
      </w:pPr>
      <w:r>
        <w:rPr>
          <w:color w:val="231F20"/>
        </w:rPr>
        <w:t>Dawid Soszyński and Ewelina Anaszewska</w:t>
      </w:r>
    </w:p>
    <w:p>
      <w:pPr>
        <w:tabs>
          <w:tab w:pos="6882" w:val="left" w:leader="none"/>
        </w:tabs>
        <w:spacing w:line="245" w:lineRule="exact" w:before="40"/>
        <w:ind w:left="723" w:right="0" w:firstLine="0"/>
        <w:jc w:val="left"/>
        <w:rPr>
          <w:sz w:val="20"/>
        </w:rPr>
      </w:pPr>
      <w:r>
        <w:rPr>
          <w:rFonts w:ascii="Calibri" w:hAnsi="Calibri"/>
          <w:i/>
          <w:color w:val="231F20"/>
          <w:sz w:val="20"/>
        </w:rPr>
        <w:t>Functioning of rural public spaces in the community</w:t>
      </w:r>
      <w:r>
        <w:rPr>
          <w:rFonts w:ascii="Calibri" w:hAnsi="Calibri"/>
          <w:i/>
          <w:color w:val="231F20"/>
          <w:spacing w:val="-6"/>
          <w:sz w:val="20"/>
        </w:rPr>
        <w:t> </w:t>
      </w:r>
      <w:r>
        <w:rPr>
          <w:rFonts w:ascii="Calibri" w:hAnsi="Calibri"/>
          <w:i/>
          <w:color w:val="231F20"/>
          <w:sz w:val="20"/>
        </w:rPr>
        <w:t>of</w:t>
      </w:r>
      <w:r>
        <w:rPr>
          <w:rFonts w:ascii="Calibri" w:hAnsi="Calibri"/>
          <w:i/>
          <w:color w:val="231F20"/>
          <w:spacing w:val="-1"/>
          <w:sz w:val="20"/>
        </w:rPr>
        <w:t> </w:t>
      </w:r>
      <w:r>
        <w:rPr>
          <w:rFonts w:ascii="Calibri" w:hAnsi="Calibri"/>
          <w:i/>
          <w:color w:val="231F20"/>
          <w:sz w:val="20"/>
        </w:rPr>
        <w:t>Dębowa</w:t>
      </w:r>
      <w:r>
        <w:rPr>
          <w:color w:val="231F20"/>
          <w:sz w:val="20"/>
        </w:rPr>
        <w:tab/>
        <w:t>99</w:t>
      </w:r>
    </w:p>
    <w:p>
      <w:pPr>
        <w:spacing w:line="219" w:lineRule="exact" w:before="0"/>
        <w:ind w:left="723" w:right="0" w:firstLine="0"/>
        <w:jc w:val="left"/>
        <w:rPr>
          <w:rFonts w:ascii="Calibri" w:hAnsi="Calibri"/>
          <w:i/>
          <w:sz w:val="20"/>
        </w:rPr>
      </w:pPr>
      <w:r>
        <w:rPr>
          <w:rFonts w:ascii="Calibri" w:hAnsi="Calibri"/>
          <w:i/>
          <w:color w:val="231F20"/>
          <w:sz w:val="20"/>
        </w:rPr>
        <w:t>Kłoda, in eastern Poland</w:t>
      </w:r>
    </w:p>
    <w:p>
      <w:pPr>
        <w:spacing w:after="0" w:line="219" w:lineRule="exact"/>
        <w:jc w:val="left"/>
        <w:rPr>
          <w:rFonts w:ascii="Calibri" w:hAnsi="Calibri"/>
          <w:sz w:val="20"/>
        </w:rPr>
        <w:sectPr>
          <w:pgSz w:w="9640" w:h="13040"/>
          <w:pgMar w:top="1200" w:bottom="280" w:left="1340" w:right="1100"/>
        </w:sectPr>
      </w:pPr>
    </w:p>
    <w:p>
      <w:pPr>
        <w:pStyle w:val="BodyText"/>
        <w:spacing w:before="3"/>
        <w:rPr>
          <w:rFonts w:ascii="Calibri"/>
          <w:i/>
          <w:sz w:val="15"/>
        </w:rPr>
      </w:pPr>
    </w:p>
    <w:p>
      <w:pPr>
        <w:pStyle w:val="BodyText"/>
        <w:ind w:left="439"/>
      </w:pPr>
      <w:r>
        <w:rPr>
          <w:color w:val="231F20"/>
        </w:rPr>
        <w:t>Wioletta Kałamucka, Krzysztof Kałamucki and Anna Kamińska</w:t>
      </w:r>
    </w:p>
    <w:p>
      <w:pPr>
        <w:spacing w:line="222" w:lineRule="exact" w:before="59"/>
        <w:ind w:left="722" w:right="0" w:firstLine="0"/>
        <w:jc w:val="left"/>
        <w:rPr>
          <w:rFonts w:ascii="Calibri"/>
          <w:i/>
          <w:sz w:val="20"/>
        </w:rPr>
      </w:pPr>
      <w:r>
        <w:rPr>
          <w:rFonts w:ascii="Calibri"/>
          <w:i/>
          <w:color w:val="231F20"/>
          <w:sz w:val="20"/>
        </w:rPr>
        <w:t>The</w:t>
      </w:r>
      <w:r>
        <w:rPr>
          <w:rFonts w:ascii="Calibri"/>
          <w:i/>
          <w:color w:val="231F20"/>
          <w:spacing w:val="-3"/>
          <w:sz w:val="20"/>
        </w:rPr>
        <w:t> </w:t>
      </w:r>
      <w:r>
        <w:rPr>
          <w:rFonts w:ascii="Calibri"/>
          <w:i/>
          <w:color w:val="231F20"/>
          <w:sz w:val="20"/>
        </w:rPr>
        <w:t>analysis</w:t>
      </w:r>
      <w:r>
        <w:rPr>
          <w:rFonts w:ascii="Calibri"/>
          <w:i/>
          <w:color w:val="231F20"/>
          <w:spacing w:val="-3"/>
          <w:sz w:val="20"/>
        </w:rPr>
        <w:t> </w:t>
      </w:r>
      <w:r>
        <w:rPr>
          <w:rFonts w:ascii="Calibri"/>
          <w:i/>
          <w:color w:val="231F20"/>
          <w:sz w:val="20"/>
        </w:rPr>
        <w:t>of</w:t>
      </w:r>
      <w:r>
        <w:rPr>
          <w:rFonts w:ascii="Calibri"/>
          <w:i/>
          <w:color w:val="231F20"/>
          <w:spacing w:val="-3"/>
          <w:sz w:val="20"/>
        </w:rPr>
        <w:t> </w:t>
      </w:r>
      <w:r>
        <w:rPr>
          <w:rFonts w:ascii="Calibri"/>
          <w:i/>
          <w:color w:val="231F20"/>
          <w:sz w:val="20"/>
        </w:rPr>
        <w:t>the</w:t>
      </w:r>
      <w:r>
        <w:rPr>
          <w:rFonts w:ascii="Calibri"/>
          <w:i/>
          <w:color w:val="231F20"/>
          <w:spacing w:val="-3"/>
          <w:sz w:val="20"/>
        </w:rPr>
        <w:t> </w:t>
      </w:r>
      <w:r>
        <w:rPr>
          <w:rFonts w:ascii="Calibri"/>
          <w:i/>
          <w:color w:val="231F20"/>
          <w:sz w:val="20"/>
        </w:rPr>
        <w:t>route</w:t>
      </w:r>
      <w:r>
        <w:rPr>
          <w:rFonts w:ascii="Calibri"/>
          <w:i/>
          <w:color w:val="231F20"/>
          <w:spacing w:val="-3"/>
          <w:sz w:val="20"/>
        </w:rPr>
        <w:t> </w:t>
      </w:r>
      <w:r>
        <w:rPr>
          <w:rFonts w:ascii="Calibri"/>
          <w:i/>
          <w:color w:val="231F20"/>
          <w:sz w:val="20"/>
        </w:rPr>
        <w:t>changes</w:t>
      </w:r>
      <w:r>
        <w:rPr>
          <w:rFonts w:ascii="Calibri"/>
          <w:i/>
          <w:color w:val="231F20"/>
          <w:spacing w:val="-4"/>
          <w:sz w:val="20"/>
        </w:rPr>
        <w:t> </w:t>
      </w:r>
      <w:r>
        <w:rPr>
          <w:rFonts w:ascii="Calibri"/>
          <w:i/>
          <w:color w:val="231F20"/>
          <w:sz w:val="20"/>
        </w:rPr>
        <w:t>of</w:t>
      </w:r>
      <w:r>
        <w:rPr>
          <w:rFonts w:ascii="Calibri"/>
          <w:i/>
          <w:color w:val="231F20"/>
          <w:spacing w:val="-3"/>
          <w:sz w:val="20"/>
        </w:rPr>
        <w:t> </w:t>
      </w:r>
      <w:r>
        <w:rPr>
          <w:rFonts w:ascii="Calibri"/>
          <w:i/>
          <w:color w:val="231F20"/>
          <w:sz w:val="20"/>
        </w:rPr>
        <w:t>pedestrian</w:t>
      </w:r>
      <w:r>
        <w:rPr>
          <w:rFonts w:ascii="Calibri"/>
          <w:i/>
          <w:color w:val="231F20"/>
          <w:spacing w:val="-4"/>
          <w:sz w:val="20"/>
        </w:rPr>
        <w:t> </w:t>
      </w:r>
      <w:r>
        <w:rPr>
          <w:rFonts w:ascii="Calibri"/>
          <w:i/>
          <w:color w:val="231F20"/>
          <w:sz w:val="20"/>
        </w:rPr>
        <w:t>tourists</w:t>
      </w:r>
      <w:r>
        <w:rPr>
          <w:rFonts w:ascii="Calibri"/>
          <w:i/>
          <w:color w:val="231F20"/>
          <w:spacing w:val="-4"/>
          <w:sz w:val="20"/>
        </w:rPr>
        <w:t> </w:t>
      </w:r>
      <w:r>
        <w:rPr>
          <w:rFonts w:ascii="Calibri"/>
          <w:i/>
          <w:color w:val="231F20"/>
          <w:sz w:val="20"/>
        </w:rPr>
        <w:t>trails</w:t>
      </w:r>
      <w:r>
        <w:rPr>
          <w:rFonts w:ascii="Calibri"/>
          <w:i/>
          <w:color w:val="231F20"/>
          <w:spacing w:val="-4"/>
          <w:sz w:val="20"/>
        </w:rPr>
        <w:t> </w:t>
      </w:r>
      <w:r>
        <w:rPr>
          <w:rFonts w:ascii="Calibri"/>
          <w:i/>
          <w:color w:val="231F20"/>
          <w:sz w:val="20"/>
        </w:rPr>
        <w:t>in</w:t>
      </w:r>
      <w:r>
        <w:rPr>
          <w:rFonts w:ascii="Calibri"/>
          <w:i/>
          <w:color w:val="231F20"/>
          <w:spacing w:val="-3"/>
          <w:sz w:val="20"/>
        </w:rPr>
        <w:t> </w:t>
      </w:r>
      <w:r>
        <w:rPr>
          <w:rFonts w:ascii="Calibri"/>
          <w:i/>
          <w:color w:val="231F20"/>
          <w:sz w:val="20"/>
        </w:rPr>
        <w:t>the</w:t>
      </w:r>
    </w:p>
    <w:p>
      <w:pPr>
        <w:spacing w:line="222" w:lineRule="exact" w:before="0"/>
        <w:ind w:left="722" w:right="0" w:firstLine="0"/>
        <w:jc w:val="left"/>
        <w:rPr>
          <w:rFonts w:ascii="Calibri" w:hAnsi="Calibri"/>
          <w:i/>
          <w:sz w:val="20"/>
        </w:rPr>
      </w:pPr>
      <w:r>
        <w:rPr>
          <w:rFonts w:ascii="Calibri" w:hAnsi="Calibri"/>
          <w:i/>
          <w:color w:val="231F20"/>
          <w:sz w:val="20"/>
        </w:rPr>
        <w:t>area of Roztoczański National Park</w:t>
      </w:r>
    </w:p>
    <w:p>
      <w:pPr>
        <w:pStyle w:val="BodyText"/>
        <w:rPr>
          <w:rFonts w:ascii="Calibri"/>
          <w:i/>
        </w:rPr>
      </w:pPr>
      <w:r>
        <w:rPr/>
        <w:br w:type="column"/>
      </w:r>
      <w:r>
        <w:rPr>
          <w:rFonts w:ascii="Calibri"/>
          <w:i/>
        </w:rPr>
      </w:r>
    </w:p>
    <w:p>
      <w:pPr>
        <w:pStyle w:val="BodyText"/>
        <w:spacing w:before="3"/>
        <w:rPr>
          <w:rFonts w:ascii="Calibri"/>
          <w:i/>
        </w:rPr>
      </w:pPr>
    </w:p>
    <w:p>
      <w:pPr>
        <w:pStyle w:val="BodyText"/>
        <w:ind w:left="439"/>
      </w:pPr>
      <w:r>
        <w:rPr>
          <w:color w:val="231F20"/>
        </w:rPr>
        <w:t>115</w:t>
      </w:r>
    </w:p>
    <w:p>
      <w:pPr>
        <w:spacing w:after="0"/>
        <w:sectPr>
          <w:type w:val="continuous"/>
          <w:pgSz w:w="9640" w:h="13040"/>
          <w:pgMar w:top="0" w:bottom="0" w:left="1340" w:right="1100"/>
          <w:cols w:num="2" w:equalWidth="0">
            <w:col w:w="6143" w:space="200"/>
            <w:col w:w="857"/>
          </w:cols>
        </w:sectPr>
      </w:pPr>
    </w:p>
    <w:p>
      <w:pPr>
        <w:pStyle w:val="BodyText"/>
        <w:spacing w:before="5"/>
        <w:rPr>
          <w:sz w:val="15"/>
        </w:rPr>
      </w:pPr>
    </w:p>
    <w:p>
      <w:pPr>
        <w:spacing w:after="0"/>
        <w:rPr>
          <w:sz w:val="15"/>
        </w:rPr>
        <w:sectPr>
          <w:pgSz w:w="9640" w:h="13040"/>
          <w:pgMar w:top="1200" w:bottom="280" w:left="1100" w:right="1340"/>
        </w:sectPr>
      </w:pPr>
    </w:p>
    <w:p>
      <w:pPr>
        <w:pStyle w:val="BodyText"/>
        <w:spacing w:before="43"/>
        <w:ind w:left="113"/>
      </w:pPr>
      <w:r>
        <w:rPr>
          <w:color w:val="231F20"/>
        </w:rPr>
        <w:t>Rosa María Sánchez Nájera y José Alfonso Martínez Sánchez</w:t>
      </w:r>
    </w:p>
    <w:p>
      <w:pPr>
        <w:spacing w:line="242" w:lineRule="exact" w:before="59"/>
        <w:ind w:left="397" w:right="0" w:firstLine="0"/>
        <w:jc w:val="left"/>
        <w:rPr>
          <w:rFonts w:ascii="Calibri" w:hAnsi="Calibri"/>
          <w:i/>
          <w:sz w:val="20"/>
        </w:rPr>
      </w:pPr>
      <w:r>
        <w:rPr>
          <w:rFonts w:ascii="Calibri" w:hAnsi="Calibri"/>
          <w:i/>
          <w:color w:val="231F20"/>
          <w:sz w:val="20"/>
        </w:rPr>
        <w:t>Características</w:t>
      </w:r>
      <w:r>
        <w:rPr>
          <w:rFonts w:ascii="Calibri" w:hAnsi="Calibri"/>
          <w:i/>
          <w:color w:val="231F20"/>
          <w:spacing w:val="-5"/>
          <w:sz w:val="20"/>
        </w:rPr>
        <w:t> </w:t>
      </w:r>
      <w:r>
        <w:rPr>
          <w:rFonts w:ascii="Calibri" w:hAnsi="Calibri"/>
          <w:i/>
          <w:color w:val="231F20"/>
          <w:sz w:val="20"/>
        </w:rPr>
        <w:t>de</w:t>
      </w:r>
      <w:r>
        <w:rPr>
          <w:rFonts w:ascii="Calibri" w:hAnsi="Calibri"/>
          <w:i/>
          <w:color w:val="231F20"/>
          <w:spacing w:val="-5"/>
          <w:sz w:val="20"/>
        </w:rPr>
        <w:t> </w:t>
      </w:r>
      <w:r>
        <w:rPr>
          <w:rFonts w:ascii="Calibri" w:hAnsi="Calibri"/>
          <w:i/>
          <w:color w:val="231F20"/>
          <w:sz w:val="20"/>
        </w:rPr>
        <w:t>la</w:t>
      </w:r>
      <w:r>
        <w:rPr>
          <w:rFonts w:ascii="Calibri" w:hAnsi="Calibri"/>
          <w:i/>
          <w:color w:val="231F20"/>
          <w:spacing w:val="-5"/>
          <w:sz w:val="20"/>
        </w:rPr>
        <w:t> </w:t>
      </w:r>
      <w:r>
        <w:rPr>
          <w:rFonts w:ascii="Calibri" w:hAnsi="Calibri"/>
          <w:i/>
          <w:color w:val="231F20"/>
          <w:sz w:val="20"/>
        </w:rPr>
        <w:t>innovación</w:t>
      </w:r>
      <w:r>
        <w:rPr>
          <w:rFonts w:ascii="Calibri" w:hAnsi="Calibri"/>
          <w:i/>
          <w:color w:val="231F20"/>
          <w:spacing w:val="-6"/>
          <w:sz w:val="20"/>
        </w:rPr>
        <w:t> </w:t>
      </w:r>
      <w:r>
        <w:rPr>
          <w:rFonts w:ascii="Calibri" w:hAnsi="Calibri"/>
          <w:i/>
          <w:color w:val="231F20"/>
          <w:sz w:val="20"/>
        </w:rPr>
        <w:t>en</w:t>
      </w:r>
      <w:r>
        <w:rPr>
          <w:rFonts w:ascii="Calibri" w:hAnsi="Calibri"/>
          <w:i/>
          <w:color w:val="231F20"/>
          <w:spacing w:val="-6"/>
          <w:sz w:val="20"/>
        </w:rPr>
        <w:t> </w:t>
      </w:r>
      <w:r>
        <w:rPr>
          <w:rFonts w:ascii="Calibri" w:hAnsi="Calibri"/>
          <w:i/>
          <w:color w:val="231F20"/>
          <w:sz w:val="20"/>
        </w:rPr>
        <w:t>el</w:t>
      </w:r>
      <w:r>
        <w:rPr>
          <w:rFonts w:ascii="Calibri" w:hAnsi="Calibri"/>
          <w:i/>
          <w:color w:val="231F20"/>
          <w:spacing w:val="-6"/>
          <w:sz w:val="20"/>
        </w:rPr>
        <w:t> </w:t>
      </w:r>
      <w:r>
        <w:rPr>
          <w:rFonts w:ascii="Calibri" w:hAnsi="Calibri"/>
          <w:i/>
          <w:color w:val="231F20"/>
          <w:sz w:val="20"/>
        </w:rPr>
        <w:t>sistema</w:t>
      </w:r>
      <w:r>
        <w:rPr>
          <w:rFonts w:ascii="Calibri" w:hAnsi="Calibri"/>
          <w:i/>
          <w:color w:val="231F20"/>
          <w:spacing w:val="-6"/>
          <w:sz w:val="20"/>
        </w:rPr>
        <w:t> </w:t>
      </w:r>
      <w:r>
        <w:rPr>
          <w:rFonts w:ascii="Calibri" w:hAnsi="Calibri"/>
          <w:i/>
          <w:color w:val="231F20"/>
          <w:sz w:val="20"/>
        </w:rPr>
        <w:t>productivo</w:t>
      </w:r>
      <w:r>
        <w:rPr>
          <w:rFonts w:ascii="Calibri" w:hAnsi="Calibri"/>
          <w:i/>
          <w:color w:val="231F20"/>
          <w:spacing w:val="-6"/>
          <w:sz w:val="20"/>
        </w:rPr>
        <w:t> </w:t>
      </w:r>
      <w:r>
        <w:rPr>
          <w:rFonts w:ascii="Calibri" w:hAnsi="Calibri"/>
          <w:i/>
          <w:color w:val="231F20"/>
          <w:sz w:val="20"/>
        </w:rPr>
        <w:t>local</w:t>
      </w:r>
      <w:r>
        <w:rPr>
          <w:rFonts w:ascii="Calibri" w:hAnsi="Calibri"/>
          <w:i/>
          <w:color w:val="231F20"/>
          <w:spacing w:val="-6"/>
          <w:sz w:val="20"/>
        </w:rPr>
        <w:t> </w:t>
      </w:r>
      <w:r>
        <w:rPr>
          <w:rFonts w:ascii="Calibri" w:hAnsi="Calibri"/>
          <w:i/>
          <w:color w:val="231F20"/>
          <w:sz w:val="20"/>
        </w:rPr>
        <w:t>de</w:t>
      </w:r>
    </w:p>
    <w:p>
      <w:pPr>
        <w:spacing w:line="242" w:lineRule="exact" w:before="0"/>
        <w:ind w:left="397" w:right="0" w:firstLine="0"/>
        <w:jc w:val="left"/>
        <w:rPr>
          <w:rFonts w:ascii="Calibri" w:hAnsi="Calibri"/>
          <w:i/>
          <w:sz w:val="20"/>
        </w:rPr>
      </w:pPr>
      <w:r>
        <w:rPr>
          <w:rFonts w:ascii="Calibri" w:hAnsi="Calibri"/>
          <w:i/>
          <w:color w:val="231F20"/>
          <w:sz w:val="20"/>
        </w:rPr>
        <w:t>San Mateo Atenco, Estado de México</w:t>
      </w:r>
    </w:p>
    <w:p>
      <w:pPr>
        <w:pStyle w:val="BodyText"/>
        <w:spacing w:before="6"/>
        <w:rPr>
          <w:rFonts w:ascii="Calibri"/>
          <w:i/>
          <w:sz w:val="28"/>
        </w:rPr>
      </w:pPr>
      <w:r>
        <w:rPr/>
        <w:br w:type="column"/>
      </w:r>
      <w:r>
        <w:rPr>
          <w:rFonts w:ascii="Calibri"/>
          <w:i/>
          <w:sz w:val="28"/>
        </w:rPr>
      </w:r>
    </w:p>
    <w:p>
      <w:pPr>
        <w:pStyle w:val="BodyText"/>
        <w:spacing w:before="1"/>
        <w:ind w:left="113"/>
      </w:pPr>
      <w:r>
        <w:rPr>
          <w:color w:val="231F20"/>
        </w:rPr>
        <w:t>131</w:t>
      </w:r>
    </w:p>
    <w:p>
      <w:pPr>
        <w:spacing w:after="0"/>
        <w:sectPr>
          <w:type w:val="continuous"/>
          <w:pgSz w:w="9640" w:h="13040"/>
          <w:pgMar w:top="0" w:bottom="0" w:left="1100" w:right="1340"/>
          <w:cols w:num="2" w:equalWidth="0">
            <w:col w:w="5624" w:space="719"/>
            <w:col w:w="857"/>
          </w:cols>
        </w:sectPr>
      </w:pPr>
    </w:p>
    <w:p>
      <w:pPr>
        <w:pStyle w:val="BodyText"/>
        <w:spacing w:before="8"/>
        <w:rPr>
          <w:sz w:val="7"/>
        </w:rPr>
      </w:pPr>
    </w:p>
    <w:p>
      <w:pPr>
        <w:spacing w:after="0"/>
        <w:rPr>
          <w:sz w:val="7"/>
        </w:rPr>
        <w:sectPr>
          <w:type w:val="continuous"/>
          <w:pgSz w:w="9640" w:h="13040"/>
          <w:pgMar w:top="0" w:bottom="0" w:left="1100" w:right="1340"/>
        </w:sectPr>
      </w:pPr>
    </w:p>
    <w:p>
      <w:pPr>
        <w:pStyle w:val="BodyText"/>
        <w:spacing w:line="240" w:lineRule="exact" w:before="62"/>
        <w:ind w:left="113" w:right="-20"/>
      </w:pPr>
      <w:r>
        <w:rPr>
          <w:color w:val="231F20"/>
        </w:rPr>
        <w:t>Salvador Adame Martínez, Edel Cadena Vargas y Miguel Acevedo</w:t>
      </w:r>
    </w:p>
    <w:p>
      <w:pPr>
        <w:spacing w:line="222" w:lineRule="exact" w:before="71"/>
        <w:ind w:left="397" w:right="-20" w:firstLine="0"/>
        <w:jc w:val="left"/>
        <w:rPr>
          <w:rFonts w:ascii="Calibri" w:hAnsi="Calibri"/>
          <w:i/>
          <w:sz w:val="20"/>
        </w:rPr>
      </w:pPr>
      <w:r>
        <w:rPr>
          <w:rFonts w:ascii="Calibri" w:hAnsi="Calibri"/>
          <w:i/>
          <w:color w:val="231F20"/>
          <w:sz w:val="20"/>
        </w:rPr>
        <w:t>Producción florícola y calidad de vida en la cuenca del río</w:t>
      </w:r>
    </w:p>
    <w:p>
      <w:pPr>
        <w:spacing w:line="222" w:lineRule="exact" w:before="0"/>
        <w:ind w:left="397" w:right="-20" w:firstLine="0"/>
        <w:jc w:val="left"/>
        <w:rPr>
          <w:rFonts w:ascii="Calibri" w:hAnsi="Calibri"/>
          <w:i/>
          <w:sz w:val="20"/>
        </w:rPr>
      </w:pPr>
      <w:r>
        <w:rPr>
          <w:rFonts w:ascii="Calibri" w:hAnsi="Calibri"/>
          <w:i/>
          <w:color w:val="231F20"/>
          <w:sz w:val="20"/>
        </w:rPr>
        <w:t>Tenancingo, México</w:t>
      </w:r>
    </w:p>
    <w:p>
      <w:pPr>
        <w:pStyle w:val="BodyText"/>
        <w:rPr>
          <w:rFonts w:ascii="Calibri"/>
          <w:i/>
        </w:rPr>
      </w:pPr>
      <w:r>
        <w:rPr/>
        <w:br w:type="column"/>
      </w:r>
      <w:r>
        <w:rPr>
          <w:rFonts w:ascii="Calibri"/>
          <w:i/>
        </w:rPr>
      </w:r>
    </w:p>
    <w:p>
      <w:pPr>
        <w:pStyle w:val="BodyText"/>
        <w:spacing w:before="3"/>
        <w:rPr>
          <w:rFonts w:ascii="Calibri"/>
          <w:i/>
          <w:sz w:val="28"/>
        </w:rPr>
      </w:pPr>
    </w:p>
    <w:p>
      <w:pPr>
        <w:pStyle w:val="BodyText"/>
        <w:ind w:left="113"/>
      </w:pPr>
      <w:r>
        <w:rPr>
          <w:color w:val="231F20"/>
        </w:rPr>
        <w:t>145</w:t>
      </w:r>
    </w:p>
    <w:p>
      <w:pPr>
        <w:spacing w:after="0"/>
        <w:sectPr>
          <w:type w:val="continuous"/>
          <w:pgSz w:w="9640" w:h="13040"/>
          <w:pgMar w:top="0" w:bottom="0" w:left="1100" w:right="1340"/>
          <w:cols w:num="2" w:equalWidth="0">
            <w:col w:w="5192" w:space="1151"/>
            <w:col w:w="857"/>
          </w:cols>
        </w:sectPr>
      </w:pPr>
    </w:p>
    <w:p>
      <w:pPr>
        <w:pStyle w:val="BodyText"/>
        <w:spacing w:before="9"/>
        <w:rPr>
          <w:sz w:val="27"/>
        </w:rPr>
      </w:pPr>
    </w:p>
    <w:p>
      <w:pPr>
        <w:pStyle w:val="BodyText"/>
        <w:spacing w:before="75"/>
        <w:ind w:left="1603"/>
        <w:rPr>
          <w:rFonts w:ascii="Arial" w:hAnsi="Arial"/>
        </w:rPr>
      </w:pPr>
      <w:r>
        <w:rPr>
          <w:rFonts w:ascii="Arial" w:hAnsi="Arial"/>
          <w:color w:val="231F20"/>
          <w:w w:val="85"/>
        </w:rPr>
        <w:t>Parte III. Actores y planeación urbana</w:t>
      </w:r>
    </w:p>
    <w:p>
      <w:pPr>
        <w:pStyle w:val="BodyText"/>
        <w:rPr>
          <w:rFonts w:ascii="Arial"/>
          <w:sz w:val="16"/>
        </w:rPr>
      </w:pPr>
    </w:p>
    <w:p>
      <w:pPr>
        <w:spacing w:after="0"/>
        <w:rPr>
          <w:rFonts w:ascii="Arial"/>
          <w:sz w:val="16"/>
        </w:rPr>
        <w:sectPr>
          <w:type w:val="continuous"/>
          <w:pgSz w:w="9640" w:h="13040"/>
          <w:pgMar w:top="0" w:bottom="0" w:left="1100" w:right="1340"/>
        </w:sectPr>
      </w:pPr>
    </w:p>
    <w:p>
      <w:pPr>
        <w:pStyle w:val="BodyText"/>
        <w:spacing w:before="43"/>
        <w:ind w:left="113"/>
      </w:pPr>
      <w:r>
        <w:rPr>
          <w:color w:val="231F20"/>
        </w:rPr>
        <w:t>Maciej Lasocki</w:t>
      </w:r>
    </w:p>
    <w:p>
      <w:pPr>
        <w:spacing w:line="200" w:lineRule="exact" w:before="90"/>
        <w:ind w:left="396" w:right="0" w:firstLine="0"/>
        <w:jc w:val="left"/>
        <w:rPr>
          <w:rFonts w:ascii="Calibri"/>
          <w:i/>
          <w:sz w:val="20"/>
        </w:rPr>
      </w:pPr>
      <w:r>
        <w:rPr>
          <w:rFonts w:ascii="Calibri"/>
          <w:i/>
          <w:color w:val="231F20"/>
          <w:sz w:val="20"/>
        </w:rPr>
        <w:t>Development</w:t>
      </w:r>
      <w:r>
        <w:rPr>
          <w:rFonts w:ascii="Calibri"/>
          <w:i/>
          <w:color w:val="231F20"/>
          <w:spacing w:val="-4"/>
          <w:sz w:val="20"/>
        </w:rPr>
        <w:t> </w:t>
      </w:r>
      <w:r>
        <w:rPr>
          <w:rFonts w:ascii="Calibri"/>
          <w:i/>
          <w:color w:val="231F20"/>
          <w:sz w:val="20"/>
        </w:rPr>
        <w:t>of</w:t>
      </w:r>
      <w:r>
        <w:rPr>
          <w:rFonts w:ascii="Calibri"/>
          <w:i/>
          <w:color w:val="231F20"/>
          <w:spacing w:val="-4"/>
          <w:sz w:val="20"/>
        </w:rPr>
        <w:t> </w:t>
      </w:r>
      <w:r>
        <w:rPr>
          <w:rFonts w:ascii="Calibri"/>
          <w:i/>
          <w:color w:val="231F20"/>
          <w:sz w:val="20"/>
        </w:rPr>
        <w:t>a</w:t>
      </w:r>
      <w:r>
        <w:rPr>
          <w:rFonts w:ascii="Calibri"/>
          <w:i/>
          <w:color w:val="231F20"/>
          <w:spacing w:val="-5"/>
          <w:sz w:val="20"/>
        </w:rPr>
        <w:t> </w:t>
      </w:r>
      <w:r>
        <w:rPr>
          <w:rFonts w:ascii="Calibri"/>
          <w:i/>
          <w:color w:val="231F20"/>
          <w:sz w:val="20"/>
        </w:rPr>
        <w:t>contemporary</w:t>
      </w:r>
      <w:r>
        <w:rPr>
          <w:rFonts w:ascii="Calibri"/>
          <w:i/>
          <w:color w:val="231F20"/>
          <w:spacing w:val="-5"/>
          <w:sz w:val="20"/>
        </w:rPr>
        <w:t> </w:t>
      </w:r>
      <w:r>
        <w:rPr>
          <w:rFonts w:ascii="Calibri"/>
          <w:i/>
          <w:color w:val="231F20"/>
          <w:sz w:val="20"/>
        </w:rPr>
        <w:t>city</w:t>
      </w:r>
      <w:r>
        <w:rPr>
          <w:rFonts w:ascii="Calibri"/>
          <w:i/>
          <w:color w:val="231F20"/>
          <w:spacing w:val="-5"/>
          <w:sz w:val="20"/>
        </w:rPr>
        <w:t> </w:t>
      </w:r>
      <w:r>
        <w:rPr>
          <w:rFonts w:ascii="Calibri"/>
          <w:i/>
          <w:color w:val="231F20"/>
          <w:sz w:val="20"/>
        </w:rPr>
        <w:t>as</w:t>
      </w:r>
      <w:r>
        <w:rPr>
          <w:rFonts w:ascii="Calibri"/>
          <w:i/>
          <w:color w:val="231F20"/>
          <w:spacing w:val="-4"/>
          <w:sz w:val="20"/>
        </w:rPr>
        <w:t> </w:t>
      </w:r>
      <w:r>
        <w:rPr>
          <w:rFonts w:ascii="Calibri"/>
          <w:i/>
          <w:color w:val="231F20"/>
          <w:sz w:val="20"/>
        </w:rPr>
        <w:t>an</w:t>
      </w:r>
      <w:r>
        <w:rPr>
          <w:rFonts w:ascii="Calibri"/>
          <w:i/>
          <w:color w:val="231F20"/>
          <w:spacing w:val="-4"/>
          <w:sz w:val="20"/>
        </w:rPr>
        <w:t> </w:t>
      </w:r>
      <w:r>
        <w:rPr>
          <w:rFonts w:ascii="Calibri"/>
          <w:i/>
          <w:color w:val="231F20"/>
          <w:sz w:val="20"/>
        </w:rPr>
        <w:t>offspring</w:t>
      </w:r>
      <w:r>
        <w:rPr>
          <w:rFonts w:ascii="Calibri"/>
          <w:i/>
          <w:color w:val="231F20"/>
          <w:spacing w:val="-4"/>
          <w:sz w:val="20"/>
        </w:rPr>
        <w:t> </w:t>
      </w:r>
      <w:r>
        <w:rPr>
          <w:rFonts w:ascii="Calibri"/>
          <w:i/>
          <w:color w:val="231F20"/>
          <w:sz w:val="20"/>
        </w:rPr>
        <w:t>of</w:t>
      </w:r>
      <w:r>
        <w:rPr>
          <w:rFonts w:ascii="Calibri"/>
          <w:i/>
          <w:color w:val="231F20"/>
          <w:spacing w:val="-4"/>
          <w:sz w:val="20"/>
        </w:rPr>
        <w:t> </w:t>
      </w:r>
      <w:r>
        <w:rPr>
          <w:rFonts w:ascii="Calibri"/>
          <w:i/>
          <w:color w:val="231F20"/>
          <w:sz w:val="20"/>
        </w:rPr>
        <w:t>the</w:t>
      </w:r>
      <w:r>
        <w:rPr>
          <w:rFonts w:ascii="Calibri"/>
          <w:i/>
          <w:color w:val="231F20"/>
          <w:spacing w:val="-4"/>
          <w:sz w:val="20"/>
        </w:rPr>
        <w:t> </w:t>
      </w:r>
      <w:r>
        <w:rPr>
          <w:rFonts w:ascii="Calibri"/>
          <w:i/>
          <w:color w:val="231F20"/>
          <w:sz w:val="20"/>
        </w:rPr>
        <w:t>political </w:t>
      </w:r>
      <w:r>
        <w:rPr>
          <w:rFonts w:ascii="Calibri"/>
          <w:i/>
          <w:color w:val="231F20"/>
          <w:sz w:val="20"/>
        </w:rPr>
        <w:t>culture in spatial</w:t>
      </w:r>
      <w:r>
        <w:rPr>
          <w:rFonts w:ascii="Calibri"/>
          <w:i/>
          <w:color w:val="231F20"/>
          <w:spacing w:val="-15"/>
          <w:sz w:val="20"/>
        </w:rPr>
        <w:t> </w:t>
      </w:r>
      <w:r>
        <w:rPr>
          <w:rFonts w:ascii="Calibri"/>
          <w:i/>
          <w:color w:val="231F20"/>
          <w:sz w:val="20"/>
        </w:rPr>
        <w:t>planning</w:t>
      </w:r>
    </w:p>
    <w:p>
      <w:pPr>
        <w:pStyle w:val="BodyText"/>
        <w:spacing w:before="7"/>
        <w:rPr>
          <w:rFonts w:ascii="Calibri"/>
          <w:i/>
          <w:sz w:val="28"/>
        </w:rPr>
      </w:pPr>
      <w:r>
        <w:rPr/>
        <w:br w:type="column"/>
      </w:r>
      <w:r>
        <w:rPr>
          <w:rFonts w:ascii="Calibri"/>
          <w:i/>
          <w:sz w:val="28"/>
        </w:rPr>
      </w:r>
    </w:p>
    <w:p>
      <w:pPr>
        <w:pStyle w:val="BodyText"/>
        <w:ind w:left="113"/>
      </w:pPr>
      <w:r>
        <w:rPr>
          <w:color w:val="231F20"/>
        </w:rPr>
        <w:t>169</w:t>
      </w:r>
    </w:p>
    <w:p>
      <w:pPr>
        <w:spacing w:after="0"/>
        <w:sectPr>
          <w:type w:val="continuous"/>
          <w:pgSz w:w="9640" w:h="13040"/>
          <w:pgMar w:top="0" w:bottom="0" w:left="1100" w:right="1340"/>
          <w:cols w:num="2" w:equalWidth="0">
            <w:col w:w="5797" w:space="546"/>
            <w:col w:w="857"/>
          </w:cols>
        </w:sectPr>
      </w:pPr>
    </w:p>
    <w:p>
      <w:pPr>
        <w:pStyle w:val="BodyText"/>
        <w:spacing w:before="8"/>
        <w:rPr>
          <w:sz w:val="11"/>
        </w:rPr>
      </w:pPr>
    </w:p>
    <w:p>
      <w:pPr>
        <w:spacing w:after="0"/>
        <w:rPr>
          <w:sz w:val="11"/>
        </w:rPr>
        <w:sectPr>
          <w:type w:val="continuous"/>
          <w:pgSz w:w="9640" w:h="13040"/>
          <w:pgMar w:top="0" w:bottom="0" w:left="1100" w:right="1340"/>
        </w:sectPr>
      </w:pPr>
    </w:p>
    <w:p>
      <w:pPr>
        <w:pStyle w:val="BodyText"/>
        <w:spacing w:line="240" w:lineRule="exact" w:before="61"/>
        <w:ind w:left="113" w:right="-20"/>
      </w:pPr>
      <w:r>
        <w:rPr>
          <w:color w:val="231F20"/>
        </w:rPr>
        <w:t>Yadira Contreras Juárez, José Juan Méndez Ramírez y Brenda Valdés Flores</w:t>
      </w:r>
    </w:p>
    <w:p>
      <w:pPr>
        <w:spacing w:line="200" w:lineRule="exact" w:before="102"/>
        <w:ind w:left="396" w:right="-20" w:firstLine="0"/>
        <w:jc w:val="left"/>
        <w:rPr>
          <w:rFonts w:ascii="Calibri" w:hAnsi="Calibri"/>
          <w:i/>
          <w:sz w:val="20"/>
        </w:rPr>
      </w:pPr>
      <w:r>
        <w:rPr>
          <w:rFonts w:ascii="Calibri" w:hAnsi="Calibri"/>
          <w:i/>
          <w:color w:val="231F20"/>
          <w:sz w:val="20"/>
        </w:rPr>
        <w:t>La perspectiva de género como herramienta para la planeación </w:t>
      </w:r>
      <w:r>
        <w:rPr>
          <w:rFonts w:ascii="Calibri" w:hAnsi="Calibri"/>
          <w:i/>
          <w:color w:val="231F20"/>
          <w:sz w:val="20"/>
        </w:rPr>
        <w:t>territorial</w:t>
      </w:r>
    </w:p>
    <w:p>
      <w:pPr>
        <w:pStyle w:val="BodyText"/>
        <w:rPr>
          <w:rFonts w:ascii="Calibri"/>
          <w:i/>
        </w:rPr>
      </w:pPr>
      <w:r>
        <w:rPr/>
        <w:br w:type="column"/>
      </w:r>
      <w:r>
        <w:rPr>
          <w:rFonts w:ascii="Calibri"/>
          <w:i/>
        </w:rPr>
      </w:r>
    </w:p>
    <w:p>
      <w:pPr>
        <w:pStyle w:val="BodyText"/>
        <w:spacing w:before="3"/>
        <w:rPr>
          <w:rFonts w:ascii="Calibri"/>
          <w:i/>
          <w:sz w:val="28"/>
        </w:rPr>
      </w:pPr>
    </w:p>
    <w:p>
      <w:pPr>
        <w:pStyle w:val="BodyText"/>
        <w:ind w:left="113"/>
      </w:pPr>
      <w:r>
        <w:rPr>
          <w:color w:val="231F20"/>
        </w:rPr>
        <w:t>181</w:t>
      </w:r>
    </w:p>
    <w:p>
      <w:pPr>
        <w:spacing w:after="0"/>
        <w:sectPr>
          <w:type w:val="continuous"/>
          <w:pgSz w:w="9640" w:h="13040"/>
          <w:pgMar w:top="0" w:bottom="0" w:left="1100" w:right="1340"/>
          <w:cols w:num="2" w:equalWidth="0">
            <w:col w:w="5559" w:space="784"/>
            <w:col w:w="857"/>
          </w:cols>
        </w:sectPr>
      </w:pPr>
    </w:p>
    <w:p>
      <w:pPr>
        <w:pStyle w:val="BodyText"/>
        <w:spacing w:before="8"/>
        <w:rPr>
          <w:sz w:val="11"/>
        </w:rPr>
      </w:pPr>
    </w:p>
    <w:p>
      <w:pPr>
        <w:spacing w:after="0"/>
        <w:rPr>
          <w:sz w:val="11"/>
        </w:rPr>
        <w:sectPr>
          <w:type w:val="continuous"/>
          <w:pgSz w:w="9640" w:h="13040"/>
          <w:pgMar w:top="0" w:bottom="0" w:left="1100" w:right="1340"/>
        </w:sectPr>
      </w:pPr>
    </w:p>
    <w:p>
      <w:pPr>
        <w:pStyle w:val="BodyText"/>
        <w:spacing w:line="240" w:lineRule="exact" w:before="61"/>
        <w:ind w:left="113" w:right="-20"/>
      </w:pPr>
      <w:r>
        <w:rPr>
          <w:color w:val="231F20"/>
        </w:rPr>
        <w:t>Jorge Tapia Quevedo, María Estela Orozco Hernández y Martha Vera Bolaños</w:t>
      </w:r>
    </w:p>
    <w:p>
      <w:pPr>
        <w:spacing w:line="200" w:lineRule="exact" w:before="102"/>
        <w:ind w:left="396" w:right="-20" w:firstLine="0"/>
        <w:jc w:val="left"/>
        <w:rPr>
          <w:rFonts w:ascii="Calibri" w:hAnsi="Calibri"/>
          <w:i/>
          <w:sz w:val="20"/>
        </w:rPr>
      </w:pPr>
      <w:r>
        <w:rPr>
          <w:rFonts w:ascii="Calibri" w:hAnsi="Calibri"/>
          <w:i/>
          <w:color w:val="231F20"/>
          <w:sz w:val="20"/>
        </w:rPr>
        <w:t>La urbanización de la zona poniente del Distrito Federal. Una </w:t>
      </w:r>
      <w:r>
        <w:rPr>
          <w:rFonts w:ascii="Calibri" w:hAnsi="Calibri"/>
          <w:i/>
          <w:color w:val="231F20"/>
          <w:sz w:val="20"/>
        </w:rPr>
        <w:t>interpretación sobre la formación de áreas de proximidad residencial entre grupos de altos y bajos ingresos</w:t>
      </w:r>
    </w:p>
    <w:p>
      <w:pPr>
        <w:pStyle w:val="BodyText"/>
        <w:rPr>
          <w:rFonts w:ascii="Calibri"/>
          <w:i/>
        </w:rPr>
      </w:pPr>
      <w:r>
        <w:rPr/>
        <w:br w:type="column"/>
      </w:r>
      <w:r>
        <w:rPr>
          <w:rFonts w:ascii="Calibri"/>
          <w:i/>
        </w:rPr>
      </w:r>
    </w:p>
    <w:p>
      <w:pPr>
        <w:pStyle w:val="BodyText"/>
        <w:spacing w:before="3"/>
        <w:rPr>
          <w:rFonts w:ascii="Calibri"/>
          <w:i/>
          <w:sz w:val="28"/>
        </w:rPr>
      </w:pPr>
    </w:p>
    <w:p>
      <w:pPr>
        <w:pStyle w:val="BodyText"/>
        <w:ind w:left="113"/>
      </w:pPr>
      <w:r>
        <w:rPr>
          <w:color w:val="231F20"/>
        </w:rPr>
        <w:t>199</w:t>
      </w:r>
    </w:p>
    <w:p>
      <w:pPr>
        <w:spacing w:after="0"/>
        <w:sectPr>
          <w:type w:val="continuous"/>
          <w:pgSz w:w="9640" w:h="13040"/>
          <w:pgMar w:top="0" w:bottom="0" w:left="1100" w:right="1340"/>
          <w:cols w:num="2" w:equalWidth="0">
            <w:col w:w="5789" w:space="554"/>
            <w:col w:w="857"/>
          </w:cols>
        </w:sectPr>
      </w:pPr>
    </w:p>
    <w:p>
      <w:pPr>
        <w:pStyle w:val="BodyText"/>
        <w:spacing w:before="7"/>
        <w:rPr>
          <w:sz w:val="14"/>
        </w:rPr>
      </w:pPr>
    </w:p>
    <w:p>
      <w:pPr>
        <w:spacing w:after="0"/>
        <w:rPr>
          <w:sz w:val="14"/>
        </w:rPr>
        <w:sectPr>
          <w:type w:val="continuous"/>
          <w:pgSz w:w="9640" w:h="13040"/>
          <w:pgMar w:top="0" w:bottom="0" w:left="1100" w:right="1340"/>
        </w:sectPr>
      </w:pPr>
    </w:p>
    <w:p>
      <w:pPr>
        <w:pStyle w:val="BodyText"/>
        <w:spacing w:before="44"/>
        <w:ind w:left="112" w:right="-1"/>
      </w:pPr>
      <w:r>
        <w:rPr>
          <w:color w:val="231F20"/>
        </w:rPr>
        <w:t>Jacek Kwiatkowski and Angelika Kowalczyk</w:t>
      </w:r>
    </w:p>
    <w:p>
      <w:pPr>
        <w:spacing w:line="200" w:lineRule="exact" w:before="90"/>
        <w:ind w:left="396" w:right="-1" w:firstLine="0"/>
        <w:jc w:val="left"/>
        <w:rPr>
          <w:rFonts w:ascii="Calibri"/>
          <w:i/>
          <w:sz w:val="20"/>
        </w:rPr>
      </w:pPr>
      <w:r>
        <w:rPr>
          <w:rFonts w:ascii="Calibri"/>
          <w:i/>
          <w:color w:val="231F20"/>
          <w:sz w:val="20"/>
        </w:rPr>
        <w:t>Public spaces-urban places of the two great metropolis:</w:t>
      </w:r>
      <w:r>
        <w:rPr>
          <w:rFonts w:ascii="Calibri"/>
          <w:i/>
          <w:color w:val="231F20"/>
          <w:spacing w:val="-25"/>
          <w:sz w:val="20"/>
        </w:rPr>
        <w:t> </w:t>
      </w:r>
      <w:r>
        <w:rPr>
          <w:rFonts w:ascii="Calibri"/>
          <w:i/>
          <w:color w:val="231F20"/>
          <w:sz w:val="20"/>
        </w:rPr>
        <w:t>Moscow </w:t>
      </w:r>
      <w:r>
        <w:rPr>
          <w:rFonts w:ascii="Calibri"/>
          <w:i/>
          <w:color w:val="231F20"/>
          <w:sz w:val="20"/>
        </w:rPr>
        <w:t>and Mexico</w:t>
      </w:r>
      <w:r>
        <w:rPr>
          <w:rFonts w:ascii="Calibri"/>
          <w:i/>
          <w:color w:val="231F20"/>
          <w:spacing w:val="-15"/>
          <w:sz w:val="20"/>
        </w:rPr>
        <w:t> </w:t>
      </w:r>
      <w:r>
        <w:rPr>
          <w:rFonts w:ascii="Calibri"/>
          <w:i/>
          <w:color w:val="231F20"/>
          <w:sz w:val="20"/>
        </w:rPr>
        <w:t>City</w:t>
      </w:r>
    </w:p>
    <w:p>
      <w:pPr>
        <w:pStyle w:val="BodyText"/>
        <w:spacing w:before="7"/>
        <w:rPr>
          <w:rFonts w:ascii="Calibri"/>
          <w:i/>
          <w:sz w:val="28"/>
        </w:rPr>
      </w:pPr>
      <w:r>
        <w:rPr/>
        <w:br w:type="column"/>
      </w:r>
      <w:r>
        <w:rPr>
          <w:rFonts w:ascii="Calibri"/>
          <w:i/>
          <w:sz w:val="28"/>
        </w:rPr>
      </w:r>
    </w:p>
    <w:p>
      <w:pPr>
        <w:pStyle w:val="BodyText"/>
        <w:ind w:left="112"/>
      </w:pPr>
      <w:r>
        <w:rPr>
          <w:color w:val="231F20"/>
        </w:rPr>
        <w:t>215</w:t>
      </w:r>
    </w:p>
    <w:p>
      <w:pPr>
        <w:spacing w:after="0"/>
        <w:sectPr>
          <w:type w:val="continuous"/>
          <w:pgSz w:w="9640" w:h="13040"/>
          <w:pgMar w:top="0" w:bottom="0" w:left="1100" w:right="1340"/>
          <w:cols w:num="2" w:equalWidth="0">
            <w:col w:w="5605" w:space="738"/>
            <w:col w:w="857"/>
          </w:cols>
        </w:sectPr>
      </w:pPr>
    </w:p>
    <w:p>
      <w:pPr>
        <w:pStyle w:val="BodyText"/>
        <w:spacing w:before="8"/>
        <w:rPr>
          <w:sz w:val="11"/>
        </w:rPr>
      </w:pPr>
    </w:p>
    <w:p>
      <w:pPr>
        <w:spacing w:after="0"/>
        <w:rPr>
          <w:sz w:val="11"/>
        </w:rPr>
        <w:sectPr>
          <w:type w:val="continuous"/>
          <w:pgSz w:w="9640" w:h="13040"/>
          <w:pgMar w:top="0" w:bottom="0" w:left="1100" w:right="1340"/>
        </w:sectPr>
      </w:pPr>
    </w:p>
    <w:p>
      <w:pPr>
        <w:pStyle w:val="BodyText"/>
        <w:spacing w:line="255" w:lineRule="exact" w:before="43"/>
        <w:ind w:left="112" w:right="-20"/>
      </w:pPr>
      <w:r>
        <w:rPr>
          <w:color w:val="231F20"/>
        </w:rPr>
        <w:t>José Juan Méndez Ramírez, Alberto Javier Villar Calvo y Juan</w:t>
      </w:r>
    </w:p>
    <w:p>
      <w:pPr>
        <w:pStyle w:val="BodyText"/>
        <w:spacing w:line="255" w:lineRule="exact"/>
        <w:ind w:left="112" w:right="-20"/>
      </w:pPr>
      <w:r>
        <w:rPr>
          <w:color w:val="231F20"/>
        </w:rPr>
        <w:t>José Gutiérrez Chaparro</w:t>
      </w:r>
    </w:p>
    <w:p>
      <w:pPr>
        <w:spacing w:line="222" w:lineRule="exact" w:before="59"/>
        <w:ind w:left="396" w:right="-20" w:firstLine="0"/>
        <w:jc w:val="left"/>
        <w:rPr>
          <w:rFonts w:ascii="Calibri" w:hAnsi="Calibri"/>
          <w:i/>
          <w:sz w:val="20"/>
        </w:rPr>
      </w:pPr>
      <w:r>
        <w:rPr>
          <w:rFonts w:ascii="Calibri" w:hAnsi="Calibri"/>
          <w:i/>
          <w:color w:val="231F20"/>
          <w:sz w:val="20"/>
        </w:rPr>
        <w:t>Nuevas formas de gestión social del espacio urbano: Privatopía</w:t>
      </w:r>
    </w:p>
    <w:p>
      <w:pPr>
        <w:spacing w:line="222" w:lineRule="exact" w:before="0"/>
        <w:ind w:left="396" w:right="-20" w:firstLine="0"/>
        <w:jc w:val="left"/>
        <w:rPr>
          <w:rFonts w:ascii="Calibri"/>
          <w:i/>
          <w:sz w:val="20"/>
        </w:rPr>
      </w:pPr>
      <w:r>
        <w:rPr>
          <w:rFonts w:ascii="Calibri"/>
          <w:i/>
          <w:color w:val="231F20"/>
          <w:sz w:val="20"/>
        </w:rPr>
        <w:t>versus gobierno local</w:t>
      </w:r>
    </w:p>
    <w:p>
      <w:pPr>
        <w:pStyle w:val="BodyText"/>
        <w:rPr>
          <w:rFonts w:ascii="Calibri"/>
          <w:i/>
        </w:rPr>
      </w:pPr>
      <w:r>
        <w:rPr/>
        <w:br w:type="column"/>
      </w:r>
      <w:r>
        <w:rPr>
          <w:rFonts w:ascii="Calibri"/>
          <w:i/>
        </w:rPr>
      </w:r>
    </w:p>
    <w:p>
      <w:pPr>
        <w:pStyle w:val="BodyText"/>
        <w:spacing w:before="3"/>
        <w:rPr>
          <w:rFonts w:ascii="Calibri"/>
          <w:i/>
          <w:sz w:val="28"/>
        </w:rPr>
      </w:pPr>
    </w:p>
    <w:p>
      <w:pPr>
        <w:pStyle w:val="BodyText"/>
        <w:ind w:left="112"/>
      </w:pPr>
      <w:r>
        <w:rPr>
          <w:color w:val="231F20"/>
        </w:rPr>
        <w:t>239</w:t>
      </w:r>
    </w:p>
    <w:p>
      <w:pPr>
        <w:spacing w:after="0"/>
        <w:sectPr>
          <w:type w:val="continuous"/>
          <w:pgSz w:w="9640" w:h="13040"/>
          <w:pgMar w:top="0" w:bottom="0" w:left="1100" w:right="1340"/>
          <w:cols w:num="2" w:equalWidth="0">
            <w:col w:w="5556" w:space="787"/>
            <w:col w:w="857"/>
          </w:cols>
        </w:sectPr>
      </w:pPr>
    </w:p>
    <w:p>
      <w:pPr>
        <w:pStyle w:val="BodyText"/>
        <w:spacing w:before="8"/>
        <w:rPr>
          <w:sz w:val="10"/>
        </w:rPr>
      </w:pPr>
    </w:p>
    <w:p>
      <w:pPr>
        <w:spacing w:after="0"/>
        <w:rPr>
          <w:sz w:val="10"/>
        </w:rPr>
        <w:sectPr>
          <w:type w:val="continuous"/>
          <w:pgSz w:w="9640" w:h="13040"/>
          <w:pgMar w:top="0" w:bottom="0" w:left="1100" w:right="1340"/>
        </w:sectPr>
      </w:pPr>
    </w:p>
    <w:p>
      <w:pPr>
        <w:pStyle w:val="BodyText"/>
        <w:spacing w:line="240" w:lineRule="exact" w:before="61"/>
        <w:ind w:left="112" w:right="265"/>
      </w:pPr>
      <w:r>
        <w:rPr>
          <w:color w:val="231F20"/>
        </w:rPr>
        <w:t>Juan Roberto Calderón Maya, Verónica Miranda Rosales y Teresa Becerril Sánchez</w:t>
      </w:r>
    </w:p>
    <w:p>
      <w:pPr>
        <w:spacing w:line="200" w:lineRule="exact" w:before="102"/>
        <w:ind w:left="395" w:right="-17" w:firstLine="0"/>
        <w:jc w:val="left"/>
        <w:rPr>
          <w:rFonts w:ascii="Calibri" w:hAnsi="Calibri"/>
          <w:i/>
          <w:sz w:val="20"/>
        </w:rPr>
      </w:pPr>
      <w:r>
        <w:rPr>
          <w:rFonts w:ascii="Calibri" w:hAnsi="Calibri"/>
          <w:i/>
          <w:color w:val="231F20"/>
          <w:sz w:val="20"/>
        </w:rPr>
        <w:t>La instalación de comités municipales de prevención y control </w:t>
      </w:r>
      <w:r>
        <w:rPr>
          <w:rFonts w:ascii="Calibri" w:hAnsi="Calibri"/>
          <w:i/>
          <w:color w:val="231F20"/>
          <w:sz w:val="20"/>
        </w:rPr>
        <w:t>del crecimiento urbano, estrategia de regulación territorial en</w:t>
      </w:r>
      <w:r>
        <w:rPr>
          <w:rFonts w:ascii="Calibri" w:hAnsi="Calibri"/>
          <w:i/>
          <w:color w:val="231F20"/>
          <w:spacing w:val="-20"/>
          <w:sz w:val="20"/>
        </w:rPr>
        <w:t> </w:t>
      </w:r>
      <w:r>
        <w:rPr>
          <w:rFonts w:ascii="Calibri" w:hAnsi="Calibri"/>
          <w:i/>
          <w:color w:val="231F20"/>
          <w:sz w:val="20"/>
        </w:rPr>
        <w:t>el Estado de</w:t>
      </w:r>
      <w:r>
        <w:rPr>
          <w:rFonts w:ascii="Calibri" w:hAnsi="Calibri"/>
          <w:i/>
          <w:color w:val="231F20"/>
          <w:spacing w:val="-19"/>
          <w:sz w:val="20"/>
        </w:rPr>
        <w:t> </w:t>
      </w:r>
      <w:r>
        <w:rPr>
          <w:rFonts w:ascii="Calibri" w:hAnsi="Calibri"/>
          <w:i/>
          <w:color w:val="231F20"/>
          <w:sz w:val="20"/>
        </w:rPr>
        <w:t>México</w:t>
      </w:r>
    </w:p>
    <w:p>
      <w:pPr>
        <w:pStyle w:val="BodyText"/>
        <w:rPr>
          <w:rFonts w:ascii="Calibri"/>
          <w:i/>
        </w:rPr>
      </w:pPr>
      <w:r>
        <w:rPr/>
        <w:br w:type="column"/>
      </w:r>
      <w:r>
        <w:rPr>
          <w:rFonts w:ascii="Calibri"/>
          <w:i/>
        </w:rPr>
      </w:r>
    </w:p>
    <w:p>
      <w:pPr>
        <w:pStyle w:val="BodyText"/>
        <w:spacing w:before="2"/>
        <w:rPr>
          <w:rFonts w:ascii="Calibri"/>
          <w:i/>
          <w:sz w:val="28"/>
        </w:rPr>
      </w:pPr>
    </w:p>
    <w:p>
      <w:pPr>
        <w:pStyle w:val="BodyText"/>
        <w:spacing w:before="1"/>
        <w:ind w:left="112"/>
      </w:pPr>
      <w:r>
        <w:rPr>
          <w:color w:val="231F20"/>
        </w:rPr>
        <w:t>253</w:t>
      </w:r>
    </w:p>
    <w:p>
      <w:pPr>
        <w:spacing w:after="0"/>
        <w:sectPr>
          <w:type w:val="continuous"/>
          <w:pgSz w:w="9640" w:h="13040"/>
          <w:pgMar w:top="0" w:bottom="0" w:left="1100" w:right="1340"/>
          <w:cols w:num="2" w:equalWidth="0">
            <w:col w:w="5561" w:space="782"/>
            <w:col w:w="857"/>
          </w:cols>
        </w:sectPr>
      </w:pPr>
    </w:p>
    <w:p>
      <w:pPr>
        <w:spacing w:line="510" w:lineRule="exact" w:before="69"/>
        <w:ind w:left="489" w:right="0" w:firstLine="0"/>
        <w:jc w:val="both"/>
        <w:rPr>
          <w:sz w:val="40"/>
        </w:rPr>
      </w:pPr>
      <w:bookmarkStart w:name="03 Vera y otros" w:id="1"/>
      <w:bookmarkEnd w:id="1"/>
      <w:r>
        <w:rPr/>
      </w:r>
      <w:r>
        <w:rPr>
          <w:color w:val="231F20"/>
          <w:sz w:val="40"/>
        </w:rPr>
        <w:t>An analysis of the internal migratory</w:t>
      </w:r>
    </w:p>
    <w:p>
      <w:pPr>
        <w:spacing w:line="510" w:lineRule="exact" w:before="0"/>
        <w:ind w:left="360" w:right="43" w:firstLine="0"/>
        <w:jc w:val="left"/>
        <w:rPr>
          <w:sz w:val="40"/>
        </w:rPr>
      </w:pPr>
      <w:r>
        <w:rPr>
          <w:color w:val="231F20"/>
          <w:sz w:val="40"/>
        </w:rPr>
        <w:t>flows which transformed Mexico State</w:t>
      </w:r>
    </w:p>
    <w:p>
      <w:pPr>
        <w:pStyle w:val="BodyText"/>
        <w:rPr>
          <w:sz w:val="40"/>
        </w:rPr>
      </w:pPr>
    </w:p>
    <w:p>
      <w:pPr>
        <w:pStyle w:val="BodyText"/>
        <w:spacing w:before="5"/>
        <w:rPr>
          <w:sz w:val="39"/>
        </w:rPr>
      </w:pPr>
    </w:p>
    <w:p>
      <w:pPr>
        <w:spacing w:line="288" w:lineRule="exact" w:before="1"/>
        <w:ind w:left="2576" w:right="43" w:hanging="446"/>
        <w:jc w:val="left"/>
        <w:rPr>
          <w:rFonts w:ascii="Calibri" w:hAnsi="Calibri"/>
          <w:sz w:val="14"/>
        </w:rPr>
      </w:pPr>
      <w:r>
        <w:rPr>
          <w:rFonts w:ascii="Calibri" w:hAnsi="Calibri"/>
          <w:color w:val="231F20"/>
          <w:w w:val="105"/>
          <w:sz w:val="24"/>
        </w:rPr>
        <w:t>Rodrigo Pimienta Lastra</w:t>
      </w:r>
      <w:r>
        <w:rPr>
          <w:rFonts w:ascii="Calibri" w:hAnsi="Calibri"/>
          <w:color w:val="231F20"/>
          <w:w w:val="105"/>
          <w:position w:val="8"/>
          <w:sz w:val="14"/>
        </w:rPr>
        <w:t>1</w:t>
      </w:r>
      <w:r>
        <w:rPr>
          <w:rFonts w:ascii="Calibri" w:hAnsi="Calibri"/>
          <w:color w:val="231F20"/>
          <w:w w:val="105"/>
          <w:sz w:val="24"/>
        </w:rPr>
        <w:t>, Martha Vera Bolaños</w:t>
      </w:r>
      <w:r>
        <w:rPr>
          <w:rFonts w:ascii="Calibri" w:hAnsi="Calibri"/>
          <w:color w:val="231F20"/>
          <w:w w:val="105"/>
          <w:position w:val="8"/>
          <w:sz w:val="14"/>
        </w:rPr>
        <w:t>2</w:t>
      </w:r>
      <w:r>
        <w:rPr>
          <w:rFonts w:ascii="Calibri" w:hAnsi="Calibri"/>
          <w:color w:val="231F20"/>
          <w:w w:val="105"/>
          <w:sz w:val="24"/>
        </w:rPr>
        <w:t>, Michael Shea</w:t>
      </w:r>
      <w:r>
        <w:rPr>
          <w:rFonts w:ascii="Calibri" w:hAnsi="Calibri"/>
          <w:color w:val="231F20"/>
          <w:w w:val="105"/>
          <w:position w:val="8"/>
          <w:sz w:val="14"/>
        </w:rPr>
        <w:t>3 </w:t>
      </w:r>
      <w:r>
        <w:rPr>
          <w:rFonts w:ascii="Calibri" w:hAnsi="Calibri"/>
          <w:color w:val="231F20"/>
          <w:w w:val="105"/>
          <w:sz w:val="24"/>
        </w:rPr>
        <w:t>y Elena M.Gutiérrez Cárdenas</w:t>
      </w:r>
      <w:r>
        <w:rPr>
          <w:rFonts w:ascii="Calibri" w:hAnsi="Calibri"/>
          <w:color w:val="231F20"/>
          <w:w w:val="105"/>
          <w:position w:val="8"/>
          <w:sz w:val="14"/>
        </w:rPr>
        <w:t>4</w:t>
      </w:r>
    </w:p>
    <w:p>
      <w:pPr>
        <w:spacing w:line="205" w:lineRule="exact" w:before="0"/>
        <w:ind w:left="3144" w:right="43" w:firstLine="0"/>
        <w:jc w:val="left"/>
        <w:rPr>
          <w:rFonts w:ascii="Calibri" w:hAnsi="Calibri"/>
          <w:i/>
          <w:sz w:val="18"/>
        </w:rPr>
      </w:pPr>
      <w:r>
        <w:rPr>
          <w:rFonts w:ascii="Calibri" w:hAnsi="Calibri"/>
          <w:i/>
          <w:color w:val="231F20"/>
          <w:w w:val="105"/>
          <w:sz w:val="18"/>
        </w:rPr>
        <w:t>Universidad Autónoma Metropolitana y Universidad</w:t>
      </w:r>
    </w:p>
    <w:p>
      <w:pPr>
        <w:spacing w:line="218" w:lineRule="exact" w:before="0"/>
        <w:ind w:left="4707" w:right="43" w:firstLine="0"/>
        <w:jc w:val="left"/>
        <w:rPr>
          <w:rFonts w:ascii="Calibri" w:hAnsi="Calibri"/>
          <w:i/>
          <w:sz w:val="18"/>
        </w:rPr>
      </w:pPr>
      <w:r>
        <w:rPr>
          <w:rFonts w:ascii="Calibri" w:hAnsi="Calibri"/>
          <w:i/>
          <w:color w:val="231F20"/>
          <w:w w:val="105"/>
          <w:sz w:val="18"/>
        </w:rPr>
        <w:t>Autónoma del Estado de México</w:t>
      </w:r>
    </w:p>
    <w:p>
      <w:pPr>
        <w:pStyle w:val="BodyText"/>
        <w:rPr>
          <w:rFonts w:ascii="Calibri"/>
          <w:i/>
          <w:sz w:val="18"/>
        </w:rPr>
      </w:pPr>
    </w:p>
    <w:p>
      <w:pPr>
        <w:pStyle w:val="Heading5"/>
        <w:spacing w:before="117"/>
        <w:ind w:left="360" w:right="43"/>
      </w:pPr>
      <w:r>
        <w:rPr>
          <w:color w:val="231F20"/>
        </w:rPr>
        <w:t>Resumen</w:t>
      </w:r>
    </w:p>
    <w:p>
      <w:pPr>
        <w:pStyle w:val="BodyText"/>
        <w:spacing w:before="10"/>
        <w:rPr>
          <w:sz w:val="16"/>
        </w:rPr>
      </w:pPr>
    </w:p>
    <w:p>
      <w:pPr>
        <w:spacing w:line="278" w:lineRule="auto" w:before="0"/>
        <w:ind w:left="530" w:right="181" w:firstLine="0"/>
        <w:jc w:val="both"/>
        <w:rPr>
          <w:rFonts w:ascii="Arial" w:hAnsi="Arial"/>
          <w:sz w:val="18"/>
        </w:rPr>
      </w:pPr>
      <w:r>
        <w:rPr>
          <w:rFonts w:ascii="Arial" w:hAnsi="Arial"/>
          <w:color w:val="231F20"/>
          <w:sz w:val="18"/>
        </w:rPr>
        <w:t>Los movimientos de población de un país a la ciudad son característicos de los países del tercer mundo en la segunda mitad del siglo XX. El Estado de México</w:t>
      </w:r>
      <w:r>
        <w:rPr>
          <w:rFonts w:ascii="Arial" w:hAnsi="Arial"/>
          <w:color w:val="231F20"/>
          <w:spacing w:val="-34"/>
          <w:sz w:val="18"/>
        </w:rPr>
        <w:t> </w:t>
      </w:r>
      <w:r>
        <w:rPr>
          <w:rFonts w:ascii="Arial" w:hAnsi="Arial"/>
          <w:color w:val="231F20"/>
          <w:sz w:val="18"/>
        </w:rPr>
        <w:t>-en el centro de la república- es un ejemplo agudo de este fenómeno. El objetivo de este</w:t>
      </w:r>
      <w:r>
        <w:rPr>
          <w:rFonts w:ascii="Arial" w:hAnsi="Arial"/>
          <w:color w:val="231F20"/>
          <w:spacing w:val="-7"/>
          <w:sz w:val="18"/>
        </w:rPr>
        <w:t> </w:t>
      </w:r>
      <w:r>
        <w:rPr>
          <w:rFonts w:ascii="Arial" w:hAnsi="Arial"/>
          <w:color w:val="231F20"/>
          <w:sz w:val="18"/>
        </w:rPr>
        <w:t>estudio</w:t>
      </w:r>
      <w:r>
        <w:rPr>
          <w:rFonts w:ascii="Arial" w:hAnsi="Arial"/>
          <w:color w:val="231F20"/>
          <w:spacing w:val="-7"/>
          <w:sz w:val="18"/>
        </w:rPr>
        <w:t> </w:t>
      </w:r>
      <w:r>
        <w:rPr>
          <w:rFonts w:ascii="Arial" w:hAnsi="Arial"/>
          <w:color w:val="231F20"/>
          <w:sz w:val="18"/>
        </w:rPr>
        <w:t>es</w:t>
      </w:r>
      <w:r>
        <w:rPr>
          <w:rFonts w:ascii="Arial" w:hAnsi="Arial"/>
          <w:color w:val="231F20"/>
          <w:spacing w:val="-7"/>
          <w:sz w:val="18"/>
        </w:rPr>
        <w:t> </w:t>
      </w:r>
      <w:r>
        <w:rPr>
          <w:rFonts w:ascii="Arial" w:hAnsi="Arial"/>
          <w:color w:val="231F20"/>
          <w:sz w:val="18"/>
        </w:rPr>
        <w:t>analizar</w:t>
      </w:r>
      <w:r>
        <w:rPr>
          <w:rFonts w:ascii="Arial" w:hAnsi="Arial"/>
          <w:color w:val="231F20"/>
          <w:spacing w:val="-7"/>
          <w:sz w:val="18"/>
        </w:rPr>
        <w:t> </w:t>
      </w:r>
      <w:r>
        <w:rPr>
          <w:rFonts w:ascii="Arial" w:hAnsi="Arial"/>
          <w:color w:val="231F20"/>
          <w:sz w:val="18"/>
        </w:rPr>
        <w:t>el</w:t>
      </w:r>
      <w:r>
        <w:rPr>
          <w:rFonts w:ascii="Arial" w:hAnsi="Arial"/>
          <w:color w:val="231F20"/>
          <w:spacing w:val="-7"/>
          <w:sz w:val="18"/>
        </w:rPr>
        <w:t> </w:t>
      </w:r>
      <w:r>
        <w:rPr>
          <w:rFonts w:ascii="Arial" w:hAnsi="Arial"/>
          <w:color w:val="231F20"/>
          <w:sz w:val="18"/>
        </w:rPr>
        <w:t>flujo</w:t>
      </w:r>
      <w:r>
        <w:rPr>
          <w:rFonts w:ascii="Arial" w:hAnsi="Arial"/>
          <w:color w:val="231F20"/>
          <w:spacing w:val="-7"/>
          <w:sz w:val="18"/>
        </w:rPr>
        <w:t> </w:t>
      </w:r>
      <w:r>
        <w:rPr>
          <w:rFonts w:ascii="Arial" w:hAnsi="Arial"/>
          <w:color w:val="231F20"/>
          <w:sz w:val="18"/>
        </w:rPr>
        <w:t>de</w:t>
      </w:r>
      <w:r>
        <w:rPr>
          <w:rFonts w:ascii="Arial" w:hAnsi="Arial"/>
          <w:color w:val="231F20"/>
          <w:spacing w:val="-7"/>
          <w:sz w:val="18"/>
        </w:rPr>
        <w:t> </w:t>
      </w:r>
      <w:r>
        <w:rPr>
          <w:rFonts w:ascii="Arial" w:hAnsi="Arial"/>
          <w:color w:val="231F20"/>
          <w:sz w:val="18"/>
        </w:rPr>
        <w:t>migrantes</w:t>
      </w:r>
      <w:r>
        <w:rPr>
          <w:rFonts w:ascii="Arial" w:hAnsi="Arial"/>
          <w:color w:val="231F20"/>
          <w:spacing w:val="-7"/>
          <w:sz w:val="18"/>
        </w:rPr>
        <w:t> </w:t>
      </w:r>
      <w:r>
        <w:rPr>
          <w:rFonts w:ascii="Arial" w:hAnsi="Arial"/>
          <w:color w:val="231F20"/>
          <w:sz w:val="18"/>
        </w:rPr>
        <w:t>permanentes</w:t>
      </w:r>
      <w:r>
        <w:rPr>
          <w:rFonts w:ascii="Arial" w:hAnsi="Arial"/>
          <w:color w:val="231F20"/>
          <w:spacing w:val="-7"/>
          <w:sz w:val="18"/>
        </w:rPr>
        <w:t> </w:t>
      </w:r>
      <w:r>
        <w:rPr>
          <w:rFonts w:ascii="Arial" w:hAnsi="Arial"/>
          <w:color w:val="231F20"/>
          <w:sz w:val="18"/>
        </w:rPr>
        <w:t>dentro</w:t>
      </w:r>
      <w:r>
        <w:rPr>
          <w:rFonts w:ascii="Arial" w:hAnsi="Arial"/>
          <w:color w:val="231F20"/>
          <w:spacing w:val="-7"/>
          <w:sz w:val="18"/>
        </w:rPr>
        <w:t> </w:t>
      </w:r>
      <w:r>
        <w:rPr>
          <w:rFonts w:ascii="Arial" w:hAnsi="Arial"/>
          <w:color w:val="231F20"/>
          <w:sz w:val="18"/>
        </w:rPr>
        <w:t>y</w:t>
      </w:r>
      <w:r>
        <w:rPr>
          <w:rFonts w:ascii="Arial" w:hAnsi="Arial"/>
          <w:color w:val="231F20"/>
          <w:spacing w:val="-7"/>
          <w:sz w:val="18"/>
        </w:rPr>
        <w:t> </w:t>
      </w:r>
      <w:r>
        <w:rPr>
          <w:rFonts w:ascii="Arial" w:hAnsi="Arial"/>
          <w:color w:val="231F20"/>
          <w:sz w:val="18"/>
        </w:rPr>
        <w:t>fuera</w:t>
      </w:r>
      <w:r>
        <w:rPr>
          <w:rFonts w:ascii="Arial" w:hAnsi="Arial"/>
          <w:color w:val="231F20"/>
          <w:spacing w:val="-7"/>
          <w:sz w:val="18"/>
        </w:rPr>
        <w:t> </w:t>
      </w:r>
      <w:r>
        <w:rPr>
          <w:rFonts w:ascii="Arial" w:hAnsi="Arial"/>
          <w:color w:val="231F20"/>
          <w:sz w:val="18"/>
        </w:rPr>
        <w:t>del</w:t>
      </w:r>
      <w:r>
        <w:rPr>
          <w:rFonts w:ascii="Arial" w:hAnsi="Arial"/>
          <w:color w:val="231F20"/>
          <w:spacing w:val="-7"/>
          <w:sz w:val="18"/>
        </w:rPr>
        <w:t> </w:t>
      </w:r>
      <w:r>
        <w:rPr>
          <w:rFonts w:ascii="Arial" w:hAnsi="Arial"/>
          <w:color w:val="231F20"/>
          <w:sz w:val="18"/>
        </w:rPr>
        <w:t>estado y seleccionar determinadas cohortes para el análisis de variables particulares. La metodología</w:t>
      </w:r>
      <w:r>
        <w:rPr>
          <w:rFonts w:ascii="Arial" w:hAnsi="Arial"/>
          <w:color w:val="231F20"/>
          <w:spacing w:val="-6"/>
          <w:sz w:val="18"/>
        </w:rPr>
        <w:t> </w:t>
      </w:r>
      <w:r>
        <w:rPr>
          <w:rFonts w:ascii="Arial" w:hAnsi="Arial"/>
          <w:color w:val="231F20"/>
          <w:sz w:val="18"/>
        </w:rPr>
        <w:t>consiste</w:t>
      </w:r>
      <w:r>
        <w:rPr>
          <w:rFonts w:ascii="Arial" w:hAnsi="Arial"/>
          <w:color w:val="231F20"/>
          <w:spacing w:val="-6"/>
          <w:sz w:val="18"/>
        </w:rPr>
        <w:t> </w:t>
      </w:r>
      <w:r>
        <w:rPr>
          <w:rFonts w:ascii="Arial" w:hAnsi="Arial"/>
          <w:color w:val="231F20"/>
          <w:sz w:val="18"/>
        </w:rPr>
        <w:t>en</w:t>
      </w:r>
      <w:r>
        <w:rPr>
          <w:rFonts w:ascii="Arial" w:hAnsi="Arial"/>
          <w:color w:val="231F20"/>
          <w:spacing w:val="-6"/>
          <w:sz w:val="18"/>
        </w:rPr>
        <w:t> </w:t>
      </w:r>
      <w:r>
        <w:rPr>
          <w:rFonts w:ascii="Arial" w:hAnsi="Arial"/>
          <w:color w:val="231F20"/>
          <w:sz w:val="18"/>
        </w:rPr>
        <w:t>analizar</w:t>
      </w:r>
      <w:r>
        <w:rPr>
          <w:rFonts w:ascii="Arial" w:hAnsi="Arial"/>
          <w:color w:val="231F20"/>
          <w:spacing w:val="-6"/>
          <w:sz w:val="18"/>
        </w:rPr>
        <w:t> </w:t>
      </w:r>
      <w:r>
        <w:rPr>
          <w:rFonts w:ascii="Arial" w:hAnsi="Arial"/>
          <w:color w:val="231F20"/>
          <w:sz w:val="18"/>
        </w:rPr>
        <w:t>el</w:t>
      </w:r>
      <w:r>
        <w:rPr>
          <w:rFonts w:ascii="Arial" w:hAnsi="Arial"/>
          <w:color w:val="231F20"/>
          <w:spacing w:val="-6"/>
          <w:sz w:val="18"/>
        </w:rPr>
        <w:t> </w:t>
      </w:r>
      <w:r>
        <w:rPr>
          <w:rFonts w:ascii="Arial" w:hAnsi="Arial"/>
          <w:color w:val="231F20"/>
          <w:sz w:val="18"/>
        </w:rPr>
        <w:t>los</w:t>
      </w:r>
      <w:r>
        <w:rPr>
          <w:rFonts w:ascii="Arial" w:hAnsi="Arial"/>
          <w:color w:val="231F20"/>
          <w:spacing w:val="-6"/>
          <w:sz w:val="18"/>
        </w:rPr>
        <w:t> </w:t>
      </w:r>
      <w:r>
        <w:rPr>
          <w:rFonts w:ascii="Arial" w:hAnsi="Arial"/>
          <w:color w:val="231F20"/>
          <w:sz w:val="18"/>
        </w:rPr>
        <w:t>datos</w:t>
      </w:r>
      <w:r>
        <w:rPr>
          <w:rFonts w:ascii="Arial" w:hAnsi="Arial"/>
          <w:color w:val="231F20"/>
          <w:spacing w:val="-6"/>
          <w:sz w:val="18"/>
        </w:rPr>
        <w:t> </w:t>
      </w:r>
      <w:r>
        <w:rPr>
          <w:rFonts w:ascii="Arial" w:hAnsi="Arial"/>
          <w:color w:val="231F20"/>
          <w:sz w:val="18"/>
        </w:rPr>
        <w:t>originales</w:t>
      </w:r>
      <w:r>
        <w:rPr>
          <w:rFonts w:ascii="Arial" w:hAnsi="Arial"/>
          <w:color w:val="231F20"/>
          <w:spacing w:val="-6"/>
          <w:sz w:val="18"/>
        </w:rPr>
        <w:t> </w:t>
      </w:r>
      <w:r>
        <w:rPr>
          <w:rFonts w:ascii="Arial" w:hAnsi="Arial"/>
          <w:color w:val="231F20"/>
          <w:sz w:val="18"/>
        </w:rPr>
        <w:t>que</w:t>
      </w:r>
      <w:r>
        <w:rPr>
          <w:rFonts w:ascii="Arial" w:hAnsi="Arial"/>
          <w:color w:val="231F20"/>
          <w:spacing w:val="-6"/>
          <w:sz w:val="18"/>
        </w:rPr>
        <w:t> </w:t>
      </w:r>
      <w:r>
        <w:rPr>
          <w:rFonts w:ascii="Arial" w:hAnsi="Arial"/>
          <w:color w:val="231F20"/>
          <w:sz w:val="18"/>
        </w:rPr>
        <w:t>se</w:t>
      </w:r>
      <w:r>
        <w:rPr>
          <w:rFonts w:ascii="Arial" w:hAnsi="Arial"/>
          <w:color w:val="231F20"/>
          <w:spacing w:val="-6"/>
          <w:sz w:val="18"/>
        </w:rPr>
        <w:t> </w:t>
      </w:r>
      <w:r>
        <w:rPr>
          <w:rFonts w:ascii="Arial" w:hAnsi="Arial"/>
          <w:color w:val="231F20"/>
          <w:sz w:val="18"/>
        </w:rPr>
        <w:t>toman</w:t>
      </w:r>
      <w:r>
        <w:rPr>
          <w:rFonts w:ascii="Arial" w:hAnsi="Arial"/>
          <w:color w:val="231F20"/>
          <w:spacing w:val="-6"/>
          <w:sz w:val="18"/>
        </w:rPr>
        <w:t> </w:t>
      </w:r>
      <w:r>
        <w:rPr>
          <w:rFonts w:ascii="Arial" w:hAnsi="Arial"/>
          <w:color w:val="231F20"/>
          <w:sz w:val="18"/>
        </w:rPr>
        <w:t>del</w:t>
      </w:r>
      <w:r>
        <w:rPr>
          <w:rFonts w:ascii="Arial" w:hAnsi="Arial"/>
          <w:color w:val="231F20"/>
          <w:spacing w:val="-6"/>
          <w:sz w:val="18"/>
        </w:rPr>
        <w:t> </w:t>
      </w:r>
      <w:r>
        <w:rPr>
          <w:rFonts w:ascii="Arial" w:hAnsi="Arial"/>
          <w:color w:val="231F20"/>
          <w:sz w:val="18"/>
        </w:rPr>
        <w:t>XII</w:t>
      </w:r>
      <w:r>
        <w:rPr>
          <w:rFonts w:ascii="Arial" w:hAnsi="Arial"/>
          <w:color w:val="231F20"/>
          <w:spacing w:val="-6"/>
          <w:sz w:val="18"/>
        </w:rPr>
        <w:t> </w:t>
      </w:r>
      <w:r>
        <w:rPr>
          <w:rFonts w:ascii="Arial" w:hAnsi="Arial"/>
          <w:color w:val="231F20"/>
          <w:sz w:val="18"/>
        </w:rPr>
        <w:t>Censo General (INEGI 2000), incluyendo los factores de expansión para las variables da- das. Los resultados indican que son más las mujeres que migran que los hombres. La</w:t>
      </w:r>
      <w:r>
        <w:rPr>
          <w:rFonts w:ascii="Arial" w:hAnsi="Arial"/>
          <w:color w:val="231F20"/>
          <w:spacing w:val="-5"/>
          <w:sz w:val="18"/>
        </w:rPr>
        <w:t> </w:t>
      </w:r>
      <w:r>
        <w:rPr>
          <w:rFonts w:ascii="Arial" w:hAnsi="Arial"/>
          <w:color w:val="231F20"/>
          <w:sz w:val="18"/>
        </w:rPr>
        <w:t>idea</w:t>
      </w:r>
      <w:r>
        <w:rPr>
          <w:rFonts w:ascii="Arial" w:hAnsi="Arial"/>
          <w:color w:val="231F20"/>
          <w:spacing w:val="-5"/>
          <w:sz w:val="18"/>
        </w:rPr>
        <w:t> </w:t>
      </w:r>
      <w:r>
        <w:rPr>
          <w:rFonts w:ascii="Arial" w:hAnsi="Arial"/>
          <w:color w:val="231F20"/>
          <w:sz w:val="18"/>
        </w:rPr>
        <w:t>establecida</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la</w:t>
      </w:r>
      <w:r>
        <w:rPr>
          <w:rFonts w:ascii="Arial" w:hAnsi="Arial"/>
          <w:color w:val="231F20"/>
          <w:spacing w:val="-5"/>
          <w:sz w:val="18"/>
        </w:rPr>
        <w:t> </w:t>
      </w:r>
      <w:r>
        <w:rPr>
          <w:rFonts w:ascii="Arial" w:hAnsi="Arial"/>
          <w:color w:val="231F20"/>
          <w:sz w:val="18"/>
        </w:rPr>
        <w:t>migración</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los</w:t>
      </w:r>
      <w:r>
        <w:rPr>
          <w:rFonts w:ascii="Arial" w:hAnsi="Arial"/>
          <w:color w:val="231F20"/>
          <w:spacing w:val="-5"/>
          <w:sz w:val="18"/>
        </w:rPr>
        <w:t> </w:t>
      </w:r>
      <w:r>
        <w:rPr>
          <w:rFonts w:ascii="Arial" w:hAnsi="Arial"/>
          <w:color w:val="231F20"/>
          <w:sz w:val="18"/>
        </w:rPr>
        <w:t>jóvenes</w:t>
      </w:r>
      <w:r>
        <w:rPr>
          <w:rFonts w:ascii="Arial" w:hAnsi="Arial"/>
          <w:color w:val="231F20"/>
          <w:spacing w:val="-5"/>
          <w:sz w:val="18"/>
        </w:rPr>
        <w:t> </w:t>
      </w:r>
      <w:r>
        <w:rPr>
          <w:rFonts w:ascii="Arial" w:hAnsi="Arial"/>
          <w:color w:val="231F20"/>
          <w:sz w:val="18"/>
        </w:rPr>
        <w:t>se</w:t>
      </w:r>
      <w:r>
        <w:rPr>
          <w:rFonts w:ascii="Arial" w:hAnsi="Arial"/>
          <w:color w:val="231F20"/>
          <w:spacing w:val="-5"/>
          <w:sz w:val="18"/>
        </w:rPr>
        <w:t> </w:t>
      </w:r>
      <w:r>
        <w:rPr>
          <w:rFonts w:ascii="Arial" w:hAnsi="Arial"/>
          <w:color w:val="231F20"/>
          <w:sz w:val="18"/>
        </w:rPr>
        <w:t>cuestiona,</w:t>
      </w:r>
      <w:r>
        <w:rPr>
          <w:rFonts w:ascii="Arial" w:hAnsi="Arial"/>
          <w:color w:val="231F20"/>
          <w:spacing w:val="-5"/>
          <w:sz w:val="18"/>
        </w:rPr>
        <w:t> </w:t>
      </w:r>
      <w:r>
        <w:rPr>
          <w:rFonts w:ascii="Arial" w:hAnsi="Arial"/>
          <w:color w:val="231F20"/>
          <w:sz w:val="18"/>
        </w:rPr>
        <w:t>el</w:t>
      </w:r>
      <w:r>
        <w:rPr>
          <w:rFonts w:ascii="Arial" w:hAnsi="Arial"/>
          <w:color w:val="231F20"/>
          <w:spacing w:val="-5"/>
          <w:sz w:val="18"/>
        </w:rPr>
        <w:t> </w:t>
      </w:r>
      <w:r>
        <w:rPr>
          <w:rFonts w:ascii="Arial" w:hAnsi="Arial"/>
          <w:color w:val="231F20"/>
          <w:sz w:val="18"/>
        </w:rPr>
        <w:t>Estado</w:t>
      </w:r>
      <w:r>
        <w:rPr>
          <w:rFonts w:ascii="Arial" w:hAnsi="Arial"/>
          <w:color w:val="231F20"/>
          <w:spacing w:val="-5"/>
          <w:sz w:val="18"/>
        </w:rPr>
        <w:t> </w:t>
      </w:r>
      <w:r>
        <w:rPr>
          <w:rFonts w:ascii="Arial" w:hAnsi="Arial"/>
          <w:color w:val="231F20"/>
          <w:sz w:val="18"/>
        </w:rPr>
        <w:t>de</w:t>
      </w:r>
      <w:r>
        <w:rPr>
          <w:rFonts w:ascii="Arial" w:hAnsi="Arial"/>
          <w:color w:val="231F20"/>
          <w:spacing w:val="-5"/>
          <w:sz w:val="18"/>
        </w:rPr>
        <w:t> </w:t>
      </w:r>
      <w:r>
        <w:rPr>
          <w:rFonts w:ascii="Arial" w:hAnsi="Arial"/>
          <w:color w:val="231F20"/>
          <w:sz w:val="18"/>
        </w:rPr>
        <w:t>Méxi- co está disfrutando de un bono demográfico de los inmigrantes en edad de</w:t>
      </w:r>
      <w:r>
        <w:rPr>
          <w:rFonts w:ascii="Arial" w:hAnsi="Arial"/>
          <w:color w:val="231F20"/>
          <w:spacing w:val="-15"/>
          <w:sz w:val="18"/>
        </w:rPr>
        <w:t> </w:t>
      </w:r>
      <w:r>
        <w:rPr>
          <w:rFonts w:ascii="Arial" w:hAnsi="Arial"/>
          <w:color w:val="231F20"/>
          <w:sz w:val="18"/>
        </w:rPr>
        <w:t>trabajar desde el resto de la república. A diferencia del período hasta la década de 1980, los inmigrantes ahora elegir entre las grandes ciudades o pequeñas localidades, evitando las ciudades de tamaño</w:t>
      </w:r>
      <w:r>
        <w:rPr>
          <w:rFonts w:ascii="Arial" w:hAnsi="Arial"/>
          <w:color w:val="231F20"/>
          <w:spacing w:val="-2"/>
          <w:sz w:val="18"/>
        </w:rPr>
        <w:t> </w:t>
      </w:r>
      <w:r>
        <w:rPr>
          <w:rFonts w:ascii="Arial" w:hAnsi="Arial"/>
          <w:color w:val="231F20"/>
          <w:sz w:val="18"/>
        </w:rPr>
        <w:t>medio.</w:t>
      </w:r>
    </w:p>
    <w:p>
      <w:pPr>
        <w:spacing w:before="0"/>
        <w:ind w:left="530" w:right="0" w:firstLine="0"/>
        <w:jc w:val="both"/>
        <w:rPr>
          <w:rFonts w:ascii="Arial" w:hAnsi="Arial"/>
          <w:sz w:val="18"/>
        </w:rPr>
      </w:pPr>
      <w:r>
        <w:rPr>
          <w:rFonts w:ascii="Arial" w:hAnsi="Arial"/>
          <w:color w:val="231F20"/>
          <w:sz w:val="18"/>
        </w:rPr>
        <w:t>Palabras clave: migración interna, población, movimientos.</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8"/>
        <w:rPr>
          <w:rFonts w:ascii="Arial"/>
          <w:sz w:val="13"/>
        </w:rPr>
      </w:pPr>
      <w:r>
        <w:rPr/>
        <w:pict>
          <v:line style="position:absolute;mso-position-horizontal-relative:page;mso-position-vertical-relative:paragraph;z-index:1048;mso-wrap-distance-left:0;mso-wrap-distance-right:0" from="85.039398pt,10.364944pt" to="157.039398pt,10.364944pt" stroked="true" strokeweight="1pt" strokecolor="#231f20">
            <w10:wrap type="topAndBottom"/>
          </v:line>
        </w:pict>
      </w:r>
    </w:p>
    <w:p>
      <w:pPr>
        <w:pStyle w:val="ListParagraph"/>
        <w:numPr>
          <w:ilvl w:val="0"/>
          <w:numId w:val="1"/>
        </w:numPr>
        <w:tabs>
          <w:tab w:pos="644" w:val="left" w:leader="none"/>
          <w:tab w:pos="645" w:val="left" w:leader="none"/>
        </w:tabs>
        <w:spacing w:line="268" w:lineRule="auto" w:before="113" w:after="0"/>
        <w:ind w:left="644" w:right="181" w:hanging="284"/>
        <w:jc w:val="left"/>
        <w:rPr>
          <w:rFonts w:ascii="Arial" w:hAnsi="Arial"/>
          <w:sz w:val="14"/>
        </w:rPr>
      </w:pPr>
      <w:r>
        <w:rPr>
          <w:rFonts w:ascii="Arial" w:hAnsi="Arial"/>
          <w:color w:val="231F20"/>
          <w:sz w:val="14"/>
        </w:rPr>
        <w:t>Profesor</w:t>
      </w:r>
      <w:r>
        <w:rPr>
          <w:rFonts w:ascii="Arial" w:hAnsi="Arial"/>
          <w:color w:val="231F20"/>
          <w:spacing w:val="-5"/>
          <w:sz w:val="14"/>
        </w:rPr>
        <w:t> </w:t>
      </w:r>
      <w:r>
        <w:rPr>
          <w:rFonts w:ascii="Arial" w:hAnsi="Arial"/>
          <w:color w:val="231F20"/>
          <w:sz w:val="14"/>
        </w:rPr>
        <w:t>titular</w:t>
      </w:r>
      <w:r>
        <w:rPr>
          <w:rFonts w:ascii="Arial" w:hAnsi="Arial"/>
          <w:color w:val="231F20"/>
          <w:spacing w:val="-5"/>
          <w:sz w:val="14"/>
        </w:rPr>
        <w:t> </w:t>
      </w:r>
      <w:r>
        <w:rPr>
          <w:rFonts w:ascii="Arial" w:hAnsi="Arial"/>
          <w:color w:val="231F20"/>
          <w:sz w:val="14"/>
        </w:rPr>
        <w:t>e</w:t>
      </w:r>
      <w:r>
        <w:rPr>
          <w:rFonts w:ascii="Arial" w:hAnsi="Arial"/>
          <w:color w:val="231F20"/>
          <w:spacing w:val="-5"/>
          <w:sz w:val="14"/>
        </w:rPr>
        <w:t> </w:t>
      </w:r>
      <w:r>
        <w:rPr>
          <w:rFonts w:ascii="Arial" w:hAnsi="Arial"/>
          <w:color w:val="231F20"/>
          <w:sz w:val="14"/>
        </w:rPr>
        <w:t>investigador,</w:t>
      </w:r>
      <w:r>
        <w:rPr>
          <w:rFonts w:ascii="Arial" w:hAnsi="Arial"/>
          <w:color w:val="231F20"/>
          <w:spacing w:val="-5"/>
          <w:sz w:val="14"/>
        </w:rPr>
        <w:t> </w:t>
      </w:r>
      <w:r>
        <w:rPr>
          <w:rFonts w:ascii="Arial" w:hAnsi="Arial"/>
          <w:color w:val="231F20"/>
          <w:sz w:val="14"/>
        </w:rPr>
        <w:t>Universidad</w:t>
      </w:r>
      <w:r>
        <w:rPr>
          <w:rFonts w:ascii="Arial" w:hAnsi="Arial"/>
          <w:color w:val="231F20"/>
          <w:spacing w:val="-13"/>
          <w:sz w:val="14"/>
        </w:rPr>
        <w:t> </w:t>
      </w:r>
      <w:r>
        <w:rPr>
          <w:rFonts w:ascii="Arial" w:hAnsi="Arial"/>
          <w:color w:val="231F20"/>
          <w:sz w:val="14"/>
        </w:rPr>
        <w:t>Autónoma</w:t>
      </w:r>
      <w:r>
        <w:rPr>
          <w:rFonts w:ascii="Arial" w:hAnsi="Arial"/>
          <w:color w:val="231F20"/>
          <w:spacing w:val="-5"/>
          <w:sz w:val="14"/>
        </w:rPr>
        <w:t> </w:t>
      </w:r>
      <w:r>
        <w:rPr>
          <w:rFonts w:ascii="Arial" w:hAnsi="Arial"/>
          <w:color w:val="231F20"/>
          <w:sz w:val="14"/>
        </w:rPr>
        <w:t>Metropolitana</w:t>
      </w:r>
      <w:r>
        <w:rPr>
          <w:rFonts w:ascii="Arial" w:hAnsi="Arial"/>
          <w:color w:val="231F20"/>
          <w:spacing w:val="-5"/>
          <w:sz w:val="14"/>
        </w:rPr>
        <w:t> </w:t>
      </w:r>
      <w:r>
        <w:rPr>
          <w:rFonts w:ascii="Arial" w:hAnsi="Arial"/>
          <w:color w:val="231F20"/>
          <w:sz w:val="14"/>
        </w:rPr>
        <w:t>–</w:t>
      </w:r>
      <w:r>
        <w:rPr>
          <w:rFonts w:ascii="Arial" w:hAnsi="Arial"/>
          <w:color w:val="231F20"/>
          <w:spacing w:val="-5"/>
          <w:sz w:val="14"/>
        </w:rPr>
        <w:t> </w:t>
      </w:r>
      <w:r>
        <w:rPr>
          <w:rFonts w:ascii="Arial" w:hAnsi="Arial"/>
          <w:color w:val="231F20"/>
          <w:sz w:val="14"/>
        </w:rPr>
        <w:t>Xochimilco</w:t>
      </w:r>
      <w:r>
        <w:rPr>
          <w:rFonts w:ascii="Arial" w:hAnsi="Arial"/>
          <w:color w:val="231F20"/>
          <w:spacing w:val="-5"/>
          <w:sz w:val="14"/>
        </w:rPr>
        <w:t> </w:t>
      </w:r>
      <w:r>
        <w:rPr>
          <w:rFonts w:ascii="Arial" w:hAnsi="Arial"/>
          <w:color w:val="231F20"/>
          <w:sz w:val="14"/>
        </w:rPr>
        <w:t>Departamento</w:t>
      </w:r>
      <w:r>
        <w:rPr>
          <w:rFonts w:ascii="Arial" w:hAnsi="Arial"/>
          <w:color w:val="231F20"/>
          <w:spacing w:val="-5"/>
          <w:sz w:val="14"/>
        </w:rPr>
        <w:t> </w:t>
      </w:r>
      <w:r>
        <w:rPr>
          <w:rFonts w:ascii="Arial" w:hAnsi="Arial"/>
          <w:color w:val="231F20"/>
          <w:sz w:val="14"/>
        </w:rPr>
        <w:t>Política</w:t>
      </w:r>
      <w:r>
        <w:rPr>
          <w:rFonts w:ascii="Arial" w:hAnsi="Arial"/>
          <w:color w:val="231F20"/>
          <w:spacing w:val="-5"/>
          <w:sz w:val="14"/>
        </w:rPr>
        <w:t> </w:t>
      </w:r>
      <w:r>
        <w:rPr>
          <w:rFonts w:ascii="Arial" w:hAnsi="Arial"/>
          <w:color w:val="231F20"/>
          <w:sz w:val="14"/>
        </w:rPr>
        <w:t>y Cultura. Correo:</w:t>
      </w:r>
      <w:r>
        <w:rPr>
          <w:rFonts w:ascii="Arial" w:hAnsi="Arial"/>
          <w:color w:val="231F20"/>
          <w:spacing w:val="-1"/>
          <w:sz w:val="14"/>
        </w:rPr>
        <w:t> </w:t>
      </w:r>
      <w:hyperlink r:id="rId8">
        <w:r>
          <w:rPr>
            <w:rFonts w:ascii="Arial" w:hAnsi="Arial"/>
            <w:color w:val="231F20"/>
            <w:sz w:val="14"/>
          </w:rPr>
          <w:t>plrd6334@correo.xoc.uam.mx</w:t>
        </w:r>
      </w:hyperlink>
    </w:p>
    <w:p>
      <w:pPr>
        <w:pStyle w:val="ListParagraph"/>
        <w:numPr>
          <w:ilvl w:val="0"/>
          <w:numId w:val="1"/>
        </w:numPr>
        <w:tabs>
          <w:tab w:pos="644" w:val="left" w:leader="none"/>
          <w:tab w:pos="645" w:val="left" w:leader="none"/>
        </w:tabs>
        <w:spacing w:line="240" w:lineRule="auto" w:before="103" w:after="0"/>
        <w:ind w:left="644" w:right="0" w:hanging="284"/>
        <w:jc w:val="left"/>
        <w:rPr>
          <w:rFonts w:ascii="Arial" w:hAnsi="Arial"/>
          <w:sz w:val="14"/>
        </w:rPr>
      </w:pPr>
      <w:r>
        <w:rPr>
          <w:rFonts w:ascii="Arial" w:hAnsi="Arial"/>
          <w:color w:val="231F20"/>
          <w:sz w:val="14"/>
        </w:rPr>
        <w:t>Universidad Autónoma del Estado de México. Correo:</w:t>
      </w:r>
      <w:r>
        <w:rPr>
          <w:rFonts w:ascii="Arial" w:hAnsi="Arial"/>
          <w:color w:val="231F20"/>
          <w:spacing w:val="-9"/>
          <w:sz w:val="14"/>
        </w:rPr>
        <w:t> </w:t>
      </w:r>
      <w:hyperlink r:id="rId9">
        <w:r>
          <w:rPr>
            <w:rFonts w:ascii="Arial" w:hAnsi="Arial"/>
            <w:color w:val="231F20"/>
            <w:sz w:val="14"/>
          </w:rPr>
          <w:t>vera@alestra.net.mx</w:t>
        </w:r>
      </w:hyperlink>
    </w:p>
    <w:p>
      <w:pPr>
        <w:pStyle w:val="ListParagraph"/>
        <w:numPr>
          <w:ilvl w:val="0"/>
          <w:numId w:val="1"/>
        </w:numPr>
        <w:tabs>
          <w:tab w:pos="644" w:val="left" w:leader="none"/>
          <w:tab w:pos="645" w:val="left" w:leader="none"/>
        </w:tabs>
        <w:spacing w:line="268" w:lineRule="auto" w:before="122" w:after="0"/>
        <w:ind w:left="644" w:right="181" w:hanging="284"/>
        <w:jc w:val="left"/>
        <w:rPr>
          <w:rFonts w:ascii="Arial" w:hAnsi="Arial"/>
          <w:sz w:val="14"/>
        </w:rPr>
      </w:pPr>
      <w:r>
        <w:rPr>
          <w:rFonts w:ascii="Arial" w:hAnsi="Arial"/>
          <w:color w:val="231F20"/>
          <w:sz w:val="14"/>
        </w:rPr>
        <w:t>Profesor titular e investigador, Universidad Autónoma Metropolitana – Xochimilco, Departamento Educa- ción y Comunicación. Correo:</w:t>
      </w:r>
      <w:r>
        <w:rPr>
          <w:rFonts w:ascii="Arial" w:hAnsi="Arial"/>
          <w:color w:val="231F20"/>
          <w:spacing w:val="-1"/>
          <w:sz w:val="14"/>
        </w:rPr>
        <w:t> </w:t>
      </w:r>
      <w:hyperlink r:id="rId10">
        <w:r>
          <w:rPr>
            <w:rFonts w:ascii="Arial" w:hAnsi="Arial"/>
            <w:color w:val="231F20"/>
            <w:sz w:val="14"/>
          </w:rPr>
          <w:t>quill24@hotmail.com</w:t>
        </w:r>
      </w:hyperlink>
    </w:p>
    <w:p>
      <w:pPr>
        <w:pStyle w:val="ListParagraph"/>
        <w:numPr>
          <w:ilvl w:val="0"/>
          <w:numId w:val="1"/>
        </w:numPr>
        <w:tabs>
          <w:tab w:pos="644" w:val="left" w:leader="none"/>
          <w:tab w:pos="645" w:val="left" w:leader="none"/>
        </w:tabs>
        <w:spacing w:line="268" w:lineRule="auto" w:before="103" w:after="0"/>
        <w:ind w:left="644" w:right="181" w:hanging="284"/>
        <w:jc w:val="left"/>
        <w:rPr>
          <w:rFonts w:ascii="Arial" w:hAnsi="Arial"/>
          <w:sz w:val="14"/>
        </w:rPr>
      </w:pPr>
      <w:r>
        <w:rPr>
          <w:rFonts w:ascii="Arial" w:hAnsi="Arial"/>
          <w:color w:val="231F20"/>
          <w:sz w:val="14"/>
        </w:rPr>
        <w:t>Profesor</w:t>
      </w:r>
      <w:r>
        <w:rPr>
          <w:rFonts w:ascii="Arial" w:hAnsi="Arial"/>
          <w:color w:val="231F20"/>
          <w:spacing w:val="-5"/>
          <w:sz w:val="14"/>
        </w:rPr>
        <w:t> </w:t>
      </w:r>
      <w:r>
        <w:rPr>
          <w:rFonts w:ascii="Arial" w:hAnsi="Arial"/>
          <w:color w:val="231F20"/>
          <w:sz w:val="14"/>
        </w:rPr>
        <w:t>titular</w:t>
      </w:r>
      <w:r>
        <w:rPr>
          <w:rFonts w:ascii="Arial" w:hAnsi="Arial"/>
          <w:color w:val="231F20"/>
          <w:spacing w:val="-5"/>
          <w:sz w:val="14"/>
        </w:rPr>
        <w:t> </w:t>
      </w:r>
      <w:r>
        <w:rPr>
          <w:rFonts w:ascii="Arial" w:hAnsi="Arial"/>
          <w:color w:val="231F20"/>
          <w:sz w:val="14"/>
        </w:rPr>
        <w:t>e</w:t>
      </w:r>
      <w:r>
        <w:rPr>
          <w:rFonts w:ascii="Arial" w:hAnsi="Arial"/>
          <w:color w:val="231F20"/>
          <w:spacing w:val="-5"/>
          <w:sz w:val="14"/>
        </w:rPr>
        <w:t> </w:t>
      </w:r>
      <w:r>
        <w:rPr>
          <w:rFonts w:ascii="Arial" w:hAnsi="Arial"/>
          <w:color w:val="231F20"/>
          <w:sz w:val="14"/>
        </w:rPr>
        <w:t>investigador,</w:t>
      </w:r>
      <w:r>
        <w:rPr>
          <w:rFonts w:ascii="Arial" w:hAnsi="Arial"/>
          <w:color w:val="231F20"/>
          <w:spacing w:val="-5"/>
          <w:sz w:val="14"/>
        </w:rPr>
        <w:t> </w:t>
      </w:r>
      <w:r>
        <w:rPr>
          <w:rFonts w:ascii="Arial" w:hAnsi="Arial"/>
          <w:color w:val="231F20"/>
          <w:sz w:val="14"/>
        </w:rPr>
        <w:t>Universidad</w:t>
      </w:r>
      <w:r>
        <w:rPr>
          <w:rFonts w:ascii="Arial" w:hAnsi="Arial"/>
          <w:color w:val="231F20"/>
          <w:spacing w:val="-13"/>
          <w:sz w:val="14"/>
        </w:rPr>
        <w:t> </w:t>
      </w:r>
      <w:r>
        <w:rPr>
          <w:rFonts w:ascii="Arial" w:hAnsi="Arial"/>
          <w:color w:val="231F20"/>
          <w:sz w:val="14"/>
        </w:rPr>
        <w:t>Autónoma</w:t>
      </w:r>
      <w:r>
        <w:rPr>
          <w:rFonts w:ascii="Arial" w:hAnsi="Arial"/>
          <w:color w:val="231F20"/>
          <w:spacing w:val="-5"/>
          <w:sz w:val="14"/>
        </w:rPr>
        <w:t> </w:t>
      </w:r>
      <w:r>
        <w:rPr>
          <w:rFonts w:ascii="Arial" w:hAnsi="Arial"/>
          <w:color w:val="231F20"/>
          <w:sz w:val="14"/>
        </w:rPr>
        <w:t>Metropolitana</w:t>
      </w:r>
      <w:r>
        <w:rPr>
          <w:rFonts w:ascii="Arial" w:hAnsi="Arial"/>
          <w:color w:val="231F20"/>
          <w:spacing w:val="-5"/>
          <w:sz w:val="14"/>
        </w:rPr>
        <w:t> </w:t>
      </w:r>
      <w:r>
        <w:rPr>
          <w:rFonts w:ascii="Arial" w:hAnsi="Arial"/>
          <w:color w:val="231F20"/>
          <w:sz w:val="14"/>
        </w:rPr>
        <w:t>–</w:t>
      </w:r>
      <w:r>
        <w:rPr>
          <w:rFonts w:ascii="Arial" w:hAnsi="Arial"/>
          <w:color w:val="231F20"/>
          <w:spacing w:val="-5"/>
          <w:sz w:val="14"/>
        </w:rPr>
        <w:t> </w:t>
      </w:r>
      <w:r>
        <w:rPr>
          <w:rFonts w:ascii="Arial" w:hAnsi="Arial"/>
          <w:color w:val="231F20"/>
          <w:sz w:val="14"/>
        </w:rPr>
        <w:t>Xochimilco</w:t>
      </w:r>
      <w:r>
        <w:rPr>
          <w:rFonts w:ascii="Arial" w:hAnsi="Arial"/>
          <w:color w:val="231F20"/>
          <w:spacing w:val="-5"/>
          <w:sz w:val="14"/>
        </w:rPr>
        <w:t> </w:t>
      </w:r>
      <w:r>
        <w:rPr>
          <w:rFonts w:ascii="Arial" w:hAnsi="Arial"/>
          <w:color w:val="231F20"/>
          <w:sz w:val="14"/>
        </w:rPr>
        <w:t>Departamento</w:t>
      </w:r>
      <w:r>
        <w:rPr>
          <w:rFonts w:ascii="Arial" w:hAnsi="Arial"/>
          <w:color w:val="231F20"/>
          <w:spacing w:val="-5"/>
          <w:sz w:val="14"/>
        </w:rPr>
        <w:t> </w:t>
      </w:r>
      <w:r>
        <w:rPr>
          <w:rFonts w:ascii="Arial" w:hAnsi="Arial"/>
          <w:color w:val="231F20"/>
          <w:sz w:val="14"/>
        </w:rPr>
        <w:t>Política</w:t>
      </w:r>
      <w:r>
        <w:rPr>
          <w:rFonts w:ascii="Arial" w:hAnsi="Arial"/>
          <w:color w:val="231F20"/>
          <w:spacing w:val="-5"/>
          <w:sz w:val="14"/>
        </w:rPr>
        <w:t> </w:t>
      </w:r>
      <w:r>
        <w:rPr>
          <w:rFonts w:ascii="Arial" w:hAnsi="Arial"/>
          <w:color w:val="231F20"/>
          <w:sz w:val="14"/>
        </w:rPr>
        <w:t>y Cultura. Correo:</w:t>
      </w:r>
      <w:r>
        <w:rPr>
          <w:rFonts w:ascii="Arial" w:hAnsi="Arial"/>
          <w:color w:val="231F20"/>
          <w:spacing w:val="-1"/>
          <w:sz w:val="14"/>
        </w:rPr>
        <w:t> </w:t>
      </w:r>
      <w:hyperlink r:id="rId11">
        <w:r>
          <w:rPr>
            <w:rFonts w:ascii="Arial" w:hAnsi="Arial"/>
            <w:color w:val="231F20"/>
            <w:sz w:val="14"/>
          </w:rPr>
          <w:t>emcard@correo.xoc.uam.mx</w:t>
        </w:r>
      </w:hyperlink>
    </w:p>
    <w:p>
      <w:pPr>
        <w:spacing w:after="0" w:line="268" w:lineRule="auto"/>
        <w:jc w:val="left"/>
        <w:rPr>
          <w:rFonts w:ascii="Arial" w:hAnsi="Arial"/>
          <w:sz w:val="14"/>
        </w:rPr>
        <w:sectPr>
          <w:footerReference w:type="default" r:id="rId6"/>
          <w:footerReference w:type="even" r:id="rId7"/>
          <w:pgSz w:w="9640" w:h="13040"/>
          <w:pgMar w:footer="779" w:header="0" w:top="1200" w:bottom="960" w:left="1340" w:right="960"/>
          <w:pgNumType w:start="51"/>
        </w:sectPr>
      </w:pPr>
    </w:p>
    <w:p>
      <w:pPr>
        <w:pStyle w:val="Heading5"/>
        <w:spacing w:line="269" w:lineRule="exact"/>
        <w:jc w:val="both"/>
      </w:pPr>
      <w:r>
        <w:rPr>
          <w:color w:val="231F20"/>
        </w:rPr>
        <w:t>Abstract</w:t>
      </w:r>
    </w:p>
    <w:p>
      <w:pPr>
        <w:pStyle w:val="BodyText"/>
        <w:spacing w:before="10"/>
        <w:rPr>
          <w:sz w:val="16"/>
        </w:rPr>
      </w:pPr>
    </w:p>
    <w:p>
      <w:pPr>
        <w:spacing w:line="278" w:lineRule="auto" w:before="0"/>
        <w:ind w:left="343" w:right="358" w:firstLine="0"/>
        <w:jc w:val="both"/>
        <w:rPr>
          <w:rFonts w:ascii="Arial" w:hAnsi="Arial"/>
          <w:i/>
          <w:sz w:val="18"/>
        </w:rPr>
      </w:pPr>
      <w:r>
        <w:rPr>
          <w:rFonts w:ascii="Arial" w:hAnsi="Arial"/>
          <w:i/>
          <w:color w:val="231F20"/>
          <w:sz w:val="18"/>
        </w:rPr>
        <w:t>Movements</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population</w:t>
      </w:r>
      <w:r>
        <w:rPr>
          <w:rFonts w:ascii="Arial" w:hAnsi="Arial"/>
          <w:i/>
          <w:color w:val="231F20"/>
          <w:spacing w:val="-6"/>
          <w:sz w:val="18"/>
        </w:rPr>
        <w:t> </w:t>
      </w:r>
      <w:r>
        <w:rPr>
          <w:rFonts w:ascii="Arial" w:hAnsi="Arial"/>
          <w:i/>
          <w:color w:val="231F20"/>
          <w:sz w:val="18"/>
        </w:rPr>
        <w:t>from</w:t>
      </w:r>
      <w:r>
        <w:rPr>
          <w:rFonts w:ascii="Arial" w:hAnsi="Arial"/>
          <w:i/>
          <w:color w:val="231F20"/>
          <w:spacing w:val="-7"/>
          <w:sz w:val="18"/>
        </w:rPr>
        <w:t> </w:t>
      </w:r>
      <w:r>
        <w:rPr>
          <w:rFonts w:ascii="Arial" w:hAnsi="Arial"/>
          <w:i/>
          <w:color w:val="231F20"/>
          <w:sz w:val="18"/>
        </w:rPr>
        <w:t>country</w:t>
      </w:r>
      <w:r>
        <w:rPr>
          <w:rFonts w:ascii="Arial" w:hAnsi="Arial"/>
          <w:i/>
          <w:color w:val="231F20"/>
          <w:spacing w:val="-6"/>
          <w:sz w:val="18"/>
        </w:rPr>
        <w:t> </w:t>
      </w:r>
      <w:r>
        <w:rPr>
          <w:rFonts w:ascii="Arial" w:hAnsi="Arial"/>
          <w:i/>
          <w:color w:val="231F20"/>
          <w:sz w:val="18"/>
        </w:rPr>
        <w:t>to</w:t>
      </w:r>
      <w:r>
        <w:rPr>
          <w:rFonts w:ascii="Arial" w:hAnsi="Arial"/>
          <w:i/>
          <w:color w:val="231F20"/>
          <w:spacing w:val="-6"/>
          <w:sz w:val="18"/>
        </w:rPr>
        <w:t> </w:t>
      </w:r>
      <w:r>
        <w:rPr>
          <w:rFonts w:ascii="Arial" w:hAnsi="Arial"/>
          <w:i/>
          <w:color w:val="231F20"/>
          <w:sz w:val="18"/>
        </w:rPr>
        <w:t>town</w:t>
      </w:r>
      <w:r>
        <w:rPr>
          <w:rFonts w:ascii="Arial" w:hAnsi="Arial"/>
          <w:i/>
          <w:color w:val="231F20"/>
          <w:spacing w:val="-7"/>
          <w:sz w:val="18"/>
        </w:rPr>
        <w:t> </w:t>
      </w:r>
      <w:r>
        <w:rPr>
          <w:rFonts w:ascii="Arial" w:hAnsi="Arial"/>
          <w:i/>
          <w:color w:val="231F20"/>
          <w:sz w:val="18"/>
        </w:rPr>
        <w:t>are</w:t>
      </w:r>
      <w:r>
        <w:rPr>
          <w:rFonts w:ascii="Arial" w:hAnsi="Arial"/>
          <w:i/>
          <w:color w:val="231F20"/>
          <w:spacing w:val="-6"/>
          <w:sz w:val="18"/>
        </w:rPr>
        <w:t> </w:t>
      </w:r>
      <w:r>
        <w:rPr>
          <w:rFonts w:ascii="Arial" w:hAnsi="Arial"/>
          <w:i/>
          <w:color w:val="231F20"/>
          <w:sz w:val="18"/>
        </w:rPr>
        <w:t>characteristic</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third</w:t>
      </w:r>
      <w:r>
        <w:rPr>
          <w:rFonts w:ascii="Arial" w:hAnsi="Arial"/>
          <w:i/>
          <w:color w:val="231F20"/>
          <w:spacing w:val="-7"/>
          <w:sz w:val="18"/>
        </w:rPr>
        <w:t> </w:t>
      </w:r>
      <w:r>
        <w:rPr>
          <w:rFonts w:ascii="Arial" w:hAnsi="Arial"/>
          <w:i/>
          <w:color w:val="231F20"/>
          <w:sz w:val="18"/>
        </w:rPr>
        <w:t>world</w:t>
      </w:r>
      <w:r>
        <w:rPr>
          <w:rFonts w:ascii="Arial" w:hAnsi="Arial"/>
          <w:i/>
          <w:color w:val="231F20"/>
          <w:spacing w:val="-6"/>
          <w:sz w:val="18"/>
        </w:rPr>
        <w:t> </w:t>
      </w:r>
      <w:r>
        <w:rPr>
          <w:rFonts w:ascii="Arial" w:hAnsi="Arial"/>
          <w:i/>
          <w:color w:val="231F20"/>
          <w:sz w:val="18"/>
        </w:rPr>
        <w:t>coun- </w:t>
      </w:r>
      <w:r>
        <w:rPr>
          <w:rFonts w:ascii="Arial" w:hAnsi="Arial"/>
          <w:i/>
          <w:color w:val="231F20"/>
          <w:sz w:val="18"/>
        </w:rPr>
        <w:t>tries</w:t>
      </w:r>
      <w:r>
        <w:rPr>
          <w:rFonts w:ascii="Arial" w:hAnsi="Arial"/>
          <w:i/>
          <w:color w:val="231F20"/>
          <w:spacing w:val="-6"/>
          <w:sz w:val="18"/>
        </w:rPr>
        <w:t> </w:t>
      </w:r>
      <w:r>
        <w:rPr>
          <w:rFonts w:ascii="Arial" w:hAnsi="Arial"/>
          <w:i/>
          <w:color w:val="231F20"/>
          <w:sz w:val="18"/>
        </w:rPr>
        <w:t>in</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second</w:t>
      </w:r>
      <w:r>
        <w:rPr>
          <w:rFonts w:ascii="Arial" w:hAnsi="Arial"/>
          <w:i/>
          <w:color w:val="231F20"/>
          <w:spacing w:val="-6"/>
          <w:sz w:val="18"/>
        </w:rPr>
        <w:t> </w:t>
      </w:r>
      <w:r>
        <w:rPr>
          <w:rFonts w:ascii="Arial" w:hAnsi="Arial"/>
          <w:i/>
          <w:color w:val="231F20"/>
          <w:sz w:val="18"/>
        </w:rPr>
        <w:t>half</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twentieth</w:t>
      </w:r>
      <w:r>
        <w:rPr>
          <w:rFonts w:ascii="Arial" w:hAnsi="Arial"/>
          <w:i/>
          <w:color w:val="231F20"/>
          <w:spacing w:val="-6"/>
          <w:sz w:val="18"/>
        </w:rPr>
        <w:t> </w:t>
      </w:r>
      <w:r>
        <w:rPr>
          <w:rFonts w:ascii="Arial" w:hAnsi="Arial"/>
          <w:i/>
          <w:color w:val="231F20"/>
          <w:sz w:val="18"/>
        </w:rPr>
        <w:t>century.</w:t>
      </w:r>
      <w:r>
        <w:rPr>
          <w:rFonts w:ascii="Arial" w:hAnsi="Arial"/>
          <w:i/>
          <w:color w:val="231F20"/>
          <w:spacing w:val="-6"/>
          <w:sz w:val="18"/>
        </w:rPr>
        <w:t> </w:t>
      </w:r>
      <w:r>
        <w:rPr>
          <w:rFonts w:ascii="Arial" w:hAnsi="Arial"/>
          <w:i/>
          <w:color w:val="231F20"/>
          <w:sz w:val="18"/>
        </w:rPr>
        <w:t>Mexico</w:t>
      </w:r>
      <w:r>
        <w:rPr>
          <w:rFonts w:ascii="Arial" w:hAnsi="Arial"/>
          <w:i/>
          <w:color w:val="231F20"/>
          <w:spacing w:val="-6"/>
          <w:sz w:val="18"/>
        </w:rPr>
        <w:t> </w:t>
      </w:r>
      <w:r>
        <w:rPr>
          <w:rFonts w:ascii="Arial" w:hAnsi="Arial"/>
          <w:i/>
          <w:color w:val="231F20"/>
          <w:sz w:val="18"/>
        </w:rPr>
        <w:t>State–in</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centre</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re- public- is an acute example of this phenomenon. The aim of this study is to analyze the</w:t>
      </w:r>
      <w:r>
        <w:rPr>
          <w:rFonts w:ascii="Arial" w:hAnsi="Arial"/>
          <w:i/>
          <w:color w:val="231F20"/>
          <w:spacing w:val="-6"/>
          <w:sz w:val="18"/>
        </w:rPr>
        <w:t> </w:t>
      </w:r>
      <w:r>
        <w:rPr>
          <w:rFonts w:ascii="Arial" w:hAnsi="Arial"/>
          <w:i/>
          <w:color w:val="231F20"/>
          <w:sz w:val="18"/>
        </w:rPr>
        <w:t>flow</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permanent</w:t>
      </w:r>
      <w:r>
        <w:rPr>
          <w:rFonts w:ascii="Arial" w:hAnsi="Arial"/>
          <w:i/>
          <w:color w:val="231F20"/>
          <w:spacing w:val="-6"/>
          <w:sz w:val="18"/>
        </w:rPr>
        <w:t> </w:t>
      </w:r>
      <w:r>
        <w:rPr>
          <w:rFonts w:ascii="Arial" w:hAnsi="Arial"/>
          <w:i/>
          <w:color w:val="231F20"/>
          <w:sz w:val="18"/>
        </w:rPr>
        <w:t>migrants</w:t>
      </w:r>
      <w:r>
        <w:rPr>
          <w:rFonts w:ascii="Arial" w:hAnsi="Arial"/>
          <w:i/>
          <w:color w:val="231F20"/>
          <w:spacing w:val="-6"/>
          <w:sz w:val="18"/>
        </w:rPr>
        <w:t> </w:t>
      </w:r>
      <w:r>
        <w:rPr>
          <w:rFonts w:ascii="Arial" w:hAnsi="Arial"/>
          <w:i/>
          <w:color w:val="231F20"/>
          <w:sz w:val="18"/>
        </w:rPr>
        <w:t>into</w:t>
      </w:r>
      <w:r>
        <w:rPr>
          <w:rFonts w:ascii="Arial" w:hAnsi="Arial"/>
          <w:i/>
          <w:color w:val="231F20"/>
          <w:spacing w:val="-6"/>
          <w:sz w:val="18"/>
        </w:rPr>
        <w:t> </w:t>
      </w:r>
      <w:r>
        <w:rPr>
          <w:rFonts w:ascii="Arial" w:hAnsi="Arial"/>
          <w:i/>
          <w:color w:val="231F20"/>
          <w:sz w:val="18"/>
        </w:rPr>
        <w:t>and</w:t>
      </w:r>
      <w:r>
        <w:rPr>
          <w:rFonts w:ascii="Arial" w:hAnsi="Arial"/>
          <w:i/>
          <w:color w:val="231F20"/>
          <w:spacing w:val="-6"/>
          <w:sz w:val="18"/>
        </w:rPr>
        <w:t> </w:t>
      </w:r>
      <w:r>
        <w:rPr>
          <w:rFonts w:ascii="Arial" w:hAnsi="Arial"/>
          <w:i/>
          <w:color w:val="231F20"/>
          <w:sz w:val="18"/>
        </w:rPr>
        <w:t>out</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state</w:t>
      </w:r>
      <w:r>
        <w:rPr>
          <w:rFonts w:ascii="Arial" w:hAnsi="Arial"/>
          <w:i/>
          <w:color w:val="231F20"/>
          <w:spacing w:val="-6"/>
          <w:sz w:val="18"/>
        </w:rPr>
        <w:t> </w:t>
      </w:r>
      <w:r>
        <w:rPr>
          <w:rFonts w:ascii="Arial" w:hAnsi="Arial"/>
          <w:i/>
          <w:color w:val="231F20"/>
          <w:sz w:val="18"/>
        </w:rPr>
        <w:t>and</w:t>
      </w:r>
      <w:r>
        <w:rPr>
          <w:rFonts w:ascii="Arial" w:hAnsi="Arial"/>
          <w:i/>
          <w:color w:val="231F20"/>
          <w:spacing w:val="-6"/>
          <w:sz w:val="18"/>
        </w:rPr>
        <w:t> </w:t>
      </w:r>
      <w:r>
        <w:rPr>
          <w:rFonts w:ascii="Arial" w:hAnsi="Arial"/>
          <w:i/>
          <w:color w:val="231F20"/>
          <w:sz w:val="18"/>
        </w:rPr>
        <w:t>to</w:t>
      </w:r>
      <w:r>
        <w:rPr>
          <w:rFonts w:ascii="Arial" w:hAnsi="Arial"/>
          <w:i/>
          <w:color w:val="231F20"/>
          <w:spacing w:val="-6"/>
          <w:sz w:val="18"/>
        </w:rPr>
        <w:t> </w:t>
      </w:r>
      <w:r>
        <w:rPr>
          <w:rFonts w:ascii="Arial" w:hAnsi="Arial"/>
          <w:i/>
          <w:color w:val="231F20"/>
          <w:sz w:val="18"/>
        </w:rPr>
        <w:t>select</w:t>
      </w:r>
      <w:r>
        <w:rPr>
          <w:rFonts w:ascii="Arial" w:hAnsi="Arial"/>
          <w:i/>
          <w:color w:val="231F20"/>
          <w:spacing w:val="-6"/>
          <w:sz w:val="18"/>
        </w:rPr>
        <w:t> </w:t>
      </w:r>
      <w:r>
        <w:rPr>
          <w:rFonts w:ascii="Arial" w:hAnsi="Arial"/>
          <w:i/>
          <w:color w:val="231F20"/>
          <w:sz w:val="18"/>
        </w:rPr>
        <w:t>certain</w:t>
      </w:r>
      <w:r>
        <w:rPr>
          <w:rFonts w:ascii="Arial" w:hAnsi="Arial"/>
          <w:i/>
          <w:color w:val="231F20"/>
          <w:spacing w:val="-6"/>
          <w:sz w:val="18"/>
        </w:rPr>
        <w:t> </w:t>
      </w:r>
      <w:r>
        <w:rPr>
          <w:rFonts w:ascii="Arial" w:hAnsi="Arial"/>
          <w:i/>
          <w:color w:val="231F20"/>
          <w:sz w:val="18"/>
        </w:rPr>
        <w:t>cohorts for the analysis of particular variables. The methodology consists of analyzing the source</w:t>
      </w:r>
      <w:r>
        <w:rPr>
          <w:rFonts w:ascii="Arial" w:hAnsi="Arial"/>
          <w:i/>
          <w:color w:val="231F20"/>
          <w:spacing w:val="-6"/>
          <w:sz w:val="18"/>
        </w:rPr>
        <w:t> </w:t>
      </w:r>
      <w:r>
        <w:rPr>
          <w:rFonts w:ascii="Arial" w:hAnsi="Arial"/>
          <w:i/>
          <w:color w:val="231F20"/>
          <w:sz w:val="18"/>
        </w:rPr>
        <w:t>material</w:t>
      </w:r>
      <w:r>
        <w:rPr>
          <w:rFonts w:ascii="Arial" w:hAnsi="Arial"/>
          <w:i/>
          <w:color w:val="231F20"/>
          <w:spacing w:val="-6"/>
          <w:sz w:val="18"/>
        </w:rPr>
        <w:t> </w:t>
      </w:r>
      <w:r>
        <w:rPr>
          <w:rFonts w:ascii="Arial" w:hAnsi="Arial"/>
          <w:i/>
          <w:color w:val="231F20"/>
          <w:sz w:val="18"/>
        </w:rPr>
        <w:t>which</w:t>
      </w:r>
      <w:r>
        <w:rPr>
          <w:rFonts w:ascii="Arial" w:hAnsi="Arial"/>
          <w:i/>
          <w:color w:val="231F20"/>
          <w:spacing w:val="-6"/>
          <w:sz w:val="18"/>
        </w:rPr>
        <w:t> </w:t>
      </w:r>
      <w:r>
        <w:rPr>
          <w:rFonts w:ascii="Arial" w:hAnsi="Arial"/>
          <w:i/>
          <w:color w:val="231F20"/>
          <w:sz w:val="18"/>
        </w:rPr>
        <w:t>is</w:t>
      </w:r>
      <w:r>
        <w:rPr>
          <w:rFonts w:ascii="Arial" w:hAnsi="Arial"/>
          <w:i/>
          <w:color w:val="231F20"/>
          <w:spacing w:val="-6"/>
          <w:sz w:val="18"/>
        </w:rPr>
        <w:t> </w:t>
      </w:r>
      <w:r>
        <w:rPr>
          <w:rFonts w:ascii="Arial" w:hAnsi="Arial"/>
          <w:i/>
          <w:color w:val="231F20"/>
          <w:sz w:val="18"/>
        </w:rPr>
        <w:t>taken</w:t>
      </w:r>
      <w:r>
        <w:rPr>
          <w:rFonts w:ascii="Arial" w:hAnsi="Arial"/>
          <w:i/>
          <w:color w:val="231F20"/>
          <w:spacing w:val="-6"/>
          <w:sz w:val="18"/>
        </w:rPr>
        <w:t> </w:t>
      </w:r>
      <w:r>
        <w:rPr>
          <w:rFonts w:ascii="Arial" w:hAnsi="Arial"/>
          <w:i/>
          <w:color w:val="231F20"/>
          <w:sz w:val="18"/>
        </w:rPr>
        <w:t>from</w:t>
      </w:r>
      <w:r>
        <w:rPr>
          <w:rFonts w:ascii="Arial" w:hAnsi="Arial"/>
          <w:i/>
          <w:color w:val="231F20"/>
          <w:spacing w:val="-6"/>
          <w:sz w:val="18"/>
        </w:rPr>
        <w:t> </w:t>
      </w:r>
      <w:r>
        <w:rPr>
          <w:rFonts w:ascii="Arial" w:hAnsi="Arial"/>
          <w:i/>
          <w:color w:val="231F20"/>
          <w:sz w:val="18"/>
        </w:rPr>
        <w:t>the</w:t>
      </w:r>
      <w:r>
        <w:rPr>
          <w:rFonts w:ascii="Arial" w:hAnsi="Arial"/>
          <w:i/>
          <w:color w:val="231F20"/>
          <w:spacing w:val="-6"/>
          <w:sz w:val="18"/>
        </w:rPr>
        <w:t> </w:t>
      </w:r>
      <w:r>
        <w:rPr>
          <w:rFonts w:ascii="Arial" w:hAnsi="Arial"/>
          <w:i/>
          <w:color w:val="231F20"/>
          <w:sz w:val="18"/>
        </w:rPr>
        <w:t>XII</w:t>
      </w:r>
      <w:r>
        <w:rPr>
          <w:rFonts w:ascii="Arial" w:hAnsi="Arial"/>
          <w:i/>
          <w:color w:val="231F20"/>
          <w:position w:val="6"/>
          <w:sz w:val="10"/>
        </w:rPr>
        <w:t>th</w:t>
      </w:r>
      <w:r>
        <w:rPr>
          <w:rFonts w:ascii="Arial" w:hAnsi="Arial"/>
          <w:i/>
          <w:color w:val="231F20"/>
          <w:spacing w:val="15"/>
          <w:position w:val="6"/>
          <w:sz w:val="10"/>
        </w:rPr>
        <w:t> </w:t>
      </w:r>
      <w:r>
        <w:rPr>
          <w:rFonts w:ascii="Arial" w:hAnsi="Arial"/>
          <w:i/>
          <w:color w:val="231F20"/>
          <w:sz w:val="18"/>
        </w:rPr>
        <w:t>General</w:t>
      </w:r>
      <w:r>
        <w:rPr>
          <w:rFonts w:ascii="Arial" w:hAnsi="Arial"/>
          <w:i/>
          <w:color w:val="231F20"/>
          <w:spacing w:val="-6"/>
          <w:sz w:val="18"/>
        </w:rPr>
        <w:t> </w:t>
      </w:r>
      <w:r>
        <w:rPr>
          <w:rFonts w:ascii="Arial" w:hAnsi="Arial"/>
          <w:i/>
          <w:color w:val="231F20"/>
          <w:sz w:val="18"/>
        </w:rPr>
        <w:t>Census</w:t>
      </w:r>
      <w:r>
        <w:rPr>
          <w:rFonts w:ascii="Arial" w:hAnsi="Arial"/>
          <w:i/>
          <w:color w:val="231F20"/>
          <w:spacing w:val="-6"/>
          <w:sz w:val="18"/>
        </w:rPr>
        <w:t> </w:t>
      </w:r>
      <w:r>
        <w:rPr>
          <w:rFonts w:ascii="Arial" w:hAnsi="Arial"/>
          <w:i/>
          <w:color w:val="231F20"/>
          <w:sz w:val="18"/>
        </w:rPr>
        <w:t>(INEGI</w:t>
      </w:r>
      <w:r>
        <w:rPr>
          <w:rFonts w:ascii="Arial" w:hAnsi="Arial"/>
          <w:i/>
          <w:color w:val="231F20"/>
          <w:spacing w:val="-6"/>
          <w:sz w:val="18"/>
        </w:rPr>
        <w:t> </w:t>
      </w:r>
      <w:r>
        <w:rPr>
          <w:rFonts w:ascii="Arial" w:hAnsi="Arial"/>
          <w:i/>
          <w:color w:val="231F20"/>
          <w:sz w:val="18"/>
        </w:rPr>
        <w:t>2000)</w:t>
      </w:r>
      <w:r>
        <w:rPr>
          <w:rFonts w:ascii="Arial" w:hAnsi="Arial"/>
          <w:i/>
          <w:color w:val="231F20"/>
          <w:spacing w:val="-6"/>
          <w:sz w:val="18"/>
        </w:rPr>
        <w:t> </w:t>
      </w:r>
      <w:r>
        <w:rPr>
          <w:rFonts w:ascii="Arial" w:hAnsi="Arial"/>
          <w:i/>
          <w:color w:val="231F20"/>
          <w:sz w:val="18"/>
        </w:rPr>
        <w:t>including expansion factors for given variables. Results, more females than males migrate. Established ideas of the migration of the young are questioned. Mexico State is en- joying</w:t>
      </w:r>
      <w:r>
        <w:rPr>
          <w:rFonts w:ascii="Arial" w:hAnsi="Arial"/>
          <w:i/>
          <w:color w:val="231F20"/>
          <w:spacing w:val="-6"/>
          <w:sz w:val="18"/>
        </w:rPr>
        <w:t> </w:t>
      </w:r>
      <w:r>
        <w:rPr>
          <w:rFonts w:ascii="Arial" w:hAnsi="Arial"/>
          <w:i/>
          <w:color w:val="231F20"/>
          <w:sz w:val="18"/>
        </w:rPr>
        <w:t>a</w:t>
      </w:r>
      <w:r>
        <w:rPr>
          <w:rFonts w:ascii="Arial" w:hAnsi="Arial"/>
          <w:i/>
          <w:color w:val="231F20"/>
          <w:spacing w:val="-6"/>
          <w:sz w:val="18"/>
        </w:rPr>
        <w:t> </w:t>
      </w:r>
      <w:r>
        <w:rPr>
          <w:rFonts w:ascii="Arial" w:hAnsi="Arial"/>
          <w:i/>
          <w:color w:val="231F20"/>
          <w:sz w:val="18"/>
        </w:rPr>
        <w:t>demographic</w:t>
      </w:r>
      <w:r>
        <w:rPr>
          <w:rFonts w:ascii="Arial" w:hAnsi="Arial"/>
          <w:i/>
          <w:color w:val="231F20"/>
          <w:spacing w:val="-6"/>
          <w:sz w:val="18"/>
        </w:rPr>
        <w:t> </w:t>
      </w:r>
      <w:r>
        <w:rPr>
          <w:rFonts w:ascii="Arial" w:hAnsi="Arial"/>
          <w:i/>
          <w:color w:val="231F20"/>
          <w:sz w:val="18"/>
        </w:rPr>
        <w:t>bonus</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migrants</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working</w:t>
      </w:r>
      <w:r>
        <w:rPr>
          <w:rFonts w:ascii="Arial" w:hAnsi="Arial"/>
          <w:i/>
          <w:color w:val="231F20"/>
          <w:spacing w:val="-6"/>
          <w:sz w:val="18"/>
        </w:rPr>
        <w:t> </w:t>
      </w:r>
      <w:r>
        <w:rPr>
          <w:rFonts w:ascii="Arial" w:hAnsi="Arial"/>
          <w:i/>
          <w:color w:val="231F20"/>
          <w:sz w:val="18"/>
        </w:rPr>
        <w:t>age</w:t>
      </w:r>
      <w:r>
        <w:rPr>
          <w:rFonts w:ascii="Arial" w:hAnsi="Arial"/>
          <w:i/>
          <w:color w:val="231F20"/>
          <w:spacing w:val="-6"/>
          <w:sz w:val="18"/>
        </w:rPr>
        <w:t> </w:t>
      </w:r>
      <w:r>
        <w:rPr>
          <w:rFonts w:ascii="Arial" w:hAnsi="Arial"/>
          <w:i/>
          <w:color w:val="231F20"/>
          <w:sz w:val="18"/>
        </w:rPr>
        <w:t>from</w:t>
      </w:r>
      <w:r>
        <w:rPr>
          <w:rFonts w:ascii="Arial" w:hAnsi="Arial"/>
          <w:i/>
          <w:color w:val="231F20"/>
          <w:spacing w:val="-7"/>
          <w:sz w:val="18"/>
        </w:rPr>
        <w:t> </w:t>
      </w:r>
      <w:r>
        <w:rPr>
          <w:rFonts w:ascii="Arial" w:hAnsi="Arial"/>
          <w:i/>
          <w:color w:val="231F20"/>
          <w:sz w:val="18"/>
        </w:rPr>
        <w:t>the</w:t>
      </w:r>
      <w:r>
        <w:rPr>
          <w:rFonts w:ascii="Arial" w:hAnsi="Arial"/>
          <w:i/>
          <w:color w:val="231F20"/>
          <w:spacing w:val="-7"/>
          <w:sz w:val="18"/>
        </w:rPr>
        <w:t> </w:t>
      </w:r>
      <w:r>
        <w:rPr>
          <w:rFonts w:ascii="Arial" w:hAnsi="Arial"/>
          <w:i/>
          <w:color w:val="231F20"/>
          <w:sz w:val="18"/>
        </w:rPr>
        <w:t>rest</w:t>
      </w:r>
      <w:r>
        <w:rPr>
          <w:rFonts w:ascii="Arial" w:hAnsi="Arial"/>
          <w:i/>
          <w:color w:val="231F20"/>
          <w:spacing w:val="-6"/>
          <w:sz w:val="18"/>
        </w:rPr>
        <w:t> </w:t>
      </w:r>
      <w:r>
        <w:rPr>
          <w:rFonts w:ascii="Arial" w:hAnsi="Arial"/>
          <w:i/>
          <w:color w:val="231F20"/>
          <w:sz w:val="18"/>
        </w:rPr>
        <w:t>of</w:t>
      </w:r>
      <w:r>
        <w:rPr>
          <w:rFonts w:ascii="Arial" w:hAnsi="Arial"/>
          <w:i/>
          <w:color w:val="231F20"/>
          <w:spacing w:val="-6"/>
          <w:sz w:val="18"/>
        </w:rPr>
        <w:t> </w:t>
      </w:r>
      <w:r>
        <w:rPr>
          <w:rFonts w:ascii="Arial" w:hAnsi="Arial"/>
          <w:i/>
          <w:color w:val="231F20"/>
          <w:sz w:val="18"/>
        </w:rPr>
        <w:t>the</w:t>
      </w:r>
      <w:r>
        <w:rPr>
          <w:rFonts w:ascii="Arial" w:hAnsi="Arial"/>
          <w:i/>
          <w:color w:val="231F20"/>
          <w:spacing w:val="-7"/>
          <w:sz w:val="18"/>
        </w:rPr>
        <w:t> </w:t>
      </w:r>
      <w:r>
        <w:rPr>
          <w:rFonts w:ascii="Arial" w:hAnsi="Arial"/>
          <w:i/>
          <w:color w:val="231F20"/>
          <w:sz w:val="18"/>
        </w:rPr>
        <w:t>republic. Unlike the period up to the 1980s, migrants now choose either large cities or small localities, avoiding medium sized</w:t>
      </w:r>
      <w:r>
        <w:rPr>
          <w:rFonts w:ascii="Arial" w:hAnsi="Arial"/>
          <w:i/>
          <w:color w:val="231F20"/>
          <w:spacing w:val="-1"/>
          <w:sz w:val="18"/>
        </w:rPr>
        <w:t> </w:t>
      </w:r>
      <w:r>
        <w:rPr>
          <w:rFonts w:ascii="Arial" w:hAnsi="Arial"/>
          <w:i/>
          <w:color w:val="231F20"/>
          <w:sz w:val="18"/>
        </w:rPr>
        <w:t>cities.</w:t>
      </w:r>
    </w:p>
    <w:p>
      <w:pPr>
        <w:spacing w:before="0"/>
        <w:ind w:left="343" w:right="0" w:firstLine="0"/>
        <w:jc w:val="both"/>
        <w:rPr>
          <w:rFonts w:ascii="Arial"/>
          <w:i/>
          <w:sz w:val="18"/>
        </w:rPr>
      </w:pPr>
      <w:r>
        <w:rPr>
          <w:rFonts w:ascii="Arial"/>
          <w:i/>
          <w:color w:val="231F20"/>
          <w:sz w:val="18"/>
        </w:rPr>
        <w:t>Key words: migration internal, population, movements.</w:t>
      </w:r>
    </w:p>
    <w:p>
      <w:pPr>
        <w:pStyle w:val="BodyText"/>
        <w:spacing w:before="4"/>
        <w:rPr>
          <w:rFonts w:ascii="Arial"/>
          <w:i/>
          <w:sz w:val="15"/>
        </w:rPr>
      </w:pPr>
    </w:p>
    <w:p>
      <w:pPr>
        <w:pStyle w:val="Heading5"/>
        <w:jc w:val="both"/>
      </w:pPr>
      <w:r>
        <w:rPr>
          <w:color w:val="231F20"/>
        </w:rPr>
        <w:t>Introduction</w:t>
      </w:r>
    </w:p>
    <w:p>
      <w:pPr>
        <w:pStyle w:val="BodyText"/>
        <w:spacing w:line="240" w:lineRule="exact" w:before="203"/>
        <w:ind w:left="472" w:right="358"/>
        <w:jc w:val="both"/>
      </w:pPr>
      <w:r>
        <w:rPr/>
        <w:pict>
          <v:shape style="position:absolute;margin-left:56.692902pt;margin-top:9.765611pt;width:14.95pt;height:44.4pt;mso-position-horizontal-relative:page;mso-position-vertical-relative:paragraph;z-index:-15040" type="#_x0000_t202" filled="false" stroked="false">
            <v:textbox inset="0,0,0,0">
              <w:txbxContent>
                <w:p>
                  <w:pPr>
                    <w:spacing w:line="887" w:lineRule="exact" w:before="0"/>
                    <w:ind w:left="0" w:right="0" w:firstLine="0"/>
                    <w:jc w:val="left"/>
                    <w:rPr>
                      <w:sz w:val="88"/>
                    </w:rPr>
                  </w:pPr>
                  <w:r>
                    <w:rPr>
                      <w:color w:val="231F20"/>
                      <w:w w:val="100"/>
                      <w:sz w:val="88"/>
                    </w:rPr>
                    <w:t>I</w:t>
                  </w:r>
                </w:p>
              </w:txbxContent>
            </v:textbox>
            <w10:wrap type="none"/>
          </v:shape>
        </w:pict>
      </w:r>
      <w:r>
        <w:rPr>
          <w:color w:val="231F20"/>
        </w:rPr>
        <w:t>n the 1970s, while nations such as Great Britain and Japan increased their populations at an annual rate of 1%, most African countries grew at bet- ween</w:t>
      </w:r>
      <w:r>
        <w:rPr>
          <w:color w:val="231F20"/>
          <w:spacing w:val="-9"/>
        </w:rPr>
        <w:t> </w:t>
      </w:r>
      <w:r>
        <w:rPr>
          <w:color w:val="231F20"/>
        </w:rPr>
        <w:t>6%</w:t>
      </w:r>
      <w:r>
        <w:rPr>
          <w:color w:val="231F20"/>
          <w:spacing w:val="-9"/>
        </w:rPr>
        <w:t> </w:t>
      </w:r>
      <w:r>
        <w:rPr>
          <w:color w:val="231F20"/>
        </w:rPr>
        <w:t>and</w:t>
      </w:r>
      <w:r>
        <w:rPr>
          <w:color w:val="231F20"/>
          <w:spacing w:val="-9"/>
        </w:rPr>
        <w:t> </w:t>
      </w:r>
      <w:r>
        <w:rPr>
          <w:color w:val="231F20"/>
        </w:rPr>
        <w:t>7%</w:t>
      </w:r>
      <w:r>
        <w:rPr>
          <w:color w:val="231F20"/>
          <w:spacing w:val="-9"/>
        </w:rPr>
        <w:t> </w:t>
      </w:r>
      <w:r>
        <w:rPr>
          <w:color w:val="231F20"/>
        </w:rPr>
        <w:t>and</w:t>
      </w:r>
      <w:r>
        <w:rPr>
          <w:color w:val="231F20"/>
          <w:spacing w:val="-9"/>
        </w:rPr>
        <w:t> </w:t>
      </w:r>
      <w:r>
        <w:rPr>
          <w:color w:val="231F20"/>
        </w:rPr>
        <w:t>those</w:t>
      </w:r>
      <w:r>
        <w:rPr>
          <w:color w:val="231F20"/>
          <w:spacing w:val="-9"/>
        </w:rPr>
        <w:t> </w:t>
      </w:r>
      <w:r>
        <w:rPr>
          <w:color w:val="231F20"/>
        </w:rPr>
        <w:t>of</w:t>
      </w:r>
      <w:r>
        <w:rPr>
          <w:color w:val="231F20"/>
          <w:spacing w:val="-9"/>
        </w:rPr>
        <w:t> </w:t>
      </w:r>
      <w:r>
        <w:rPr>
          <w:color w:val="231F20"/>
        </w:rPr>
        <w:t>Latin</w:t>
      </w:r>
      <w:r>
        <w:rPr>
          <w:color w:val="231F20"/>
          <w:spacing w:val="-9"/>
        </w:rPr>
        <w:t> </w:t>
      </w:r>
      <w:r>
        <w:rPr>
          <w:color w:val="231F20"/>
        </w:rPr>
        <w:t>America</w:t>
      </w:r>
      <w:r>
        <w:rPr>
          <w:color w:val="231F20"/>
          <w:spacing w:val="-9"/>
        </w:rPr>
        <w:t> </w:t>
      </w:r>
      <w:r>
        <w:rPr>
          <w:color w:val="231F20"/>
        </w:rPr>
        <w:t>at</w:t>
      </w:r>
      <w:r>
        <w:rPr>
          <w:color w:val="231F20"/>
          <w:spacing w:val="-9"/>
        </w:rPr>
        <w:t> </w:t>
      </w:r>
      <w:r>
        <w:rPr>
          <w:color w:val="231F20"/>
        </w:rPr>
        <w:t>between</w:t>
      </w:r>
      <w:r>
        <w:rPr>
          <w:color w:val="231F20"/>
          <w:spacing w:val="-9"/>
        </w:rPr>
        <w:t> </w:t>
      </w:r>
      <w:r>
        <w:rPr>
          <w:color w:val="231F20"/>
        </w:rPr>
        <w:t>4%</w:t>
      </w:r>
      <w:r>
        <w:rPr>
          <w:color w:val="231F20"/>
          <w:spacing w:val="-9"/>
        </w:rPr>
        <w:t> </w:t>
      </w:r>
      <w:r>
        <w:rPr>
          <w:color w:val="231F20"/>
        </w:rPr>
        <w:t>and</w:t>
      </w:r>
      <w:r>
        <w:rPr>
          <w:color w:val="231F20"/>
          <w:spacing w:val="-9"/>
        </w:rPr>
        <w:t> </w:t>
      </w:r>
      <w:r>
        <w:rPr>
          <w:color w:val="231F20"/>
        </w:rPr>
        <w:t>6%</w:t>
      </w:r>
      <w:r>
        <w:rPr>
          <w:color w:val="231F20"/>
          <w:spacing w:val="-9"/>
        </w:rPr>
        <w:t> </w:t>
      </w:r>
      <w:r>
        <w:rPr>
          <w:color w:val="231F20"/>
        </w:rPr>
        <w:t>(Toda-</w:t>
      </w:r>
    </w:p>
    <w:p>
      <w:pPr>
        <w:pStyle w:val="BodyText"/>
        <w:spacing w:line="240" w:lineRule="exact"/>
        <w:ind w:left="173" w:right="358"/>
        <w:jc w:val="both"/>
      </w:pPr>
      <w:r>
        <w:rPr>
          <w:color w:val="231F20"/>
        </w:rPr>
        <w:t>ro, 1976). In the case of Mexico, these tendencies were particularly pronoun- ced. Between 1930 and 1940, its population had an average annual growth rate of 1.7%. In the following two decades, this rate was maintained with an- nual averages of 2.7% and 3.1% respectively. This process reached its highest point between 1970 and 1980 with a rate of 3.4%. These increases, together with the great economic, social and geographic imbalances in the country, swelled</w:t>
      </w:r>
      <w:r>
        <w:rPr>
          <w:color w:val="231F20"/>
          <w:spacing w:val="-3"/>
        </w:rPr>
        <w:t> </w:t>
      </w:r>
      <w:r>
        <w:rPr>
          <w:color w:val="231F20"/>
        </w:rPr>
        <w:t>the</w:t>
      </w:r>
      <w:r>
        <w:rPr>
          <w:color w:val="231F20"/>
          <w:spacing w:val="-2"/>
        </w:rPr>
        <w:t> </w:t>
      </w:r>
      <w:r>
        <w:rPr>
          <w:color w:val="231F20"/>
        </w:rPr>
        <w:t>major</w:t>
      </w:r>
      <w:r>
        <w:rPr>
          <w:color w:val="231F20"/>
          <w:spacing w:val="-3"/>
        </w:rPr>
        <w:t> </w:t>
      </w:r>
      <w:r>
        <w:rPr>
          <w:color w:val="231F20"/>
        </w:rPr>
        <w:t>urban</w:t>
      </w:r>
      <w:r>
        <w:rPr>
          <w:color w:val="231F20"/>
          <w:spacing w:val="-2"/>
        </w:rPr>
        <w:t> </w:t>
      </w:r>
      <w:r>
        <w:rPr>
          <w:color w:val="231F20"/>
        </w:rPr>
        <w:t>zones.</w:t>
      </w:r>
      <w:r>
        <w:rPr>
          <w:color w:val="231F20"/>
          <w:spacing w:val="-3"/>
        </w:rPr>
        <w:t> </w:t>
      </w:r>
      <w:r>
        <w:rPr>
          <w:color w:val="231F20"/>
        </w:rPr>
        <w:t>In</w:t>
      </w:r>
      <w:r>
        <w:rPr>
          <w:color w:val="231F20"/>
          <w:spacing w:val="-3"/>
        </w:rPr>
        <w:t> </w:t>
      </w:r>
      <w:r>
        <w:rPr>
          <w:color w:val="231F20"/>
        </w:rPr>
        <w:t>1960,</w:t>
      </w:r>
      <w:r>
        <w:rPr>
          <w:color w:val="231F20"/>
          <w:spacing w:val="-3"/>
        </w:rPr>
        <w:t> </w:t>
      </w:r>
      <w:r>
        <w:rPr>
          <w:color w:val="231F20"/>
        </w:rPr>
        <w:t>36.6%</w:t>
      </w:r>
      <w:r>
        <w:rPr>
          <w:color w:val="231F20"/>
          <w:spacing w:val="-3"/>
        </w:rPr>
        <w:t> </w:t>
      </w:r>
      <w:r>
        <w:rPr>
          <w:color w:val="231F20"/>
        </w:rPr>
        <w:t>of</w:t>
      </w:r>
      <w:r>
        <w:rPr>
          <w:color w:val="231F20"/>
          <w:spacing w:val="-3"/>
        </w:rPr>
        <w:t> </w:t>
      </w:r>
      <w:r>
        <w:rPr>
          <w:color w:val="231F20"/>
        </w:rPr>
        <w:t>the</w:t>
      </w:r>
      <w:r>
        <w:rPr>
          <w:color w:val="231F20"/>
          <w:spacing w:val="-2"/>
        </w:rPr>
        <w:t> </w:t>
      </w:r>
      <w:r>
        <w:rPr>
          <w:color w:val="231F20"/>
        </w:rPr>
        <w:t>population</w:t>
      </w:r>
      <w:r>
        <w:rPr>
          <w:color w:val="231F20"/>
          <w:spacing w:val="-2"/>
        </w:rPr>
        <w:t> </w:t>
      </w:r>
      <w:r>
        <w:rPr>
          <w:color w:val="231F20"/>
        </w:rPr>
        <w:t>lived</w:t>
      </w:r>
      <w:r>
        <w:rPr>
          <w:color w:val="231F20"/>
          <w:spacing w:val="-3"/>
        </w:rPr>
        <w:t> </w:t>
      </w:r>
      <w:r>
        <w:rPr>
          <w:color w:val="231F20"/>
        </w:rPr>
        <w:t>in</w:t>
      </w:r>
      <w:r>
        <w:rPr>
          <w:color w:val="231F20"/>
          <w:spacing w:val="-3"/>
        </w:rPr>
        <w:t> </w:t>
      </w:r>
      <w:r>
        <w:rPr>
          <w:color w:val="231F20"/>
        </w:rPr>
        <w:t>loca- lities of 15,000 or more inhabitants. In 1970, this figure was 44.9%, in 1990 it was 57.4% and in 2000 it was 61 %. (These are the authors’ own calculations based on the data of INEGI – the National Institute of Statistics and Geogra- phy.) (INEGI 1990, 2000).</w:t>
      </w:r>
    </w:p>
    <w:p>
      <w:pPr>
        <w:pStyle w:val="BodyText"/>
        <w:spacing w:line="240" w:lineRule="exact"/>
        <w:ind w:left="173" w:right="358" w:firstLine="283"/>
        <w:jc w:val="both"/>
      </w:pPr>
      <w:r>
        <w:rPr>
          <w:color w:val="231F20"/>
        </w:rPr>
        <w:t>The state of Mexico was not exempt from this process. It lies in the centre of the republic and surrounds the capital, Mexico City. While its average an- nual growth rate between 1930 and 1940 was only 1.5%, between 1950 and 1960</w:t>
      </w:r>
      <w:r>
        <w:rPr>
          <w:color w:val="231F20"/>
          <w:spacing w:val="-7"/>
        </w:rPr>
        <w:t> </w:t>
      </w:r>
      <w:r>
        <w:rPr>
          <w:color w:val="231F20"/>
        </w:rPr>
        <w:t>it</w:t>
      </w:r>
      <w:r>
        <w:rPr>
          <w:color w:val="231F20"/>
          <w:spacing w:val="-7"/>
        </w:rPr>
        <w:t> </w:t>
      </w:r>
      <w:r>
        <w:rPr>
          <w:color w:val="231F20"/>
        </w:rPr>
        <w:t>reached</w:t>
      </w:r>
      <w:r>
        <w:rPr>
          <w:color w:val="231F20"/>
          <w:spacing w:val="-7"/>
        </w:rPr>
        <w:t> </w:t>
      </w:r>
      <w:r>
        <w:rPr>
          <w:color w:val="231F20"/>
        </w:rPr>
        <w:t>3.2%</w:t>
      </w:r>
      <w:r>
        <w:rPr>
          <w:color w:val="231F20"/>
          <w:spacing w:val="-7"/>
        </w:rPr>
        <w:t> </w:t>
      </w:r>
      <w:r>
        <w:rPr>
          <w:color w:val="231F20"/>
        </w:rPr>
        <w:t>and</w:t>
      </w:r>
      <w:r>
        <w:rPr>
          <w:color w:val="231F20"/>
          <w:spacing w:val="-7"/>
        </w:rPr>
        <w:t> </w:t>
      </w:r>
      <w:r>
        <w:rPr>
          <w:color w:val="231F20"/>
        </w:rPr>
        <w:t>in</w:t>
      </w:r>
      <w:r>
        <w:rPr>
          <w:color w:val="231F20"/>
          <w:spacing w:val="-7"/>
        </w:rPr>
        <w:t> </w:t>
      </w:r>
      <w:r>
        <w:rPr>
          <w:color w:val="231F20"/>
        </w:rPr>
        <w:t>the</w:t>
      </w:r>
      <w:r>
        <w:rPr>
          <w:color w:val="231F20"/>
          <w:spacing w:val="-7"/>
        </w:rPr>
        <w:t> </w:t>
      </w:r>
      <w:r>
        <w:rPr>
          <w:color w:val="231F20"/>
        </w:rPr>
        <w:t>following</w:t>
      </w:r>
      <w:r>
        <w:rPr>
          <w:color w:val="231F20"/>
          <w:spacing w:val="-7"/>
        </w:rPr>
        <w:t> </w:t>
      </w:r>
      <w:r>
        <w:rPr>
          <w:color w:val="231F20"/>
        </w:rPr>
        <w:t>decade</w:t>
      </w:r>
      <w:r>
        <w:rPr>
          <w:color w:val="231F20"/>
          <w:spacing w:val="-7"/>
        </w:rPr>
        <w:t> </w:t>
      </w:r>
      <w:r>
        <w:rPr>
          <w:color w:val="231F20"/>
        </w:rPr>
        <w:t>it</w:t>
      </w:r>
      <w:r>
        <w:rPr>
          <w:color w:val="231F20"/>
          <w:spacing w:val="-7"/>
        </w:rPr>
        <w:t> </w:t>
      </w:r>
      <w:r>
        <w:rPr>
          <w:color w:val="231F20"/>
        </w:rPr>
        <w:t>peaked</w:t>
      </w:r>
      <w:r>
        <w:rPr>
          <w:color w:val="231F20"/>
          <w:spacing w:val="-7"/>
        </w:rPr>
        <w:t> </w:t>
      </w:r>
      <w:r>
        <w:rPr>
          <w:color w:val="231F20"/>
        </w:rPr>
        <w:t>at</w:t>
      </w:r>
      <w:r>
        <w:rPr>
          <w:color w:val="231F20"/>
          <w:spacing w:val="-7"/>
        </w:rPr>
        <w:t> </w:t>
      </w:r>
      <w:r>
        <w:rPr>
          <w:color w:val="231F20"/>
        </w:rPr>
        <w:t>7.4</w:t>
      </w:r>
      <w:r>
        <w:rPr>
          <w:color w:val="231F20"/>
          <w:spacing w:val="-7"/>
        </w:rPr>
        <w:t> </w:t>
      </w:r>
      <w:r>
        <w:rPr>
          <w:color w:val="231F20"/>
        </w:rPr>
        <w:t>%.</w:t>
      </w:r>
      <w:r>
        <w:rPr>
          <w:color w:val="231F20"/>
          <w:spacing w:val="-7"/>
        </w:rPr>
        <w:t> </w:t>
      </w:r>
      <w:r>
        <w:rPr>
          <w:color w:val="231F20"/>
        </w:rPr>
        <w:t>If</w:t>
      </w:r>
      <w:r>
        <w:rPr>
          <w:color w:val="231F20"/>
          <w:spacing w:val="-7"/>
        </w:rPr>
        <w:t> </w:t>
      </w:r>
      <w:r>
        <w:rPr>
          <w:color w:val="231F20"/>
        </w:rPr>
        <w:t>this</w:t>
      </w:r>
      <w:r>
        <w:rPr>
          <w:color w:val="231F20"/>
          <w:spacing w:val="-7"/>
        </w:rPr>
        <w:t> </w:t>
      </w:r>
      <w:r>
        <w:rPr>
          <w:color w:val="231F20"/>
        </w:rPr>
        <w:t>rate had</w:t>
      </w:r>
      <w:r>
        <w:rPr>
          <w:color w:val="231F20"/>
          <w:spacing w:val="-4"/>
        </w:rPr>
        <w:t> </w:t>
      </w:r>
      <w:r>
        <w:rPr>
          <w:color w:val="231F20"/>
        </w:rPr>
        <w:t>been</w:t>
      </w:r>
      <w:r>
        <w:rPr>
          <w:color w:val="231F20"/>
          <w:spacing w:val="-4"/>
        </w:rPr>
        <w:t> </w:t>
      </w:r>
      <w:r>
        <w:rPr>
          <w:color w:val="231F20"/>
        </w:rPr>
        <w:t>maintained,</w:t>
      </w:r>
      <w:r>
        <w:rPr>
          <w:color w:val="231F20"/>
          <w:spacing w:val="-4"/>
        </w:rPr>
        <w:t> </w:t>
      </w:r>
      <w:r>
        <w:rPr>
          <w:color w:val="231F20"/>
        </w:rPr>
        <w:t>the</w:t>
      </w:r>
      <w:r>
        <w:rPr>
          <w:color w:val="231F20"/>
          <w:spacing w:val="-4"/>
        </w:rPr>
        <w:t> </w:t>
      </w:r>
      <w:r>
        <w:rPr>
          <w:color w:val="231F20"/>
        </w:rPr>
        <w:t>population</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state</w:t>
      </w:r>
      <w:r>
        <w:rPr>
          <w:color w:val="231F20"/>
          <w:spacing w:val="-4"/>
        </w:rPr>
        <w:t> </w:t>
      </w:r>
      <w:r>
        <w:rPr>
          <w:color w:val="231F20"/>
        </w:rPr>
        <w:t>would</w:t>
      </w:r>
      <w:r>
        <w:rPr>
          <w:color w:val="231F20"/>
          <w:spacing w:val="-4"/>
        </w:rPr>
        <w:t> </w:t>
      </w:r>
      <w:r>
        <w:rPr>
          <w:color w:val="231F20"/>
        </w:rPr>
        <w:t>have</w:t>
      </w:r>
      <w:r>
        <w:rPr>
          <w:color w:val="231F20"/>
          <w:spacing w:val="-4"/>
        </w:rPr>
        <w:t> </w:t>
      </w:r>
      <w:r>
        <w:rPr>
          <w:color w:val="231F20"/>
        </w:rPr>
        <w:t>doubled</w:t>
      </w:r>
      <w:r>
        <w:rPr>
          <w:color w:val="231F20"/>
          <w:spacing w:val="-4"/>
        </w:rPr>
        <w:t> </w:t>
      </w:r>
      <w:r>
        <w:rPr>
          <w:color w:val="231F20"/>
        </w:rPr>
        <w:t>in</w:t>
      </w:r>
      <w:r>
        <w:rPr>
          <w:color w:val="231F20"/>
          <w:spacing w:val="-4"/>
        </w:rPr>
        <w:t> </w:t>
      </w:r>
      <w:r>
        <w:rPr>
          <w:color w:val="231F20"/>
        </w:rPr>
        <w:t>only</w:t>
      </w:r>
    </w:p>
    <w:p>
      <w:pPr>
        <w:pStyle w:val="ListParagraph"/>
        <w:numPr>
          <w:ilvl w:val="1"/>
          <w:numId w:val="2"/>
        </w:numPr>
        <w:tabs>
          <w:tab w:pos="473" w:val="left" w:leader="none"/>
        </w:tabs>
        <w:spacing w:line="240" w:lineRule="exact" w:before="0" w:after="0"/>
        <w:ind w:left="173" w:right="358" w:firstLine="0"/>
        <w:jc w:val="both"/>
        <w:rPr>
          <w:sz w:val="20"/>
        </w:rPr>
      </w:pPr>
      <w:r>
        <w:rPr>
          <w:color w:val="231F20"/>
          <w:sz w:val="20"/>
        </w:rPr>
        <w:t>years. The following three decades saw annual growth rates of 6.7%,</w:t>
      </w:r>
      <w:r>
        <w:rPr>
          <w:color w:val="231F20"/>
          <w:spacing w:val="-22"/>
          <w:sz w:val="20"/>
        </w:rPr>
        <w:t> </w:t>
      </w:r>
      <w:r>
        <w:rPr>
          <w:color w:val="231F20"/>
          <w:sz w:val="20"/>
        </w:rPr>
        <w:t>2.7% and 2.9% respectively. A significant part of this increase is the result of social growth i.e.</w:t>
      </w:r>
      <w:r>
        <w:rPr>
          <w:color w:val="231F20"/>
          <w:spacing w:val="-1"/>
          <w:sz w:val="20"/>
        </w:rPr>
        <w:t> </w:t>
      </w:r>
      <w:r>
        <w:rPr>
          <w:color w:val="231F20"/>
          <w:sz w:val="20"/>
        </w:rPr>
        <w:t>migration.</w:t>
      </w:r>
    </w:p>
    <w:p>
      <w:pPr>
        <w:spacing w:after="0" w:line="240" w:lineRule="exact"/>
        <w:jc w:val="both"/>
        <w:rPr>
          <w:sz w:val="20"/>
        </w:rPr>
        <w:sectPr>
          <w:headerReference w:type="even" r:id="rId12"/>
          <w:headerReference w:type="default" r:id="rId13"/>
          <w:pgSz w:w="9640" w:h="13040"/>
          <w:pgMar w:header="954" w:footer="779" w:top="1380" w:bottom="960" w:left="960" w:right="1340"/>
        </w:sectPr>
      </w:pPr>
    </w:p>
    <w:p>
      <w:pPr>
        <w:pStyle w:val="BodyText"/>
        <w:spacing w:before="6"/>
        <w:rPr>
          <w:sz w:val="27"/>
        </w:rPr>
      </w:pPr>
    </w:p>
    <w:p>
      <w:pPr>
        <w:pStyle w:val="Heading5"/>
        <w:spacing w:before="32"/>
        <w:ind w:left="360"/>
        <w:jc w:val="both"/>
      </w:pPr>
      <w:r>
        <w:rPr>
          <w:color w:val="231F20"/>
        </w:rPr>
        <w:t>Justification</w:t>
      </w:r>
    </w:p>
    <w:p>
      <w:pPr>
        <w:pStyle w:val="BodyText"/>
        <w:spacing w:line="240" w:lineRule="exact" w:before="203"/>
        <w:ind w:left="360" w:right="171" w:firstLine="283"/>
        <w:jc w:val="both"/>
      </w:pPr>
      <w:r>
        <w:rPr>
          <w:color w:val="231F20"/>
        </w:rPr>
        <w:t>In Mexico, as in the rest of Latin America, population movements have been widely related to urbanization, the job market and the infrastructure   of communication. This, together with the decapitalization of the countrysi- de, propitiated, in the 1970s, great movements of population from country to town</w:t>
      </w:r>
      <w:r>
        <w:rPr>
          <w:color w:val="231F20"/>
          <w:spacing w:val="-7"/>
        </w:rPr>
        <w:t> </w:t>
      </w:r>
      <w:r>
        <w:rPr>
          <w:color w:val="231F20"/>
        </w:rPr>
        <w:t>and</w:t>
      </w:r>
      <w:r>
        <w:rPr>
          <w:color w:val="231F20"/>
          <w:spacing w:val="-7"/>
        </w:rPr>
        <w:t> </w:t>
      </w:r>
      <w:r>
        <w:rPr>
          <w:color w:val="231F20"/>
        </w:rPr>
        <w:t>this</w:t>
      </w:r>
      <w:r>
        <w:rPr>
          <w:color w:val="231F20"/>
          <w:spacing w:val="-7"/>
        </w:rPr>
        <w:t> </w:t>
      </w:r>
      <w:r>
        <w:rPr>
          <w:color w:val="231F20"/>
        </w:rPr>
        <w:t>resulted</w:t>
      </w:r>
      <w:r>
        <w:rPr>
          <w:color w:val="231F20"/>
          <w:spacing w:val="-7"/>
        </w:rPr>
        <w:t> </w:t>
      </w:r>
      <w:r>
        <w:rPr>
          <w:color w:val="231F20"/>
        </w:rPr>
        <w:t>in</w:t>
      </w:r>
      <w:r>
        <w:rPr>
          <w:color w:val="231F20"/>
          <w:spacing w:val="-7"/>
        </w:rPr>
        <w:t> </w:t>
      </w:r>
      <w:r>
        <w:rPr>
          <w:color w:val="231F20"/>
        </w:rPr>
        <w:t>enormous</w:t>
      </w:r>
      <w:r>
        <w:rPr>
          <w:color w:val="231F20"/>
          <w:spacing w:val="-7"/>
        </w:rPr>
        <w:t> </w:t>
      </w:r>
      <w:r>
        <w:rPr>
          <w:color w:val="231F20"/>
        </w:rPr>
        <w:t>concentrations</w:t>
      </w:r>
      <w:r>
        <w:rPr>
          <w:color w:val="231F20"/>
          <w:spacing w:val="-7"/>
        </w:rPr>
        <w:t> </w:t>
      </w:r>
      <w:r>
        <w:rPr>
          <w:color w:val="231F20"/>
        </w:rPr>
        <w:t>of</w:t>
      </w:r>
      <w:r>
        <w:rPr>
          <w:color w:val="231F20"/>
          <w:spacing w:val="-7"/>
        </w:rPr>
        <w:t> </w:t>
      </w:r>
      <w:r>
        <w:rPr>
          <w:color w:val="231F20"/>
        </w:rPr>
        <w:t>people</w:t>
      </w:r>
      <w:r>
        <w:rPr>
          <w:color w:val="231F20"/>
          <w:spacing w:val="-7"/>
        </w:rPr>
        <w:t> </w:t>
      </w:r>
      <w:r>
        <w:rPr>
          <w:color w:val="231F20"/>
        </w:rPr>
        <w:t>and</w:t>
      </w:r>
      <w:r>
        <w:rPr>
          <w:color w:val="231F20"/>
          <w:spacing w:val="-7"/>
        </w:rPr>
        <w:t> </w:t>
      </w:r>
      <w:r>
        <w:rPr>
          <w:color w:val="231F20"/>
        </w:rPr>
        <w:t>resources</w:t>
      </w:r>
      <w:r>
        <w:rPr>
          <w:color w:val="231F20"/>
          <w:spacing w:val="-7"/>
        </w:rPr>
        <w:t> </w:t>
      </w:r>
      <w:r>
        <w:rPr>
          <w:color w:val="231F20"/>
        </w:rPr>
        <w:t>in a few areas of the republic. (Unikel 1976:64-67; CONAPO 1994:47-58; 1994b:i- iv,3)</w:t>
      </w:r>
    </w:p>
    <w:p>
      <w:pPr>
        <w:pStyle w:val="Heading5"/>
        <w:spacing w:before="167"/>
        <w:ind w:left="360"/>
        <w:jc w:val="both"/>
      </w:pPr>
      <w:r>
        <w:rPr>
          <w:color w:val="231F20"/>
        </w:rPr>
        <w:t>The aim</w:t>
      </w:r>
    </w:p>
    <w:p>
      <w:pPr>
        <w:pStyle w:val="BodyText"/>
        <w:spacing w:line="240" w:lineRule="exact" w:before="203"/>
        <w:ind w:left="360" w:right="171" w:firstLine="283"/>
        <w:jc w:val="both"/>
      </w:pPr>
      <w:r>
        <w:rPr>
          <w:color w:val="231F20"/>
        </w:rPr>
        <w:t>The objective of this study is to analyze the flows of permanent migrants who have settled in the state of Mexico in the last decade of the 20</w:t>
      </w:r>
      <w:r>
        <w:rPr>
          <w:color w:val="231F20"/>
          <w:position w:val="7"/>
          <w:sz w:val="11"/>
        </w:rPr>
        <w:t>th </w:t>
      </w:r>
      <w:r>
        <w:rPr>
          <w:color w:val="231F20"/>
        </w:rPr>
        <w:t>century. The population analyzed here consists of those people who have immigrated to the state together with those members of the state’s native population</w:t>
      </w:r>
      <w:r>
        <w:rPr>
          <w:color w:val="231F20"/>
          <w:spacing w:val="-25"/>
        </w:rPr>
        <w:t> </w:t>
      </w:r>
      <w:r>
        <w:rPr>
          <w:color w:val="231F20"/>
        </w:rPr>
        <w:t>who have emigrated to other places in the republic. In addition, certain cohorts have been selected from both populations in order to examine particular va- riables: age group, gender, size of locality of origin and size of locality of</w:t>
      </w:r>
      <w:r>
        <w:rPr>
          <w:color w:val="231F20"/>
          <w:spacing w:val="-28"/>
        </w:rPr>
        <w:t> </w:t>
      </w:r>
      <w:r>
        <w:rPr>
          <w:color w:val="231F20"/>
        </w:rPr>
        <w:t>des- tination.</w:t>
      </w:r>
    </w:p>
    <w:p>
      <w:pPr>
        <w:pStyle w:val="Heading5"/>
        <w:spacing w:before="167"/>
        <w:ind w:left="360"/>
        <w:jc w:val="both"/>
      </w:pPr>
      <w:r>
        <w:rPr>
          <w:color w:val="231F20"/>
        </w:rPr>
        <w:t>Source material and methodology</w:t>
      </w:r>
    </w:p>
    <w:p>
      <w:pPr>
        <w:pStyle w:val="BodyText"/>
        <w:spacing w:line="240" w:lineRule="exact" w:before="203"/>
        <w:ind w:left="360" w:right="171" w:firstLine="283"/>
        <w:jc w:val="both"/>
      </w:pPr>
      <w:r>
        <w:rPr>
          <w:color w:val="231F20"/>
        </w:rPr>
        <w:t>The</w:t>
      </w:r>
      <w:r>
        <w:rPr>
          <w:color w:val="231F20"/>
          <w:spacing w:val="-8"/>
        </w:rPr>
        <w:t> </w:t>
      </w:r>
      <w:r>
        <w:rPr>
          <w:color w:val="231F20"/>
        </w:rPr>
        <w:t>XII</w:t>
      </w:r>
      <w:r>
        <w:rPr>
          <w:color w:val="231F20"/>
          <w:position w:val="7"/>
          <w:sz w:val="11"/>
        </w:rPr>
        <w:t>th</w:t>
      </w:r>
      <w:r>
        <w:rPr>
          <w:color w:val="231F20"/>
          <w:spacing w:val="15"/>
          <w:position w:val="7"/>
          <w:sz w:val="11"/>
        </w:rPr>
        <w:t> </w:t>
      </w:r>
      <w:r>
        <w:rPr>
          <w:color w:val="231F20"/>
        </w:rPr>
        <w:t>General</w:t>
      </w:r>
      <w:r>
        <w:rPr>
          <w:color w:val="231F20"/>
          <w:spacing w:val="-8"/>
        </w:rPr>
        <w:t> </w:t>
      </w:r>
      <w:r>
        <w:rPr>
          <w:color w:val="231F20"/>
        </w:rPr>
        <w:t>Census</w:t>
      </w:r>
      <w:r>
        <w:rPr>
          <w:color w:val="231F20"/>
          <w:spacing w:val="-8"/>
        </w:rPr>
        <w:t> </w:t>
      </w:r>
      <w:r>
        <w:rPr>
          <w:color w:val="231F20"/>
        </w:rPr>
        <w:t>was</w:t>
      </w:r>
      <w:r>
        <w:rPr>
          <w:color w:val="231F20"/>
          <w:spacing w:val="-8"/>
        </w:rPr>
        <w:t> </w:t>
      </w:r>
      <w:r>
        <w:rPr>
          <w:color w:val="231F20"/>
        </w:rPr>
        <w:t>carried</w:t>
      </w:r>
      <w:r>
        <w:rPr>
          <w:color w:val="231F20"/>
          <w:spacing w:val="-8"/>
        </w:rPr>
        <w:t> </w:t>
      </w:r>
      <w:r>
        <w:rPr>
          <w:color w:val="231F20"/>
        </w:rPr>
        <w:t>out</w:t>
      </w:r>
      <w:r>
        <w:rPr>
          <w:color w:val="231F20"/>
          <w:spacing w:val="-8"/>
        </w:rPr>
        <w:t> </w:t>
      </w:r>
      <w:r>
        <w:rPr>
          <w:color w:val="231F20"/>
        </w:rPr>
        <w:t>by</w:t>
      </w:r>
      <w:r>
        <w:rPr>
          <w:color w:val="231F20"/>
          <w:spacing w:val="-8"/>
        </w:rPr>
        <w:t> </w:t>
      </w:r>
      <w:r>
        <w:rPr>
          <w:color w:val="231F20"/>
        </w:rPr>
        <w:t>the</w:t>
      </w:r>
      <w:r>
        <w:rPr>
          <w:color w:val="231F20"/>
          <w:spacing w:val="-8"/>
        </w:rPr>
        <w:t> </w:t>
      </w:r>
      <w:r>
        <w:rPr>
          <w:color w:val="231F20"/>
        </w:rPr>
        <w:t>INEGI</w:t>
      </w:r>
      <w:r>
        <w:rPr>
          <w:color w:val="231F20"/>
          <w:spacing w:val="-8"/>
        </w:rPr>
        <w:t> </w:t>
      </w:r>
      <w:r>
        <w:rPr>
          <w:color w:val="231F20"/>
        </w:rPr>
        <w:t>between</w:t>
      </w:r>
      <w:r>
        <w:rPr>
          <w:color w:val="231F20"/>
          <w:spacing w:val="-8"/>
        </w:rPr>
        <w:t> </w:t>
      </w:r>
      <w:r>
        <w:rPr>
          <w:color w:val="231F20"/>
        </w:rPr>
        <w:t>the</w:t>
      </w:r>
      <w:r>
        <w:rPr>
          <w:color w:val="231F20"/>
          <w:spacing w:val="-8"/>
        </w:rPr>
        <w:t> </w:t>
      </w:r>
      <w:r>
        <w:rPr>
          <w:color w:val="231F20"/>
        </w:rPr>
        <w:t>7</w:t>
      </w:r>
      <w:r>
        <w:rPr>
          <w:color w:val="231F20"/>
          <w:position w:val="7"/>
          <w:sz w:val="11"/>
        </w:rPr>
        <w:t>th</w:t>
      </w:r>
      <w:r>
        <w:rPr>
          <w:color w:val="231F20"/>
          <w:spacing w:val="15"/>
          <w:position w:val="7"/>
          <w:sz w:val="11"/>
        </w:rPr>
        <w:t> </w:t>
      </w:r>
      <w:r>
        <w:rPr>
          <w:color w:val="231F20"/>
        </w:rPr>
        <w:t>and 18</w:t>
      </w:r>
      <w:r>
        <w:rPr>
          <w:color w:val="231F20"/>
          <w:position w:val="7"/>
          <w:sz w:val="11"/>
        </w:rPr>
        <w:t>th </w:t>
      </w:r>
      <w:r>
        <w:rPr>
          <w:color w:val="231F20"/>
        </w:rPr>
        <w:t>of February, 2000; the 14</w:t>
      </w:r>
      <w:r>
        <w:rPr>
          <w:color w:val="231F20"/>
          <w:position w:val="7"/>
          <w:sz w:val="11"/>
        </w:rPr>
        <w:t>th </w:t>
      </w:r>
      <w:r>
        <w:rPr>
          <w:color w:val="231F20"/>
        </w:rPr>
        <w:t>was established as the official date. Together with the census, another questionnaire was applied to a sample of 2.2</w:t>
      </w:r>
      <w:r>
        <w:rPr>
          <w:color w:val="231F20"/>
          <w:spacing w:val="-15"/>
        </w:rPr>
        <w:t> </w:t>
      </w:r>
      <w:r>
        <w:rPr>
          <w:color w:val="231F20"/>
        </w:rPr>
        <w:t>million dwellings. The aim was to collect more information about a series of socio- demographic variables which it was not possible to include directly in the census.</w:t>
      </w:r>
    </w:p>
    <w:p>
      <w:pPr>
        <w:pStyle w:val="BodyText"/>
        <w:spacing w:line="240" w:lineRule="exact"/>
        <w:ind w:left="360" w:right="171" w:firstLine="283"/>
        <w:jc w:val="both"/>
      </w:pPr>
      <w:r>
        <w:rPr>
          <w:color w:val="231F20"/>
        </w:rPr>
        <w:t>This data has been put at the disposition of the public in the form of a compact disc so that any interested party can generate his own tables using the computer programmes he prefers. The data base consists of 3 archives:</w:t>
      </w:r>
    </w:p>
    <w:p>
      <w:pPr>
        <w:pStyle w:val="ListParagraph"/>
        <w:numPr>
          <w:ilvl w:val="2"/>
          <w:numId w:val="2"/>
        </w:numPr>
        <w:tabs>
          <w:tab w:pos="649" w:val="left" w:leader="none"/>
        </w:tabs>
        <w:spacing w:line="240" w:lineRule="exact" w:before="0" w:after="0"/>
        <w:ind w:left="360" w:right="171" w:firstLine="0"/>
        <w:jc w:val="both"/>
        <w:rPr>
          <w:sz w:val="20"/>
        </w:rPr>
      </w:pPr>
      <w:r>
        <w:rPr>
          <w:color w:val="231F20"/>
          <w:sz w:val="20"/>
        </w:rPr>
        <w:t>dwellings and homes; this includes such data as place of origin, characte- ristics of the dwelling, number of residents and families, together with those residents involved in international migration and the number of migrants in each family (b) characteristics of the people; this includes such variables as place of residence, kinship, sex, age, date of birth, whether or not registered in the social services, place of birth, disabilities, health services, place of resi- dence in 1995, speaker or not of an indigenous language, level of education, religion, ethnic group, marital status, economic characteristics, place of</w:t>
      </w:r>
      <w:r>
        <w:rPr>
          <w:color w:val="231F20"/>
          <w:spacing w:val="-27"/>
          <w:sz w:val="20"/>
        </w:rPr>
        <w:t> </w:t>
      </w:r>
      <w:r>
        <w:rPr>
          <w:color w:val="231F20"/>
          <w:sz w:val="20"/>
        </w:rPr>
        <w:t>work, other sources of income, and number of children. (c) International migration; every emigrant was registered, together with their place of</w:t>
      </w:r>
      <w:r>
        <w:rPr>
          <w:color w:val="231F20"/>
          <w:spacing w:val="-1"/>
          <w:sz w:val="20"/>
        </w:rPr>
        <w:t> </w:t>
      </w:r>
      <w:r>
        <w:rPr>
          <w:color w:val="231F20"/>
          <w:sz w:val="20"/>
        </w:rPr>
        <w:t>origin.</w:t>
      </w:r>
    </w:p>
    <w:p>
      <w:pPr>
        <w:spacing w:after="0" w:line="240" w:lineRule="exact"/>
        <w:jc w:val="both"/>
        <w:rPr>
          <w:sz w:val="20"/>
        </w:rPr>
        <w:sectPr>
          <w:pgSz w:w="9640" w:h="13040"/>
          <w:pgMar w:header="737" w:footer="779" w:top="920" w:bottom="960" w:left="1340" w:right="960"/>
        </w:sectPr>
      </w:pPr>
    </w:p>
    <w:p>
      <w:pPr>
        <w:pStyle w:val="BodyText"/>
        <w:spacing w:line="213" w:lineRule="exact"/>
        <w:ind w:left="173" w:firstLine="283"/>
        <w:jc w:val="both"/>
      </w:pPr>
      <w:r>
        <w:rPr>
          <w:color w:val="231F20"/>
        </w:rPr>
        <w:t>In this study the data were used in the following way. To analyze the total</w:t>
      </w:r>
    </w:p>
    <w:p>
      <w:pPr>
        <w:pStyle w:val="BodyText"/>
        <w:spacing w:line="240" w:lineRule="exact" w:before="3"/>
        <w:ind w:left="173" w:right="358"/>
        <w:jc w:val="both"/>
      </w:pPr>
      <w:r>
        <w:rPr>
          <w:color w:val="231F20"/>
        </w:rPr>
        <w:t>population of the state by age and sex, the information was taken directly from the census. For the remaining tables and graphs, the sample material was used together with its expansion factors in order to obtain estimations</w:t>
      </w:r>
      <w:r>
        <w:rPr>
          <w:color w:val="231F20"/>
          <w:spacing w:val="-12"/>
        </w:rPr>
        <w:t> </w:t>
      </w:r>
      <w:r>
        <w:rPr>
          <w:color w:val="231F20"/>
        </w:rPr>
        <w:t>of the totals. In the case of the latter, two archives were used: those of</w:t>
      </w:r>
      <w:r>
        <w:rPr>
          <w:color w:val="231F20"/>
          <w:spacing w:val="-14"/>
        </w:rPr>
        <w:t> </w:t>
      </w:r>
      <w:r>
        <w:rPr>
          <w:color w:val="231F20"/>
        </w:rPr>
        <w:t>dwellings and families. These were unified into a single archive so that they could be calculated simultaneously: that is, the socioeconomic characteristics of each person were integrated with the characteristics of his dwelling. In addition, using the methodology described, another archive was constructed in which emigrants from the state were localized in their places of destination in the republic,</w:t>
      </w:r>
      <w:r>
        <w:rPr>
          <w:color w:val="231F20"/>
          <w:spacing w:val="-8"/>
        </w:rPr>
        <w:t> </w:t>
      </w:r>
      <w:r>
        <w:rPr>
          <w:color w:val="231F20"/>
        </w:rPr>
        <w:t>with</w:t>
      </w:r>
      <w:r>
        <w:rPr>
          <w:color w:val="231F20"/>
          <w:spacing w:val="-8"/>
        </w:rPr>
        <w:t> </w:t>
      </w:r>
      <w:r>
        <w:rPr>
          <w:color w:val="231F20"/>
        </w:rPr>
        <w:t>the</w:t>
      </w:r>
      <w:r>
        <w:rPr>
          <w:color w:val="231F20"/>
          <w:spacing w:val="-8"/>
        </w:rPr>
        <w:t> </w:t>
      </w:r>
      <w:r>
        <w:rPr>
          <w:color w:val="231F20"/>
        </w:rPr>
        <w:t>aim</w:t>
      </w:r>
      <w:r>
        <w:rPr>
          <w:color w:val="231F20"/>
          <w:spacing w:val="-8"/>
        </w:rPr>
        <w:t> </w:t>
      </w:r>
      <w:r>
        <w:rPr>
          <w:color w:val="231F20"/>
        </w:rPr>
        <w:t>of</w:t>
      </w:r>
      <w:r>
        <w:rPr>
          <w:color w:val="231F20"/>
          <w:spacing w:val="-8"/>
        </w:rPr>
        <w:t> </w:t>
      </w:r>
      <w:r>
        <w:rPr>
          <w:color w:val="231F20"/>
        </w:rPr>
        <w:t>obtaining</w:t>
      </w:r>
      <w:r>
        <w:rPr>
          <w:color w:val="231F20"/>
          <w:spacing w:val="-8"/>
        </w:rPr>
        <w:t> </w:t>
      </w:r>
      <w:r>
        <w:rPr>
          <w:color w:val="231F20"/>
        </w:rPr>
        <w:t>the</w:t>
      </w:r>
      <w:r>
        <w:rPr>
          <w:color w:val="231F20"/>
          <w:spacing w:val="-8"/>
        </w:rPr>
        <w:t> </w:t>
      </w:r>
      <w:r>
        <w:rPr>
          <w:color w:val="231F20"/>
        </w:rPr>
        <w:t>age</w:t>
      </w:r>
      <w:r>
        <w:rPr>
          <w:color w:val="231F20"/>
          <w:spacing w:val="-8"/>
        </w:rPr>
        <w:t> </w:t>
      </w:r>
      <w:r>
        <w:rPr>
          <w:color w:val="231F20"/>
        </w:rPr>
        <w:t>and</w:t>
      </w:r>
      <w:r>
        <w:rPr>
          <w:color w:val="231F20"/>
          <w:spacing w:val="-8"/>
        </w:rPr>
        <w:t> </w:t>
      </w:r>
      <w:r>
        <w:rPr>
          <w:color w:val="231F20"/>
        </w:rPr>
        <w:t>gender</w:t>
      </w:r>
      <w:r>
        <w:rPr>
          <w:color w:val="231F20"/>
          <w:spacing w:val="-8"/>
        </w:rPr>
        <w:t> </w:t>
      </w:r>
      <w:r>
        <w:rPr>
          <w:color w:val="231F20"/>
        </w:rPr>
        <w:t>structure</w:t>
      </w:r>
      <w:r>
        <w:rPr>
          <w:color w:val="231F20"/>
          <w:spacing w:val="-8"/>
        </w:rPr>
        <w:t> </w:t>
      </w:r>
      <w:r>
        <w:rPr>
          <w:color w:val="231F20"/>
        </w:rPr>
        <w:t>of</w:t>
      </w:r>
      <w:r>
        <w:rPr>
          <w:color w:val="231F20"/>
          <w:spacing w:val="-8"/>
        </w:rPr>
        <w:t> </w:t>
      </w:r>
      <w:r>
        <w:rPr>
          <w:color w:val="231F20"/>
        </w:rPr>
        <w:t>this</w:t>
      </w:r>
      <w:r>
        <w:rPr>
          <w:color w:val="231F20"/>
          <w:spacing w:val="-8"/>
        </w:rPr>
        <w:t> </w:t>
      </w:r>
      <w:r>
        <w:rPr>
          <w:color w:val="231F20"/>
        </w:rPr>
        <w:t>group.</w:t>
      </w:r>
    </w:p>
    <w:p>
      <w:pPr>
        <w:pStyle w:val="Heading5"/>
        <w:spacing w:before="167"/>
        <w:jc w:val="both"/>
      </w:pPr>
      <w:r>
        <w:rPr>
          <w:color w:val="231F20"/>
        </w:rPr>
        <w:t>Background</w:t>
      </w:r>
    </w:p>
    <w:p>
      <w:pPr>
        <w:pStyle w:val="BodyText"/>
        <w:spacing w:line="240" w:lineRule="exact" w:before="203"/>
        <w:ind w:left="173" w:right="358" w:firstLine="283"/>
        <w:jc w:val="both"/>
      </w:pPr>
      <w:r>
        <w:rPr>
          <w:color w:val="231F20"/>
        </w:rPr>
        <w:t>At the beginning of the twentieth century, the state of the republic with most inhabitants was Jalisco (1,153,891), followed by Guanajuato (1,061,724), Puebla (1,021,183) Veracruz (981,030) and Michoacan (935,808). With a po- pulation of 934,463, the second census (1900) placed the state of Mexico in sixth place by population. The census showed 49.3% men and 50.7% women (Dirección</w:t>
      </w:r>
      <w:r>
        <w:rPr>
          <w:color w:val="231F20"/>
          <w:spacing w:val="-9"/>
        </w:rPr>
        <w:t> </w:t>
      </w:r>
      <w:r>
        <w:rPr>
          <w:color w:val="231F20"/>
        </w:rPr>
        <w:t>General</w:t>
      </w:r>
      <w:r>
        <w:rPr>
          <w:color w:val="231F20"/>
          <w:spacing w:val="-9"/>
        </w:rPr>
        <w:t> </w:t>
      </w:r>
      <w:r>
        <w:rPr>
          <w:color w:val="231F20"/>
        </w:rPr>
        <w:t>de</w:t>
      </w:r>
      <w:r>
        <w:rPr>
          <w:color w:val="231F20"/>
          <w:spacing w:val="-9"/>
        </w:rPr>
        <w:t> </w:t>
      </w:r>
      <w:r>
        <w:rPr>
          <w:color w:val="231F20"/>
        </w:rPr>
        <w:t>Estadística;</w:t>
      </w:r>
      <w:r>
        <w:rPr>
          <w:color w:val="231F20"/>
          <w:spacing w:val="-9"/>
        </w:rPr>
        <w:t> </w:t>
      </w:r>
      <w:r>
        <w:rPr>
          <w:color w:val="231F20"/>
        </w:rPr>
        <w:t>1903).</w:t>
      </w:r>
      <w:r>
        <w:rPr>
          <w:color w:val="231F20"/>
          <w:spacing w:val="-9"/>
        </w:rPr>
        <w:t> </w:t>
      </w:r>
      <w:r>
        <w:rPr>
          <w:color w:val="231F20"/>
        </w:rPr>
        <w:t>Immigrants</w:t>
      </w:r>
      <w:r>
        <w:rPr>
          <w:color w:val="231F20"/>
          <w:spacing w:val="-9"/>
        </w:rPr>
        <w:t> </w:t>
      </w:r>
      <w:r>
        <w:rPr>
          <w:color w:val="231F20"/>
        </w:rPr>
        <w:t>only</w:t>
      </w:r>
      <w:r>
        <w:rPr>
          <w:color w:val="231F20"/>
          <w:spacing w:val="-9"/>
        </w:rPr>
        <w:t> </w:t>
      </w:r>
      <w:r>
        <w:rPr>
          <w:color w:val="231F20"/>
        </w:rPr>
        <w:t>represented</w:t>
      </w:r>
      <w:r>
        <w:rPr>
          <w:color w:val="231F20"/>
          <w:spacing w:val="-9"/>
        </w:rPr>
        <w:t> </w:t>
      </w:r>
      <w:r>
        <w:rPr>
          <w:color w:val="231F20"/>
        </w:rPr>
        <w:t>1.6%</w:t>
      </w:r>
      <w:r>
        <w:rPr>
          <w:color w:val="231F20"/>
          <w:spacing w:val="-9"/>
        </w:rPr>
        <w:t> </w:t>
      </w:r>
      <w:r>
        <w:rPr>
          <w:color w:val="231F20"/>
        </w:rPr>
        <w:t>of the population while emigration was running at 14.1%. The state was losing population at that</w:t>
      </w:r>
      <w:r>
        <w:rPr>
          <w:color w:val="231F20"/>
          <w:spacing w:val="-1"/>
        </w:rPr>
        <w:t> </w:t>
      </w:r>
      <w:r>
        <w:rPr>
          <w:color w:val="231F20"/>
        </w:rPr>
        <w:t>time.</w:t>
      </w:r>
    </w:p>
    <w:p>
      <w:pPr>
        <w:pStyle w:val="BodyText"/>
        <w:spacing w:line="240" w:lineRule="exact"/>
        <w:ind w:left="173" w:right="358" w:firstLine="283"/>
        <w:jc w:val="both"/>
      </w:pPr>
      <w:r>
        <w:rPr>
          <w:color w:val="231F20"/>
        </w:rPr>
        <w:t>Seventy years later the state had risen to second place (with 3,833,185 inhabitants) surpassed only by Mexico City itself (6,874,165). This situation was maintained until 1980. In that year, the census registered a population of 7,564,335</w:t>
      </w:r>
      <w:r>
        <w:rPr>
          <w:color w:val="231F20"/>
          <w:spacing w:val="-6"/>
        </w:rPr>
        <w:t> </w:t>
      </w:r>
      <w:r>
        <w:rPr>
          <w:color w:val="231F20"/>
        </w:rPr>
        <w:t>in</w:t>
      </w:r>
      <w:r>
        <w:rPr>
          <w:color w:val="231F20"/>
          <w:spacing w:val="-6"/>
        </w:rPr>
        <w:t> </w:t>
      </w:r>
      <w:r>
        <w:rPr>
          <w:color w:val="231F20"/>
        </w:rPr>
        <w:t>Mexico</w:t>
      </w:r>
      <w:r>
        <w:rPr>
          <w:color w:val="231F20"/>
          <w:spacing w:val="-6"/>
        </w:rPr>
        <w:t> </w:t>
      </w:r>
      <w:r>
        <w:rPr>
          <w:color w:val="231F20"/>
        </w:rPr>
        <w:t>State,</w:t>
      </w:r>
      <w:r>
        <w:rPr>
          <w:color w:val="231F20"/>
          <w:spacing w:val="-5"/>
        </w:rPr>
        <w:t> </w:t>
      </w:r>
      <w:r>
        <w:rPr>
          <w:color w:val="231F20"/>
        </w:rPr>
        <w:t>of</w:t>
      </w:r>
      <w:r>
        <w:rPr>
          <w:color w:val="231F20"/>
          <w:spacing w:val="-6"/>
        </w:rPr>
        <w:t> </w:t>
      </w:r>
      <w:r>
        <w:rPr>
          <w:color w:val="231F20"/>
        </w:rPr>
        <w:t>which</w:t>
      </w:r>
      <w:r>
        <w:rPr>
          <w:color w:val="231F20"/>
          <w:spacing w:val="-6"/>
        </w:rPr>
        <w:t> </w:t>
      </w:r>
      <w:r>
        <w:rPr>
          <w:color w:val="231F20"/>
        </w:rPr>
        <w:t>38.4%</w:t>
      </w:r>
      <w:r>
        <w:rPr>
          <w:color w:val="231F20"/>
          <w:spacing w:val="-6"/>
        </w:rPr>
        <w:t> </w:t>
      </w:r>
      <w:r>
        <w:rPr>
          <w:color w:val="231F20"/>
        </w:rPr>
        <w:t>were</w:t>
      </w:r>
      <w:r>
        <w:rPr>
          <w:color w:val="231F20"/>
          <w:spacing w:val="-6"/>
        </w:rPr>
        <w:t> </w:t>
      </w:r>
      <w:r>
        <w:rPr>
          <w:color w:val="231F20"/>
        </w:rPr>
        <w:t>immigrants.</w:t>
      </w:r>
      <w:r>
        <w:rPr>
          <w:color w:val="231F20"/>
          <w:spacing w:val="-6"/>
        </w:rPr>
        <w:t> </w:t>
      </w:r>
      <w:r>
        <w:rPr>
          <w:color w:val="231F20"/>
        </w:rPr>
        <w:t>By</w:t>
      </w:r>
      <w:r>
        <w:rPr>
          <w:color w:val="231F20"/>
          <w:spacing w:val="-6"/>
        </w:rPr>
        <w:t> </w:t>
      </w:r>
      <w:r>
        <w:rPr>
          <w:color w:val="231F20"/>
        </w:rPr>
        <w:t>1990,</w:t>
      </w:r>
      <w:r>
        <w:rPr>
          <w:color w:val="231F20"/>
          <w:spacing w:val="-6"/>
        </w:rPr>
        <w:t> </w:t>
      </w:r>
      <w:r>
        <w:rPr>
          <w:color w:val="231F20"/>
        </w:rPr>
        <w:t>this</w:t>
      </w:r>
      <w:r>
        <w:rPr>
          <w:color w:val="231F20"/>
          <w:spacing w:val="-6"/>
        </w:rPr>
        <w:t> </w:t>
      </w:r>
      <w:r>
        <w:rPr>
          <w:color w:val="231F20"/>
        </w:rPr>
        <w:t>enti- ty had become the most populated in the republic with 9,815,795 inhabitants. (19.2% more than Mexico City, which had fallen into second place). Of these, 39.6% were immigrants. It seems unlikely that this situation of primacy will change,</w:t>
      </w:r>
      <w:r>
        <w:rPr>
          <w:color w:val="231F20"/>
          <w:spacing w:val="-9"/>
        </w:rPr>
        <w:t> </w:t>
      </w:r>
      <w:r>
        <w:rPr>
          <w:color w:val="231F20"/>
        </w:rPr>
        <w:t>at</w:t>
      </w:r>
      <w:r>
        <w:rPr>
          <w:color w:val="231F20"/>
          <w:spacing w:val="-9"/>
        </w:rPr>
        <w:t> </w:t>
      </w:r>
      <w:r>
        <w:rPr>
          <w:color w:val="231F20"/>
        </w:rPr>
        <w:t>any</w:t>
      </w:r>
      <w:r>
        <w:rPr>
          <w:color w:val="231F20"/>
          <w:spacing w:val="-9"/>
        </w:rPr>
        <w:t> </w:t>
      </w:r>
      <w:r>
        <w:rPr>
          <w:color w:val="231F20"/>
        </w:rPr>
        <w:t>rate</w:t>
      </w:r>
      <w:r>
        <w:rPr>
          <w:color w:val="231F20"/>
          <w:spacing w:val="-9"/>
        </w:rPr>
        <w:t> </w:t>
      </w:r>
      <w:r>
        <w:rPr>
          <w:color w:val="231F20"/>
        </w:rPr>
        <w:t>in</w:t>
      </w:r>
      <w:r>
        <w:rPr>
          <w:color w:val="231F20"/>
          <w:spacing w:val="-9"/>
        </w:rPr>
        <w:t> </w:t>
      </w:r>
      <w:r>
        <w:rPr>
          <w:color w:val="231F20"/>
        </w:rPr>
        <w:t>the</w:t>
      </w:r>
      <w:r>
        <w:rPr>
          <w:color w:val="231F20"/>
          <w:spacing w:val="-9"/>
        </w:rPr>
        <w:t> </w:t>
      </w:r>
      <w:r>
        <w:rPr>
          <w:color w:val="231F20"/>
        </w:rPr>
        <w:t>short</w:t>
      </w:r>
      <w:r>
        <w:rPr>
          <w:color w:val="231F20"/>
          <w:spacing w:val="-9"/>
        </w:rPr>
        <w:t> </w:t>
      </w:r>
      <w:r>
        <w:rPr>
          <w:color w:val="231F20"/>
        </w:rPr>
        <w:t>or</w:t>
      </w:r>
      <w:r>
        <w:rPr>
          <w:color w:val="231F20"/>
          <w:spacing w:val="-9"/>
        </w:rPr>
        <w:t> </w:t>
      </w:r>
      <w:r>
        <w:rPr>
          <w:color w:val="231F20"/>
        </w:rPr>
        <w:t>medium</w:t>
      </w:r>
      <w:r>
        <w:rPr>
          <w:color w:val="231F20"/>
          <w:spacing w:val="-9"/>
        </w:rPr>
        <w:t> </w:t>
      </w:r>
      <w:r>
        <w:rPr>
          <w:color w:val="231F20"/>
        </w:rPr>
        <w:t>term.</w:t>
      </w:r>
      <w:r>
        <w:rPr>
          <w:color w:val="231F20"/>
          <w:spacing w:val="-9"/>
        </w:rPr>
        <w:t> </w:t>
      </w:r>
      <w:r>
        <w:rPr>
          <w:color w:val="231F20"/>
        </w:rPr>
        <w:t>The</w:t>
      </w:r>
      <w:r>
        <w:rPr>
          <w:color w:val="231F20"/>
          <w:spacing w:val="-9"/>
        </w:rPr>
        <w:t> </w:t>
      </w:r>
      <w:r>
        <w:rPr>
          <w:color w:val="231F20"/>
        </w:rPr>
        <w:t>census</w:t>
      </w:r>
      <w:r>
        <w:rPr>
          <w:color w:val="231F20"/>
          <w:spacing w:val="-9"/>
        </w:rPr>
        <w:t> </w:t>
      </w:r>
      <w:r>
        <w:rPr>
          <w:color w:val="231F20"/>
        </w:rPr>
        <w:t>of</w:t>
      </w:r>
      <w:r>
        <w:rPr>
          <w:color w:val="231F20"/>
          <w:spacing w:val="-9"/>
        </w:rPr>
        <w:t> </w:t>
      </w:r>
      <w:r>
        <w:rPr>
          <w:color w:val="231F20"/>
        </w:rPr>
        <w:t>2000</w:t>
      </w:r>
      <w:r>
        <w:rPr>
          <w:color w:val="231F20"/>
          <w:spacing w:val="-9"/>
        </w:rPr>
        <w:t> </w:t>
      </w:r>
      <w:r>
        <w:rPr>
          <w:color w:val="231F20"/>
        </w:rPr>
        <w:t>gave</w:t>
      </w:r>
      <w:r>
        <w:rPr>
          <w:color w:val="231F20"/>
          <w:spacing w:val="-9"/>
        </w:rPr>
        <w:t> </w:t>
      </w:r>
      <w:r>
        <w:rPr>
          <w:color w:val="231F20"/>
        </w:rPr>
        <w:t>a</w:t>
      </w:r>
      <w:r>
        <w:rPr>
          <w:color w:val="231F20"/>
          <w:spacing w:val="-9"/>
        </w:rPr>
        <w:t> </w:t>
      </w:r>
      <w:r>
        <w:rPr>
          <w:color w:val="231F20"/>
        </w:rPr>
        <w:t>po- pulation of 13,096, 686 inhabitants with an annual growth rate for the decade of 2.95% More than two thirds of the population consists of immigrants from other states of the republic. That is, the state acts as a magnet for</w:t>
      </w:r>
      <w:r>
        <w:rPr>
          <w:color w:val="231F20"/>
          <w:spacing w:val="-1"/>
        </w:rPr>
        <w:t> </w:t>
      </w:r>
      <w:r>
        <w:rPr>
          <w:color w:val="231F20"/>
        </w:rPr>
        <w:t>immigrants.</w:t>
      </w:r>
    </w:p>
    <w:p>
      <w:pPr>
        <w:pStyle w:val="Heading5"/>
        <w:spacing w:before="167"/>
        <w:jc w:val="both"/>
      </w:pPr>
      <w:r>
        <w:rPr>
          <w:color w:val="231F20"/>
        </w:rPr>
        <w:t>Analysis of the census material</w:t>
      </w:r>
    </w:p>
    <w:p>
      <w:pPr>
        <w:pStyle w:val="BodyText"/>
        <w:spacing w:before="8"/>
        <w:rPr>
          <w:sz w:val="27"/>
        </w:rPr>
      </w:pPr>
    </w:p>
    <w:p>
      <w:pPr>
        <w:pStyle w:val="Heading6"/>
        <w:numPr>
          <w:ilvl w:val="0"/>
          <w:numId w:val="3"/>
        </w:numPr>
        <w:tabs>
          <w:tab w:pos="471" w:val="left" w:leader="none"/>
        </w:tabs>
        <w:spacing w:line="240" w:lineRule="exact" w:before="0" w:after="0"/>
        <w:ind w:left="173" w:right="358" w:firstLine="0"/>
        <w:jc w:val="both"/>
      </w:pPr>
      <w:r>
        <w:rPr>
          <w:i/>
          <w:color w:val="231F20"/>
        </w:rPr>
        <w:t>Characteristics of the populations: total population, immigrants and </w:t>
      </w:r>
      <w:r>
        <w:rPr>
          <w:color w:val="231F20"/>
        </w:rPr>
        <w:t>emigrants</w:t>
      </w:r>
    </w:p>
    <w:p>
      <w:pPr>
        <w:pStyle w:val="BodyText"/>
        <w:spacing w:line="240" w:lineRule="exact" w:before="170"/>
        <w:ind w:left="173" w:right="358" w:firstLine="283"/>
        <w:jc w:val="both"/>
      </w:pPr>
      <w:r>
        <w:rPr>
          <w:color w:val="231F20"/>
        </w:rPr>
        <w:t>The census of 2000 reports Mexico State as having 13,096,686 inhabitants. This makes it the largest entity by population (13.4%) in the republic. This despite having lost 721,921 citizens (8.6%) to other parts of the country. On</w:t>
      </w:r>
    </w:p>
    <w:p>
      <w:pPr>
        <w:spacing w:after="0" w:line="240" w:lineRule="exact"/>
        <w:jc w:val="both"/>
        <w:sectPr>
          <w:pgSz w:w="9640" w:h="13040"/>
          <w:pgMar w:header="954" w:footer="779" w:top="1380" w:bottom="960" w:left="960" w:right="1340"/>
        </w:sectPr>
      </w:pPr>
    </w:p>
    <w:p>
      <w:pPr>
        <w:pStyle w:val="BodyText"/>
        <w:spacing w:before="8"/>
        <w:rPr>
          <w:sz w:val="27"/>
        </w:rPr>
      </w:pPr>
    </w:p>
    <w:p>
      <w:pPr>
        <w:pStyle w:val="BodyText"/>
        <w:spacing w:line="235" w:lineRule="auto" w:before="47"/>
        <w:ind w:left="360" w:right="171"/>
        <w:jc w:val="both"/>
      </w:pPr>
      <w:r>
        <w:rPr/>
        <w:drawing>
          <wp:anchor distT="0" distB="0" distL="0" distR="0" allowOverlap="1" layoutInCell="1" locked="0" behindDoc="0" simplePos="0" relativeHeight="1096">
            <wp:simplePos x="0" y="0"/>
            <wp:positionH relativeFrom="page">
              <wp:posOffset>1086700</wp:posOffset>
            </wp:positionH>
            <wp:positionV relativeFrom="paragraph">
              <wp:posOffset>592262</wp:posOffset>
            </wp:positionV>
            <wp:extent cx="4318601" cy="2700528"/>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4" cstate="print"/>
                    <a:stretch>
                      <a:fillRect/>
                    </a:stretch>
                  </pic:blipFill>
                  <pic:spPr>
                    <a:xfrm>
                      <a:off x="0" y="0"/>
                      <a:ext cx="4318601" cy="2700528"/>
                    </a:xfrm>
                    <a:prstGeom prst="rect">
                      <a:avLst/>
                    </a:prstGeom>
                  </pic:spPr>
                </pic:pic>
              </a:graphicData>
            </a:graphic>
          </wp:anchor>
        </w:drawing>
      </w:r>
      <w:r>
        <w:rPr>
          <w:color w:val="231F20"/>
        </w:rPr>
        <w:t>the other hand, 5,394,411 immigrants have settled in the state from the rest</w:t>
      </w:r>
      <w:r>
        <w:rPr>
          <w:color w:val="231F20"/>
          <w:spacing w:val="-13"/>
        </w:rPr>
        <w:t> </w:t>
      </w:r>
      <w:r>
        <w:rPr>
          <w:color w:val="231F20"/>
        </w:rPr>
        <w:t>of the republic (an extraordinary 41.2% of the present population). See Table 1 and Graph</w:t>
      </w:r>
      <w:r>
        <w:rPr>
          <w:color w:val="231F20"/>
          <w:spacing w:val="-1"/>
        </w:rPr>
        <w:t> </w:t>
      </w:r>
      <w:r>
        <w:rPr>
          <w:color w:val="231F20"/>
        </w:rPr>
        <w:t>1.</w:t>
      </w:r>
    </w:p>
    <w:p>
      <w:pPr>
        <w:pStyle w:val="BodyText"/>
      </w:pPr>
    </w:p>
    <w:p>
      <w:pPr>
        <w:pStyle w:val="BodyText"/>
      </w:pPr>
    </w:p>
    <w:p>
      <w:pPr>
        <w:pStyle w:val="BodyText"/>
      </w:pPr>
    </w:p>
    <w:p>
      <w:pPr>
        <w:pStyle w:val="BodyText"/>
      </w:pPr>
    </w:p>
    <w:p>
      <w:pPr>
        <w:pStyle w:val="BodyText"/>
        <w:spacing w:before="12"/>
        <w:rPr>
          <w:sz w:val="23"/>
        </w:rPr>
      </w:pPr>
      <w:r>
        <w:rPr/>
        <w:drawing>
          <wp:anchor distT="0" distB="0" distL="0" distR="0" allowOverlap="1" layoutInCell="1" locked="0" behindDoc="0" simplePos="0" relativeHeight="1120">
            <wp:simplePos x="0" y="0"/>
            <wp:positionH relativeFrom="page">
              <wp:posOffset>1864416</wp:posOffset>
            </wp:positionH>
            <wp:positionV relativeFrom="paragraph">
              <wp:posOffset>229605</wp:posOffset>
            </wp:positionV>
            <wp:extent cx="2723973" cy="2292286"/>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2723973" cy="2292286"/>
                    </a:xfrm>
                    <a:prstGeom prst="rect">
                      <a:avLst/>
                    </a:prstGeom>
                  </pic:spPr>
                </pic:pic>
              </a:graphicData>
            </a:graphic>
          </wp:anchor>
        </w:drawing>
      </w:r>
    </w:p>
    <w:p>
      <w:pPr>
        <w:spacing w:after="0"/>
        <w:rPr>
          <w:sz w:val="23"/>
        </w:rPr>
        <w:sectPr>
          <w:pgSz w:w="9640" w:h="13040"/>
          <w:pgMar w:header="737" w:footer="779" w:top="920" w:bottom="960" w:left="1340" w:right="960"/>
        </w:sectPr>
      </w:pPr>
    </w:p>
    <w:p>
      <w:pPr>
        <w:pStyle w:val="BodyText"/>
        <w:ind w:left="538"/>
      </w:pPr>
      <w:r>
        <w:rPr/>
        <w:drawing>
          <wp:inline distT="0" distB="0" distL="0" distR="0">
            <wp:extent cx="3797025" cy="2454306"/>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6" cstate="print"/>
                    <a:stretch>
                      <a:fillRect/>
                    </a:stretch>
                  </pic:blipFill>
                  <pic:spPr>
                    <a:xfrm>
                      <a:off x="0" y="0"/>
                      <a:ext cx="3797025" cy="2454306"/>
                    </a:xfrm>
                    <a:prstGeom prst="rect">
                      <a:avLst/>
                    </a:prstGeom>
                  </pic:spPr>
                </pic:pic>
              </a:graphicData>
            </a:graphic>
          </wp:inline>
        </w:drawing>
      </w:r>
      <w:r>
        <w:rPr/>
      </w:r>
    </w:p>
    <w:p>
      <w:pPr>
        <w:pStyle w:val="BodyText"/>
        <w:spacing w:line="220" w:lineRule="exact" w:before="52"/>
        <w:ind w:left="173" w:right="358" w:firstLine="283"/>
        <w:jc w:val="both"/>
      </w:pPr>
      <w:r>
        <w:rPr>
          <w:color w:val="231F20"/>
        </w:rPr>
        <w:t>Of the present population, 48% are male and 51.1% female. The corres- ponding figures for immigrants are 48% and 52% and for emigrants 46.1% and 53.9%. Within these figures it is possible to isolate cohorts which are</w:t>
      </w:r>
      <w:r>
        <w:rPr>
          <w:color w:val="231F20"/>
          <w:spacing w:val="-26"/>
        </w:rPr>
        <w:t> </w:t>
      </w:r>
      <w:r>
        <w:rPr>
          <w:color w:val="231F20"/>
        </w:rPr>
        <w:t>par- ticularly interesting. For example, 60% of the state’s inhabitants are over 18 (58.8% of males, 61.1% of females). Of these, 51.6% were born elsewhere in the republic (47.2% males and 52.8% females). If the population is divided by age, it is found that: those under 14 make up 33.5%, those from 15 to 64 cons- titute 62.7%, and those over 65 are 3.8%. Immigrants under 14 number 4.5%, those</w:t>
      </w:r>
      <w:r>
        <w:rPr>
          <w:color w:val="231F20"/>
          <w:spacing w:val="-8"/>
        </w:rPr>
        <w:t> </w:t>
      </w:r>
      <w:r>
        <w:rPr>
          <w:color w:val="231F20"/>
        </w:rPr>
        <w:t>from</w:t>
      </w:r>
      <w:r>
        <w:rPr>
          <w:color w:val="231F20"/>
          <w:spacing w:val="-8"/>
        </w:rPr>
        <w:t> </w:t>
      </w:r>
      <w:r>
        <w:rPr>
          <w:color w:val="231F20"/>
        </w:rPr>
        <w:t>14</w:t>
      </w:r>
      <w:r>
        <w:rPr>
          <w:color w:val="231F20"/>
          <w:spacing w:val="-8"/>
        </w:rPr>
        <w:t> </w:t>
      </w:r>
      <w:r>
        <w:rPr>
          <w:color w:val="231F20"/>
        </w:rPr>
        <w:t>to</w:t>
      </w:r>
      <w:r>
        <w:rPr>
          <w:color w:val="231F20"/>
          <w:spacing w:val="-8"/>
        </w:rPr>
        <w:t> </w:t>
      </w:r>
      <w:r>
        <w:rPr>
          <w:color w:val="231F20"/>
        </w:rPr>
        <w:t>65</w:t>
      </w:r>
      <w:r>
        <w:rPr>
          <w:color w:val="231F20"/>
          <w:spacing w:val="-8"/>
        </w:rPr>
        <w:t> </w:t>
      </w:r>
      <w:r>
        <w:rPr>
          <w:color w:val="231F20"/>
        </w:rPr>
        <w:t>constitute</w:t>
      </w:r>
      <w:r>
        <w:rPr>
          <w:color w:val="231F20"/>
          <w:spacing w:val="-8"/>
        </w:rPr>
        <w:t> </w:t>
      </w:r>
      <w:r>
        <w:rPr>
          <w:color w:val="231F20"/>
        </w:rPr>
        <w:t>75.3%</w:t>
      </w:r>
      <w:r>
        <w:rPr>
          <w:color w:val="231F20"/>
          <w:spacing w:val="-8"/>
        </w:rPr>
        <w:t> </w:t>
      </w:r>
      <w:r>
        <w:rPr>
          <w:color w:val="231F20"/>
        </w:rPr>
        <w:t>(the</w:t>
      </w:r>
      <w:r>
        <w:rPr>
          <w:color w:val="231F20"/>
          <w:spacing w:val="-8"/>
        </w:rPr>
        <w:t> </w:t>
      </w:r>
      <w:r>
        <w:rPr>
          <w:color w:val="231F20"/>
        </w:rPr>
        <w:t>amphora)</w:t>
      </w:r>
      <w:r>
        <w:rPr>
          <w:color w:val="231F20"/>
          <w:spacing w:val="-8"/>
        </w:rPr>
        <w:t> </w:t>
      </w:r>
      <w:r>
        <w:rPr>
          <w:color w:val="231F20"/>
        </w:rPr>
        <w:t>and</w:t>
      </w:r>
      <w:r>
        <w:rPr>
          <w:color w:val="231F20"/>
          <w:spacing w:val="-8"/>
        </w:rPr>
        <w:t> </w:t>
      </w:r>
      <w:r>
        <w:rPr>
          <w:color w:val="231F20"/>
        </w:rPr>
        <w:t>those</w:t>
      </w:r>
      <w:r>
        <w:rPr>
          <w:color w:val="231F20"/>
          <w:spacing w:val="-8"/>
        </w:rPr>
        <w:t> </w:t>
      </w:r>
      <w:r>
        <w:rPr>
          <w:color w:val="231F20"/>
        </w:rPr>
        <w:t>over</w:t>
      </w:r>
      <w:r>
        <w:rPr>
          <w:color w:val="231F20"/>
          <w:spacing w:val="-8"/>
        </w:rPr>
        <w:t> </w:t>
      </w:r>
      <w:r>
        <w:rPr>
          <w:color w:val="231F20"/>
        </w:rPr>
        <w:t>65</w:t>
      </w:r>
      <w:r>
        <w:rPr>
          <w:color w:val="231F20"/>
          <w:spacing w:val="-8"/>
        </w:rPr>
        <w:t> </w:t>
      </w:r>
      <w:r>
        <w:rPr>
          <w:color w:val="231F20"/>
        </w:rPr>
        <w:t>make</w:t>
      </w:r>
      <w:r>
        <w:rPr>
          <w:color w:val="231F20"/>
          <w:spacing w:val="-8"/>
        </w:rPr>
        <w:t> </w:t>
      </w:r>
      <w:r>
        <w:rPr>
          <w:color w:val="231F20"/>
        </w:rPr>
        <w:t>up 20.2%.</w:t>
      </w:r>
      <w:r>
        <w:rPr>
          <w:color w:val="231F20"/>
          <w:spacing w:val="-7"/>
        </w:rPr>
        <w:t> </w:t>
      </w:r>
      <w:r>
        <w:rPr>
          <w:color w:val="231F20"/>
        </w:rPr>
        <w:t>Emigrants</w:t>
      </w:r>
      <w:r>
        <w:rPr>
          <w:color w:val="231F20"/>
          <w:spacing w:val="-7"/>
        </w:rPr>
        <w:t> </w:t>
      </w:r>
      <w:r>
        <w:rPr>
          <w:color w:val="231F20"/>
        </w:rPr>
        <w:t>under</w:t>
      </w:r>
      <w:r>
        <w:rPr>
          <w:color w:val="231F20"/>
          <w:spacing w:val="-7"/>
        </w:rPr>
        <w:t> </w:t>
      </w:r>
      <w:r>
        <w:rPr>
          <w:color w:val="231F20"/>
        </w:rPr>
        <w:t>14</w:t>
      </w:r>
      <w:r>
        <w:rPr>
          <w:color w:val="231F20"/>
          <w:spacing w:val="-7"/>
        </w:rPr>
        <w:t> </w:t>
      </w:r>
      <w:r>
        <w:rPr>
          <w:color w:val="231F20"/>
        </w:rPr>
        <w:t>number</w:t>
      </w:r>
      <w:r>
        <w:rPr>
          <w:color w:val="231F20"/>
          <w:spacing w:val="-7"/>
        </w:rPr>
        <w:t> </w:t>
      </w:r>
      <w:r>
        <w:rPr>
          <w:color w:val="231F20"/>
        </w:rPr>
        <w:t>8.5%,</w:t>
      </w:r>
      <w:r>
        <w:rPr>
          <w:color w:val="231F20"/>
          <w:spacing w:val="-7"/>
        </w:rPr>
        <w:t> </w:t>
      </w:r>
      <w:r>
        <w:rPr>
          <w:color w:val="231F20"/>
        </w:rPr>
        <w:t>those</w:t>
      </w:r>
      <w:r>
        <w:rPr>
          <w:color w:val="231F20"/>
          <w:spacing w:val="-7"/>
        </w:rPr>
        <w:t> </w:t>
      </w:r>
      <w:r>
        <w:rPr>
          <w:color w:val="231F20"/>
        </w:rPr>
        <w:t>from</w:t>
      </w:r>
      <w:r>
        <w:rPr>
          <w:color w:val="231F20"/>
          <w:spacing w:val="-7"/>
        </w:rPr>
        <w:t> </w:t>
      </w:r>
      <w:r>
        <w:rPr>
          <w:color w:val="231F20"/>
        </w:rPr>
        <w:t>14</w:t>
      </w:r>
      <w:r>
        <w:rPr>
          <w:color w:val="231F20"/>
          <w:spacing w:val="-7"/>
        </w:rPr>
        <w:t> </w:t>
      </w:r>
      <w:r>
        <w:rPr>
          <w:color w:val="231F20"/>
        </w:rPr>
        <w:t>to</w:t>
      </w:r>
      <w:r>
        <w:rPr>
          <w:color w:val="231F20"/>
          <w:spacing w:val="-7"/>
        </w:rPr>
        <w:t> </w:t>
      </w:r>
      <w:r>
        <w:rPr>
          <w:color w:val="231F20"/>
        </w:rPr>
        <w:t>65,</w:t>
      </w:r>
      <w:r>
        <w:rPr>
          <w:color w:val="231F20"/>
          <w:spacing w:val="-7"/>
        </w:rPr>
        <w:t> </w:t>
      </w:r>
      <w:r>
        <w:rPr>
          <w:color w:val="231F20"/>
        </w:rPr>
        <w:t>68.7%</w:t>
      </w:r>
      <w:r>
        <w:rPr>
          <w:color w:val="231F20"/>
          <w:spacing w:val="-7"/>
        </w:rPr>
        <w:t> </w:t>
      </w:r>
      <w:r>
        <w:rPr>
          <w:color w:val="231F20"/>
        </w:rPr>
        <w:t>and</w:t>
      </w:r>
      <w:r>
        <w:rPr>
          <w:color w:val="231F20"/>
          <w:spacing w:val="-7"/>
        </w:rPr>
        <w:t> </w:t>
      </w:r>
      <w:r>
        <w:rPr>
          <w:color w:val="231F20"/>
        </w:rPr>
        <w:t>those over 65, 22.8%. (These figures are based on data from Table 1).</w:t>
      </w:r>
    </w:p>
    <w:p>
      <w:pPr>
        <w:pStyle w:val="BodyText"/>
        <w:spacing w:line="240" w:lineRule="exact" w:before="4"/>
        <w:ind w:left="173" w:right="358" w:firstLine="283"/>
        <w:jc w:val="both"/>
      </w:pPr>
      <w:r>
        <w:rPr>
          <w:color w:val="231F20"/>
        </w:rPr>
        <w:t>Age group pyramids and profiles of these three populations can be found in graphs 3 to 5. The first shows the age groups of the immigrant population. It can be seen that the baseline which represents the generations born in the first</w:t>
      </w:r>
      <w:r>
        <w:rPr>
          <w:color w:val="231F20"/>
          <w:spacing w:val="-6"/>
        </w:rPr>
        <w:t> </w:t>
      </w:r>
      <w:r>
        <w:rPr>
          <w:color w:val="231F20"/>
        </w:rPr>
        <w:t>five</w:t>
      </w:r>
      <w:r>
        <w:rPr>
          <w:color w:val="231F20"/>
          <w:spacing w:val="-6"/>
        </w:rPr>
        <w:t> </w:t>
      </w:r>
      <w:r>
        <w:rPr>
          <w:color w:val="231F20"/>
        </w:rPr>
        <w:t>years</w:t>
      </w:r>
      <w:r>
        <w:rPr>
          <w:color w:val="231F20"/>
          <w:spacing w:val="-6"/>
        </w:rPr>
        <w:t> </w:t>
      </w:r>
      <w:r>
        <w:rPr>
          <w:color w:val="231F20"/>
        </w:rPr>
        <w:t>of</w:t>
      </w:r>
      <w:r>
        <w:rPr>
          <w:color w:val="231F20"/>
          <w:spacing w:val="-5"/>
        </w:rPr>
        <w:t> </w:t>
      </w:r>
      <w:r>
        <w:rPr>
          <w:color w:val="231F20"/>
        </w:rPr>
        <w:t>the</w:t>
      </w:r>
      <w:r>
        <w:rPr>
          <w:color w:val="231F20"/>
          <w:spacing w:val="-6"/>
        </w:rPr>
        <w:t> </w:t>
      </w:r>
      <w:r>
        <w:rPr>
          <w:color w:val="231F20"/>
        </w:rPr>
        <w:t>1990s</w:t>
      </w:r>
      <w:r>
        <w:rPr>
          <w:color w:val="231F20"/>
          <w:spacing w:val="-6"/>
        </w:rPr>
        <w:t> </w:t>
      </w:r>
      <w:r>
        <w:rPr>
          <w:color w:val="231F20"/>
        </w:rPr>
        <w:t>is</w:t>
      </w:r>
      <w:r>
        <w:rPr>
          <w:color w:val="231F20"/>
          <w:spacing w:val="-6"/>
        </w:rPr>
        <w:t> </w:t>
      </w:r>
      <w:r>
        <w:rPr>
          <w:color w:val="231F20"/>
        </w:rPr>
        <w:t>slightly</w:t>
      </w:r>
      <w:r>
        <w:rPr>
          <w:color w:val="231F20"/>
          <w:spacing w:val="-6"/>
        </w:rPr>
        <w:t> </w:t>
      </w:r>
      <w:r>
        <w:rPr>
          <w:color w:val="231F20"/>
        </w:rPr>
        <w:t>narrower</w:t>
      </w:r>
      <w:r>
        <w:rPr>
          <w:color w:val="231F20"/>
          <w:spacing w:val="-6"/>
        </w:rPr>
        <w:t> </w:t>
      </w:r>
      <w:r>
        <w:rPr>
          <w:color w:val="231F20"/>
        </w:rPr>
        <w:t>than</w:t>
      </w:r>
      <w:r>
        <w:rPr>
          <w:color w:val="231F20"/>
          <w:spacing w:val="-6"/>
        </w:rPr>
        <w:t> </w:t>
      </w:r>
      <w:r>
        <w:rPr>
          <w:color w:val="231F20"/>
        </w:rPr>
        <w:t>that</w:t>
      </w:r>
      <w:r>
        <w:rPr>
          <w:color w:val="231F20"/>
          <w:spacing w:val="-6"/>
        </w:rPr>
        <w:t> </w:t>
      </w:r>
      <w:r>
        <w:rPr>
          <w:color w:val="231F20"/>
        </w:rPr>
        <w:t>which</w:t>
      </w:r>
      <w:r>
        <w:rPr>
          <w:color w:val="231F20"/>
          <w:spacing w:val="-6"/>
        </w:rPr>
        <w:t> </w:t>
      </w:r>
      <w:r>
        <w:rPr>
          <w:color w:val="231F20"/>
        </w:rPr>
        <w:t>represents</w:t>
      </w:r>
      <w:r>
        <w:rPr>
          <w:color w:val="231F20"/>
          <w:spacing w:val="-6"/>
        </w:rPr>
        <w:t> </w:t>
      </w:r>
      <w:r>
        <w:rPr>
          <w:color w:val="231F20"/>
        </w:rPr>
        <w:t>the generations from 1995 to 2000. This may indicate one of two things: either an increase in births or the arrival of a large number of immigrant families with small children. Starting with the 5-9 age group, the pyramid becomes less irregular.</w:t>
      </w:r>
      <w:r>
        <w:rPr>
          <w:color w:val="231F20"/>
          <w:spacing w:val="-9"/>
        </w:rPr>
        <w:t> </w:t>
      </w:r>
      <w:r>
        <w:rPr>
          <w:color w:val="231F20"/>
        </w:rPr>
        <w:t>This</w:t>
      </w:r>
      <w:r>
        <w:rPr>
          <w:color w:val="231F20"/>
          <w:spacing w:val="-9"/>
        </w:rPr>
        <w:t> </w:t>
      </w:r>
      <w:r>
        <w:rPr>
          <w:color w:val="231F20"/>
        </w:rPr>
        <w:t>may</w:t>
      </w:r>
      <w:r>
        <w:rPr>
          <w:color w:val="231F20"/>
          <w:spacing w:val="-9"/>
        </w:rPr>
        <w:t> </w:t>
      </w:r>
      <w:r>
        <w:rPr>
          <w:color w:val="231F20"/>
        </w:rPr>
        <w:t>also</w:t>
      </w:r>
      <w:r>
        <w:rPr>
          <w:color w:val="231F20"/>
          <w:spacing w:val="-9"/>
        </w:rPr>
        <w:t> </w:t>
      </w:r>
      <w:r>
        <w:rPr>
          <w:color w:val="231F20"/>
        </w:rPr>
        <w:t>be</w:t>
      </w:r>
      <w:r>
        <w:rPr>
          <w:color w:val="231F20"/>
          <w:spacing w:val="-9"/>
        </w:rPr>
        <w:t> </w:t>
      </w:r>
      <w:r>
        <w:rPr>
          <w:color w:val="231F20"/>
        </w:rPr>
        <w:t>the</w:t>
      </w:r>
      <w:r>
        <w:rPr>
          <w:color w:val="231F20"/>
          <w:spacing w:val="-9"/>
        </w:rPr>
        <w:t> </w:t>
      </w:r>
      <w:r>
        <w:rPr>
          <w:color w:val="231F20"/>
        </w:rPr>
        <w:t>result</w:t>
      </w:r>
      <w:r>
        <w:rPr>
          <w:color w:val="231F20"/>
          <w:spacing w:val="-9"/>
        </w:rPr>
        <w:t> </w:t>
      </w:r>
      <w:r>
        <w:rPr>
          <w:color w:val="231F20"/>
        </w:rPr>
        <w:t>of</w:t>
      </w:r>
      <w:r>
        <w:rPr>
          <w:color w:val="231F20"/>
          <w:spacing w:val="-9"/>
        </w:rPr>
        <w:t> </w:t>
      </w:r>
      <w:r>
        <w:rPr>
          <w:color w:val="231F20"/>
        </w:rPr>
        <w:t>immigration.</w:t>
      </w:r>
      <w:r>
        <w:rPr>
          <w:color w:val="231F20"/>
          <w:spacing w:val="-9"/>
        </w:rPr>
        <w:t> </w:t>
      </w:r>
      <w:r>
        <w:rPr>
          <w:color w:val="231F20"/>
        </w:rPr>
        <w:t>That</w:t>
      </w:r>
      <w:r>
        <w:rPr>
          <w:color w:val="231F20"/>
          <w:spacing w:val="-9"/>
        </w:rPr>
        <w:t> </w:t>
      </w:r>
      <w:r>
        <w:rPr>
          <w:color w:val="231F20"/>
        </w:rPr>
        <w:t>is,</w:t>
      </w:r>
      <w:r>
        <w:rPr>
          <w:color w:val="231F20"/>
          <w:spacing w:val="-9"/>
        </w:rPr>
        <w:t> </w:t>
      </w:r>
      <w:r>
        <w:rPr>
          <w:color w:val="231F20"/>
        </w:rPr>
        <w:t>the</w:t>
      </w:r>
      <w:r>
        <w:rPr>
          <w:color w:val="231F20"/>
          <w:spacing w:val="-9"/>
        </w:rPr>
        <w:t> </w:t>
      </w:r>
      <w:r>
        <w:rPr>
          <w:color w:val="231F20"/>
        </w:rPr>
        <w:t>reductions</w:t>
      </w:r>
      <w:r>
        <w:rPr>
          <w:color w:val="231F20"/>
          <w:spacing w:val="-9"/>
        </w:rPr>
        <w:t> </w:t>
      </w:r>
      <w:r>
        <w:rPr>
          <w:color w:val="231F20"/>
        </w:rPr>
        <w:t>in fecundity which occurred in the whole republic after the middle of the 1970s are not to be</w:t>
      </w:r>
      <w:r>
        <w:rPr>
          <w:color w:val="231F20"/>
          <w:spacing w:val="-1"/>
        </w:rPr>
        <w:t> </w:t>
      </w:r>
      <w:r>
        <w:rPr>
          <w:color w:val="231F20"/>
        </w:rPr>
        <w:t>observed.</w:t>
      </w:r>
    </w:p>
    <w:p>
      <w:pPr>
        <w:pStyle w:val="BodyText"/>
        <w:spacing w:line="177" w:lineRule="auto"/>
        <w:ind w:left="173" w:right="358" w:firstLine="283"/>
        <w:jc w:val="both"/>
      </w:pPr>
      <w:r>
        <w:rPr>
          <w:color w:val="231F20"/>
        </w:rPr>
        <w:t>In Graph 4, the age group pyramid for immigrants can be seen. It has the shape of an amphora, narrow at the base and wide when it reaches the cen- tral ages –mostly women- and narrowing again for the older ages.</w:t>
      </w:r>
      <w:r>
        <w:rPr>
          <w:color w:val="231F20"/>
          <w:spacing w:val="-33"/>
        </w:rPr>
        <w:t> </w:t>
      </w:r>
      <w:r>
        <w:rPr>
          <w:color w:val="231F20"/>
        </w:rPr>
        <w:t>Something which seems to support an idea suggested in the previous paragraph is that 13.2% of the migrants are under 9 years of age. This seems to confirm that a number of families moved into Mexico State permanently.</w:t>
      </w:r>
    </w:p>
    <w:p>
      <w:pPr>
        <w:spacing w:after="0" w:line="177" w:lineRule="auto"/>
        <w:jc w:val="both"/>
        <w:sectPr>
          <w:pgSz w:w="9640" w:h="13040"/>
          <w:pgMar w:header="954" w:footer="779" w:top="1380" w:bottom="960" w:left="960" w:right="1340"/>
        </w:sectPr>
      </w:pPr>
    </w:p>
    <w:p>
      <w:pPr>
        <w:pStyle w:val="BodyText"/>
        <w:rPr>
          <w:rFonts w:ascii="Times New Roman"/>
        </w:rPr>
      </w:pPr>
    </w:p>
    <w:p>
      <w:pPr>
        <w:pStyle w:val="BodyText"/>
        <w:spacing w:before="8" w:after="1"/>
        <w:rPr>
          <w:rFonts w:ascii="Times New Roman"/>
          <w:sz w:val="21"/>
        </w:rPr>
      </w:pPr>
    </w:p>
    <w:p>
      <w:pPr>
        <w:pStyle w:val="BodyText"/>
        <w:ind w:left="474"/>
        <w:rPr>
          <w:rFonts w:ascii="Times New Roman"/>
        </w:rPr>
      </w:pPr>
      <w:r>
        <w:rPr>
          <w:rFonts w:ascii="Times New Roman"/>
        </w:rPr>
        <w:drawing>
          <wp:inline distT="0" distB="0" distL="0" distR="0">
            <wp:extent cx="4171070" cy="2639568"/>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7" cstate="print"/>
                    <a:stretch>
                      <a:fillRect/>
                    </a:stretch>
                  </pic:blipFill>
                  <pic:spPr>
                    <a:xfrm>
                      <a:off x="0" y="0"/>
                      <a:ext cx="4171070" cy="2639568"/>
                    </a:xfrm>
                    <a:prstGeom prst="rect">
                      <a:avLst/>
                    </a:prstGeom>
                  </pic:spPr>
                </pic:pic>
              </a:graphicData>
            </a:graphic>
          </wp:inline>
        </w:drawing>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5"/>
        </w:rPr>
      </w:pPr>
      <w:r>
        <w:rPr/>
        <w:drawing>
          <wp:anchor distT="0" distB="0" distL="0" distR="0" allowOverlap="1" layoutInCell="1" locked="0" behindDoc="0" simplePos="0" relativeHeight="1144">
            <wp:simplePos x="0" y="0"/>
            <wp:positionH relativeFrom="page">
              <wp:posOffset>1080000</wp:posOffset>
            </wp:positionH>
            <wp:positionV relativeFrom="paragraph">
              <wp:posOffset>134659</wp:posOffset>
            </wp:positionV>
            <wp:extent cx="4256898" cy="2700337"/>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8" cstate="print"/>
                    <a:stretch>
                      <a:fillRect/>
                    </a:stretch>
                  </pic:blipFill>
                  <pic:spPr>
                    <a:xfrm>
                      <a:off x="0" y="0"/>
                      <a:ext cx="4256898" cy="2700337"/>
                    </a:xfrm>
                    <a:prstGeom prst="rect">
                      <a:avLst/>
                    </a:prstGeom>
                  </pic:spPr>
                </pic:pic>
              </a:graphicData>
            </a:graphic>
          </wp:anchor>
        </w:drawing>
      </w:r>
    </w:p>
    <w:p>
      <w:pPr>
        <w:spacing w:after="0"/>
        <w:rPr>
          <w:rFonts w:ascii="Times New Roman"/>
          <w:sz w:val="15"/>
        </w:rPr>
        <w:sectPr>
          <w:pgSz w:w="9640" w:h="13040"/>
          <w:pgMar w:header="737" w:footer="779" w:top="920" w:bottom="960" w:left="1340" w:right="960"/>
        </w:sectPr>
      </w:pPr>
    </w:p>
    <w:p>
      <w:pPr>
        <w:pStyle w:val="BodyText"/>
        <w:spacing w:before="4"/>
        <w:rPr>
          <w:rFonts w:ascii="Times New Roman"/>
          <w:sz w:val="2"/>
        </w:rPr>
      </w:pPr>
    </w:p>
    <w:p>
      <w:pPr>
        <w:pStyle w:val="BodyText"/>
        <w:ind w:left="183"/>
        <w:rPr>
          <w:rFonts w:ascii="Times New Roman"/>
        </w:rPr>
      </w:pPr>
      <w:r>
        <w:rPr>
          <w:rFonts w:ascii="Times New Roman"/>
        </w:rPr>
        <w:drawing>
          <wp:inline distT="0" distB="0" distL="0" distR="0">
            <wp:extent cx="4246598" cy="2670333"/>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9" cstate="print"/>
                    <a:stretch>
                      <a:fillRect/>
                    </a:stretch>
                  </pic:blipFill>
                  <pic:spPr>
                    <a:xfrm>
                      <a:off x="0" y="0"/>
                      <a:ext cx="4246598" cy="2670333"/>
                    </a:xfrm>
                    <a:prstGeom prst="rect">
                      <a:avLst/>
                    </a:prstGeom>
                  </pic:spPr>
                </pic:pic>
              </a:graphicData>
            </a:graphic>
          </wp:inline>
        </w:drawing>
      </w:r>
      <w:r>
        <w:rPr>
          <w:rFonts w:ascii="Times New Roman"/>
        </w:rPr>
      </w:r>
    </w:p>
    <w:p>
      <w:pPr>
        <w:pStyle w:val="BodyText"/>
        <w:spacing w:line="240" w:lineRule="exact" w:before="27"/>
        <w:ind w:left="173" w:right="358" w:firstLine="283"/>
        <w:jc w:val="both"/>
      </w:pPr>
      <w:r>
        <w:rPr>
          <w:color w:val="231F20"/>
        </w:rPr>
        <w:t>Graph 5 (emigrants) has a similar shape to graph 4, although is more irre- gular. Women represent 11.2% of the under 9 age group, 37.6% of those bet- ween</w:t>
      </w:r>
      <w:r>
        <w:rPr>
          <w:color w:val="231F20"/>
          <w:spacing w:val="-5"/>
        </w:rPr>
        <w:t> </w:t>
      </w:r>
      <w:r>
        <w:rPr>
          <w:color w:val="231F20"/>
        </w:rPr>
        <w:t>15</w:t>
      </w:r>
      <w:r>
        <w:rPr>
          <w:color w:val="231F20"/>
          <w:spacing w:val="-5"/>
        </w:rPr>
        <w:t> </w:t>
      </w:r>
      <w:r>
        <w:rPr>
          <w:color w:val="231F20"/>
        </w:rPr>
        <w:t>and</w:t>
      </w:r>
      <w:r>
        <w:rPr>
          <w:color w:val="231F20"/>
          <w:spacing w:val="-5"/>
        </w:rPr>
        <w:t> </w:t>
      </w:r>
      <w:r>
        <w:rPr>
          <w:color w:val="231F20"/>
        </w:rPr>
        <w:t>64</w:t>
      </w:r>
      <w:r>
        <w:rPr>
          <w:color w:val="231F20"/>
          <w:spacing w:val="-5"/>
        </w:rPr>
        <w:t> </w:t>
      </w:r>
      <w:r>
        <w:rPr>
          <w:color w:val="231F20"/>
        </w:rPr>
        <w:t>and</w:t>
      </w:r>
      <w:r>
        <w:rPr>
          <w:color w:val="231F20"/>
          <w:spacing w:val="-5"/>
        </w:rPr>
        <w:t> </w:t>
      </w:r>
      <w:r>
        <w:rPr>
          <w:color w:val="231F20"/>
        </w:rPr>
        <w:t>5.1%</w:t>
      </w:r>
      <w:r>
        <w:rPr>
          <w:color w:val="231F20"/>
          <w:spacing w:val="-5"/>
        </w:rPr>
        <w:t> </w:t>
      </w:r>
      <w:r>
        <w:rPr>
          <w:color w:val="231F20"/>
        </w:rPr>
        <w:t>of</w:t>
      </w:r>
      <w:r>
        <w:rPr>
          <w:color w:val="231F20"/>
          <w:spacing w:val="-5"/>
        </w:rPr>
        <w:t> </w:t>
      </w:r>
      <w:r>
        <w:rPr>
          <w:color w:val="231F20"/>
        </w:rPr>
        <w:t>those</w:t>
      </w:r>
      <w:r>
        <w:rPr>
          <w:color w:val="231F20"/>
          <w:spacing w:val="-5"/>
        </w:rPr>
        <w:t> </w:t>
      </w:r>
      <w:r>
        <w:rPr>
          <w:color w:val="231F20"/>
        </w:rPr>
        <w:t>over</w:t>
      </w:r>
      <w:r>
        <w:rPr>
          <w:color w:val="231F20"/>
          <w:spacing w:val="-5"/>
        </w:rPr>
        <w:t> </w:t>
      </w:r>
      <w:r>
        <w:rPr>
          <w:color w:val="231F20"/>
        </w:rPr>
        <w:t>65.</w:t>
      </w:r>
      <w:r>
        <w:rPr>
          <w:color w:val="231F20"/>
          <w:spacing w:val="-5"/>
        </w:rPr>
        <w:t> </w:t>
      </w:r>
      <w:r>
        <w:rPr>
          <w:color w:val="231F20"/>
        </w:rPr>
        <w:t>The</w:t>
      </w:r>
      <w:r>
        <w:rPr>
          <w:color w:val="231F20"/>
          <w:spacing w:val="-5"/>
        </w:rPr>
        <w:t> </w:t>
      </w:r>
      <w:r>
        <w:rPr>
          <w:color w:val="231F20"/>
        </w:rPr>
        <w:t>corresponding</w:t>
      </w:r>
      <w:r>
        <w:rPr>
          <w:color w:val="231F20"/>
          <w:spacing w:val="-5"/>
        </w:rPr>
        <w:t> </w:t>
      </w:r>
      <w:r>
        <w:rPr>
          <w:color w:val="231F20"/>
        </w:rPr>
        <w:t>figures</w:t>
      </w:r>
      <w:r>
        <w:rPr>
          <w:color w:val="231F20"/>
          <w:spacing w:val="-5"/>
        </w:rPr>
        <w:t> </w:t>
      </w:r>
      <w:r>
        <w:rPr>
          <w:color w:val="231F20"/>
        </w:rPr>
        <w:t>for</w:t>
      </w:r>
      <w:r>
        <w:rPr>
          <w:color w:val="231F20"/>
          <w:spacing w:val="-5"/>
        </w:rPr>
        <w:t> </w:t>
      </w:r>
      <w:r>
        <w:rPr>
          <w:color w:val="231F20"/>
        </w:rPr>
        <w:t>men are 11.5%, 31.1% and 3.5% respectively. There is more work to be done on these statistics because it is almost certain that many of these emigrants went to live in Mexico City.</w:t>
      </w:r>
    </w:p>
    <w:p>
      <w:pPr>
        <w:pStyle w:val="BodyText"/>
        <w:spacing w:line="240" w:lineRule="exact"/>
        <w:ind w:left="173" w:right="358" w:firstLine="283"/>
        <w:jc w:val="both"/>
      </w:pPr>
      <w:r>
        <w:rPr>
          <w:color w:val="231F20"/>
        </w:rPr>
        <w:t>Table 1 shows the average ages of the 3 populations. For the population as a whole it is 25.5 years, 26 for the women and 25 for the men. In the case of the immigrants the corresponding figures are: 30.6 (total population), 31.1 (women) and 30.1 (men). In the case of emigrants, the figures are: 31.6, 32.5 and 30.7. It is interesting to contrast these figures with the median ages of these populations. These are 23 (total population), 23 (women) and 22 (men.) For immigrants they are: 29 (total population) 30 (women) and 28 (men).For emigrants they are: 28, 28 and 27</w:t>
      </w:r>
      <w:r>
        <w:rPr>
          <w:color w:val="231F20"/>
          <w:spacing w:val="-1"/>
        </w:rPr>
        <w:t> </w:t>
      </w:r>
      <w:r>
        <w:rPr>
          <w:color w:val="231F20"/>
        </w:rPr>
        <w:t>respectively.</w:t>
      </w:r>
    </w:p>
    <w:p>
      <w:pPr>
        <w:pStyle w:val="BodyText"/>
        <w:spacing w:line="240" w:lineRule="exact"/>
        <w:ind w:left="173" w:right="359" w:firstLine="283"/>
        <w:jc w:val="both"/>
      </w:pPr>
      <w:r>
        <w:rPr>
          <w:color w:val="231F20"/>
        </w:rPr>
        <w:t>Some tentative conclusions may be drawn from these figures. First, the groups of immigrants and emigrants have similar characteristics and show important differences from the population of the state as a whole. The latter may be characterized as young:         50% are under 23 and the average age is</w:t>
      </w:r>
    </w:p>
    <w:p>
      <w:pPr>
        <w:pStyle w:val="BodyText"/>
        <w:spacing w:line="240" w:lineRule="exact"/>
        <w:ind w:left="173" w:right="358"/>
        <w:jc w:val="both"/>
      </w:pPr>
      <w:r>
        <w:rPr>
          <w:color w:val="231F20"/>
        </w:rPr>
        <w:t>25.5. On the other hand, the former may be characterized as young adults: 50% of the immigrants are under 29 and 50% of the emigrants under</w:t>
      </w:r>
      <w:r>
        <w:rPr>
          <w:color w:val="231F20"/>
          <w:spacing w:val="-13"/>
        </w:rPr>
        <w:t> </w:t>
      </w:r>
      <w:r>
        <w:rPr>
          <w:color w:val="231F20"/>
        </w:rPr>
        <w:t>28.Their corresponding average ages are 30.6 and 31.6. In the republic as a whole, the average age is 25.6 years with that of men 21.1 and that of women 26. The median ages are: 22 (total population), 22 (men) and 23 (women). It can be seen immediately, therefore, that the statistics for the general population of the state reflect the national statistics but that the figures for immigrants</w:t>
      </w:r>
      <w:r>
        <w:rPr>
          <w:color w:val="231F20"/>
          <w:spacing w:val="47"/>
        </w:rPr>
        <w:t> </w:t>
      </w:r>
      <w:r>
        <w:rPr>
          <w:color w:val="231F20"/>
        </w:rPr>
        <w:t>and</w:t>
      </w:r>
    </w:p>
    <w:p>
      <w:pPr>
        <w:spacing w:after="0" w:line="240" w:lineRule="exact"/>
        <w:jc w:val="both"/>
        <w:sectPr>
          <w:pgSz w:w="9640" w:h="13040"/>
          <w:pgMar w:header="954" w:footer="779" w:top="1380" w:bottom="960" w:left="960" w:right="1340"/>
        </w:sectPr>
      </w:pPr>
    </w:p>
    <w:p>
      <w:pPr>
        <w:pStyle w:val="BodyText"/>
        <w:spacing w:before="8"/>
        <w:rPr>
          <w:sz w:val="27"/>
        </w:rPr>
      </w:pPr>
    </w:p>
    <w:p>
      <w:pPr>
        <w:pStyle w:val="BodyText"/>
        <w:spacing w:line="240" w:lineRule="exact" w:before="61"/>
        <w:ind w:left="360" w:right="171"/>
        <w:jc w:val="both"/>
      </w:pPr>
      <w:r>
        <w:rPr>
          <w:color w:val="231F20"/>
        </w:rPr>
        <w:t>emigrants do not. The number of immigrants arriving and staying in Mexico State is particularly interesting. It suggests the state may be enjoying a popu- lation bonus similar to that which the republic is often accused of exporting to the United States.</w:t>
      </w:r>
    </w:p>
    <w:p>
      <w:pPr>
        <w:pStyle w:val="Heading6"/>
        <w:numPr>
          <w:ilvl w:val="0"/>
          <w:numId w:val="3"/>
        </w:numPr>
        <w:tabs>
          <w:tab w:pos="591" w:val="left" w:leader="none"/>
        </w:tabs>
        <w:spacing w:line="240" w:lineRule="auto" w:before="131" w:after="0"/>
        <w:ind w:left="590" w:right="0" w:hanging="230"/>
        <w:jc w:val="both"/>
        <w:rPr>
          <w:i/>
        </w:rPr>
      </w:pPr>
      <w:r>
        <w:rPr>
          <w:i/>
          <w:color w:val="231F20"/>
        </w:rPr>
        <w:t>Interstate migratory</w:t>
      </w:r>
      <w:r>
        <w:rPr>
          <w:i/>
          <w:color w:val="231F20"/>
          <w:spacing w:val="-2"/>
        </w:rPr>
        <w:t> </w:t>
      </w:r>
      <w:r>
        <w:rPr>
          <w:i/>
          <w:color w:val="231F20"/>
        </w:rPr>
        <w:t>flows</w:t>
      </w:r>
    </w:p>
    <w:p>
      <w:pPr>
        <w:pStyle w:val="BodyText"/>
        <w:spacing w:line="240" w:lineRule="exact" w:before="152"/>
        <w:ind w:left="360" w:right="171" w:firstLine="283"/>
        <w:jc w:val="both"/>
      </w:pPr>
      <w:r>
        <w:rPr>
          <w:color w:val="231F20"/>
        </w:rPr>
        <w:t>Graphs 6 and 7 present interstate migrations. In the first it can be appre- ciated that Mexico City provides 60.7% of the immigrant population of the state. However, in addition, there are three clearly differentiated immigrant blocks. The first consists of those states which contribute a large number of immigrants: Puebla (5.7%), Hidalgo (5.1%), Oaxaca (4.8%). Veracruz (4.8%), Michoacan (4.4%), Guanajuato (3.3%) and Guerrero (2.4%). The total number is 1,648,123 people or 30.5% of the immigrant population. The second block consists of states which contribute a moderate number of immigrants: Jalis- co, Tlaxcala, Querétaro, Chiapas, San Luis Potosí, Morelos and Zacatecas.</w:t>
      </w:r>
      <w:r>
        <w:rPr>
          <w:color w:val="231F20"/>
          <w:spacing w:val="-31"/>
        </w:rPr>
        <w:t> </w:t>
      </w:r>
      <w:r>
        <w:rPr>
          <w:color w:val="231F20"/>
        </w:rPr>
        <w:t>To- gether these total 352,208 people (6.5%). Finally, the third block consists of the rest of the states which contribute a low number of immigrants: 119,839 people</w:t>
      </w:r>
      <w:r>
        <w:rPr>
          <w:color w:val="231F20"/>
          <w:spacing w:val="-1"/>
        </w:rPr>
        <w:t> </w:t>
      </w:r>
      <w:r>
        <w:rPr>
          <w:color w:val="231F20"/>
        </w:rPr>
        <w:t>(2.3%).</w:t>
      </w:r>
    </w:p>
    <w:p>
      <w:pPr>
        <w:pStyle w:val="BodyText"/>
        <w:spacing w:line="240" w:lineRule="exact"/>
        <w:ind w:left="360" w:right="171" w:firstLine="283"/>
        <w:jc w:val="both"/>
      </w:pPr>
      <w:r>
        <w:rPr>
          <w:color w:val="231F20"/>
        </w:rPr>
        <w:t>Graph 7 shows emigration from the state of Mexico. Mexico City receives most:</w:t>
      </w:r>
      <w:r>
        <w:rPr>
          <w:color w:val="231F20"/>
          <w:spacing w:val="-6"/>
        </w:rPr>
        <w:t> </w:t>
      </w:r>
      <w:r>
        <w:rPr>
          <w:color w:val="231F20"/>
        </w:rPr>
        <w:t>321,319</w:t>
      </w:r>
      <w:r>
        <w:rPr>
          <w:color w:val="231F20"/>
          <w:spacing w:val="-6"/>
        </w:rPr>
        <w:t> </w:t>
      </w:r>
      <w:r>
        <w:rPr>
          <w:color w:val="231F20"/>
        </w:rPr>
        <w:t>people</w:t>
      </w:r>
      <w:r>
        <w:rPr>
          <w:color w:val="231F20"/>
          <w:spacing w:val="-6"/>
        </w:rPr>
        <w:t> </w:t>
      </w:r>
      <w:r>
        <w:rPr>
          <w:color w:val="231F20"/>
        </w:rPr>
        <w:t>(44.5%).</w:t>
      </w:r>
      <w:r>
        <w:rPr>
          <w:color w:val="231F20"/>
          <w:spacing w:val="-6"/>
        </w:rPr>
        <w:t> </w:t>
      </w:r>
      <w:r>
        <w:rPr>
          <w:color w:val="231F20"/>
        </w:rPr>
        <w:t>This</w:t>
      </w:r>
      <w:r>
        <w:rPr>
          <w:color w:val="231F20"/>
          <w:spacing w:val="-6"/>
        </w:rPr>
        <w:t> </w:t>
      </w:r>
      <w:r>
        <w:rPr>
          <w:color w:val="231F20"/>
        </w:rPr>
        <w:t>is</w:t>
      </w:r>
      <w:r>
        <w:rPr>
          <w:color w:val="231F20"/>
          <w:spacing w:val="-6"/>
        </w:rPr>
        <w:t> </w:t>
      </w:r>
      <w:r>
        <w:rPr>
          <w:color w:val="231F20"/>
        </w:rPr>
        <w:t>followed</w:t>
      </w:r>
      <w:r>
        <w:rPr>
          <w:color w:val="231F20"/>
          <w:spacing w:val="-6"/>
        </w:rPr>
        <w:t> </w:t>
      </w:r>
      <w:r>
        <w:rPr>
          <w:color w:val="231F20"/>
        </w:rPr>
        <w:t>by</w:t>
      </w:r>
      <w:r>
        <w:rPr>
          <w:color w:val="231F20"/>
          <w:spacing w:val="-5"/>
        </w:rPr>
        <w:t> </w:t>
      </w:r>
      <w:r>
        <w:rPr>
          <w:color w:val="231F20"/>
        </w:rPr>
        <w:t>Morelos</w:t>
      </w:r>
      <w:r>
        <w:rPr>
          <w:color w:val="231F20"/>
          <w:spacing w:val="-6"/>
        </w:rPr>
        <w:t> </w:t>
      </w:r>
      <w:r>
        <w:rPr>
          <w:color w:val="231F20"/>
        </w:rPr>
        <w:t>(7.8%)</w:t>
      </w:r>
      <w:r>
        <w:rPr>
          <w:color w:val="231F20"/>
          <w:spacing w:val="-6"/>
        </w:rPr>
        <w:t> </w:t>
      </w:r>
      <w:r>
        <w:rPr>
          <w:color w:val="231F20"/>
        </w:rPr>
        <w:t>and</w:t>
      </w:r>
      <w:r>
        <w:rPr>
          <w:color w:val="231F20"/>
          <w:spacing w:val="-6"/>
        </w:rPr>
        <w:t> </w:t>
      </w:r>
      <w:r>
        <w:rPr>
          <w:color w:val="231F20"/>
        </w:rPr>
        <w:t>Hidalgo (6.8%).After these come a block of 10 states: Michoacan, Puebla, Guanajuato, Veracruz, Querétaro, Guerrero, Jalisco, Baja California, Oaxaca and Tlaxcala. These receive 30.6% of emigrants (220,557 people.). The remaining states of the Republic contribute the other</w:t>
      </w:r>
      <w:r>
        <w:rPr>
          <w:color w:val="231F20"/>
          <w:spacing w:val="-1"/>
        </w:rPr>
        <w:t> </w:t>
      </w:r>
      <w:r>
        <w:rPr>
          <w:color w:val="231F20"/>
        </w:rPr>
        <w:t>10.3%.</w:t>
      </w:r>
    </w:p>
    <w:p>
      <w:pPr>
        <w:pStyle w:val="Heading6"/>
        <w:numPr>
          <w:ilvl w:val="0"/>
          <w:numId w:val="3"/>
        </w:numPr>
        <w:tabs>
          <w:tab w:pos="579" w:val="left" w:leader="none"/>
        </w:tabs>
        <w:spacing w:line="240" w:lineRule="auto" w:before="131" w:after="0"/>
        <w:ind w:left="578" w:right="0" w:hanging="218"/>
        <w:jc w:val="both"/>
        <w:rPr>
          <w:i/>
        </w:rPr>
      </w:pPr>
      <w:r>
        <w:rPr>
          <w:i/>
          <w:color w:val="231F20"/>
        </w:rPr>
        <w:t>Migratory flows by size of</w:t>
      </w:r>
      <w:r>
        <w:rPr>
          <w:i/>
          <w:color w:val="231F20"/>
          <w:spacing w:val="-6"/>
        </w:rPr>
        <w:t> </w:t>
      </w:r>
      <w:r>
        <w:rPr>
          <w:i/>
          <w:color w:val="231F20"/>
        </w:rPr>
        <w:t>locality</w:t>
      </w:r>
    </w:p>
    <w:p>
      <w:pPr>
        <w:pStyle w:val="BodyText"/>
        <w:spacing w:line="240" w:lineRule="exact" w:before="152"/>
        <w:ind w:left="360" w:right="171" w:firstLine="283"/>
        <w:jc w:val="both"/>
      </w:pPr>
      <w:r>
        <w:rPr>
          <w:color w:val="231F20"/>
        </w:rPr>
        <w:t>In table 2 the migratory flows by size of locality for two cohorts can be found: localities with a population greater than 15,000 inhabitants and those smaller than 15,000. Also included are immigrants from Guatemala, the Uni- ted States and other countries, in addition to countries which have not been specified (these represent few migrants).</w:t>
      </w:r>
    </w:p>
    <w:p>
      <w:pPr>
        <w:pStyle w:val="BodyText"/>
        <w:spacing w:line="240" w:lineRule="exact"/>
        <w:ind w:left="360" w:right="171" w:firstLine="283"/>
        <w:jc w:val="both"/>
      </w:pPr>
      <w:r>
        <w:rPr>
          <w:color w:val="231F20"/>
        </w:rPr>
        <w:t>Most internal immigrants (5,003,890 or 92.7% of this group) settle in loca- lities of more than 15,000 inhabitants. Only 7.3% (391,521 people) settle in the smaller localities. As might be expected virtually all immigrants from    other</w:t>
      </w:r>
    </w:p>
    <w:p>
      <w:pPr>
        <w:pStyle w:val="BodyText"/>
        <w:spacing w:line="255" w:lineRule="exact" w:before="30"/>
        <w:ind w:left="360"/>
        <w:jc w:val="both"/>
      </w:pPr>
      <w:r>
        <w:rPr>
          <w:color w:val="231F20"/>
        </w:rPr>
        <w:t>states settle in the larger localities.</w:t>
      </w:r>
    </w:p>
    <w:p>
      <w:pPr>
        <w:pStyle w:val="BodyText"/>
        <w:spacing w:line="240" w:lineRule="exact" w:before="3"/>
        <w:ind w:left="360" w:right="171" w:firstLine="283"/>
        <w:jc w:val="both"/>
      </w:pPr>
      <w:r>
        <w:rPr>
          <w:color w:val="231F20"/>
        </w:rPr>
        <w:t>When emigrants from the state are considered, the above situation is, in general terms, repeated. 78.7% settle in localities of more than 15,000 inha- bitants and only 21.3% in those of less than 15,000. However, in Michoacan and Puebla the emigrants settle in the larger and smaller localities in almost equal numbers. These findings are perhaps rather surprising. In the 1980s</w:t>
      </w:r>
      <w:r>
        <w:rPr>
          <w:color w:val="231F20"/>
          <w:spacing w:val="-33"/>
        </w:rPr>
        <w:t> </w:t>
      </w:r>
      <w:r>
        <w:rPr>
          <w:color w:val="231F20"/>
        </w:rPr>
        <w:t>the medium sized cities were identified as the favourite destinations of</w:t>
      </w:r>
      <w:r>
        <w:rPr>
          <w:color w:val="231F20"/>
          <w:spacing w:val="-20"/>
        </w:rPr>
        <w:t> </w:t>
      </w:r>
      <w:r>
        <w:rPr>
          <w:color w:val="231F20"/>
        </w:rPr>
        <w:t>migrants.</w:t>
      </w:r>
    </w:p>
    <w:p>
      <w:pPr>
        <w:spacing w:after="0" w:line="240" w:lineRule="exact"/>
        <w:jc w:val="both"/>
        <w:sectPr>
          <w:pgSz w:w="9640" w:h="13040"/>
          <w:pgMar w:header="737" w:footer="779" w:top="920" w:bottom="960" w:left="1340" w:right="960"/>
        </w:sectPr>
      </w:pPr>
    </w:p>
    <w:p>
      <w:pPr>
        <w:pStyle w:val="BodyText"/>
        <w:ind w:left="728"/>
      </w:pPr>
      <w:r>
        <w:rPr/>
        <w:drawing>
          <wp:inline distT="0" distB="0" distL="0" distR="0">
            <wp:extent cx="3816021" cy="6372796"/>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2" cstate="print"/>
                    <a:stretch>
                      <a:fillRect/>
                    </a:stretch>
                  </pic:blipFill>
                  <pic:spPr>
                    <a:xfrm>
                      <a:off x="0" y="0"/>
                      <a:ext cx="3816021" cy="6372796"/>
                    </a:xfrm>
                    <a:prstGeom prst="rect">
                      <a:avLst/>
                    </a:prstGeom>
                  </pic:spPr>
                </pic:pic>
              </a:graphicData>
            </a:graphic>
          </wp:inline>
        </w:drawing>
      </w:r>
      <w:r>
        <w:rPr/>
      </w:r>
    </w:p>
    <w:p>
      <w:pPr>
        <w:spacing w:after="0"/>
        <w:sectPr>
          <w:footerReference w:type="even" r:id="rId20"/>
          <w:footerReference w:type="default" r:id="rId21"/>
          <w:pgSz w:w="9640" w:h="13040"/>
          <w:pgMar w:footer="779" w:header="954" w:top="1380" w:bottom="960" w:left="960" w:right="1340"/>
        </w:sectPr>
      </w:pPr>
    </w:p>
    <w:p>
      <w:pPr>
        <w:pStyle w:val="BodyText"/>
        <w:rPr>
          <w:rFonts w:ascii="Times New Roman"/>
        </w:rPr>
      </w:pPr>
    </w:p>
    <w:p>
      <w:pPr>
        <w:pStyle w:val="BodyText"/>
        <w:spacing w:before="8" w:after="1"/>
        <w:rPr>
          <w:rFonts w:ascii="Times New Roman"/>
          <w:sz w:val="21"/>
        </w:rPr>
      </w:pPr>
    </w:p>
    <w:p>
      <w:pPr>
        <w:pStyle w:val="BodyText"/>
        <w:ind w:left="587"/>
        <w:rPr>
          <w:rFonts w:ascii="Times New Roman"/>
        </w:rPr>
      </w:pPr>
      <w:r>
        <w:rPr>
          <w:rFonts w:ascii="Times New Roman"/>
        </w:rPr>
        <w:drawing>
          <wp:inline distT="0" distB="0" distL="0" distR="0">
            <wp:extent cx="3761219" cy="6372796"/>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3" cstate="print"/>
                    <a:stretch>
                      <a:fillRect/>
                    </a:stretch>
                  </pic:blipFill>
                  <pic:spPr>
                    <a:xfrm>
                      <a:off x="0" y="0"/>
                      <a:ext cx="3761219" cy="6372796"/>
                    </a:xfrm>
                    <a:prstGeom prst="rect">
                      <a:avLst/>
                    </a:prstGeom>
                  </pic:spPr>
                </pic:pic>
              </a:graphicData>
            </a:graphic>
          </wp:inline>
        </w:drawing>
      </w:r>
      <w:r>
        <w:rPr>
          <w:rFonts w:ascii="Times New Roman"/>
        </w:rPr>
      </w:r>
    </w:p>
    <w:p>
      <w:pPr>
        <w:spacing w:after="0"/>
        <w:rPr>
          <w:rFonts w:ascii="Times New Roman"/>
        </w:rPr>
        <w:sectPr>
          <w:pgSz w:w="9640" w:h="13040"/>
          <w:pgMar w:header="737" w:footer="779" w:top="920" w:bottom="960" w:left="1340" w:right="960"/>
        </w:sectPr>
      </w:pPr>
    </w:p>
    <w:p>
      <w:pPr>
        <w:pStyle w:val="BodyText"/>
        <w:spacing w:line="213" w:lineRule="exact"/>
        <w:ind w:left="173"/>
        <w:jc w:val="both"/>
      </w:pPr>
      <w:r>
        <w:rPr>
          <w:color w:val="231F20"/>
        </w:rPr>
        <w:t>However, this study shows that they now seek to settle either in larger popu-</w:t>
      </w:r>
    </w:p>
    <w:p>
      <w:pPr>
        <w:pStyle w:val="BodyText"/>
        <w:spacing w:line="240" w:lineRule="exact" w:before="3"/>
        <w:ind w:left="173" w:right="358"/>
        <w:jc w:val="both"/>
      </w:pPr>
      <w:r>
        <w:rPr>
          <w:color w:val="231F20"/>
        </w:rPr>
        <w:t>lation units or, to a lesser degree, in small ones: a polarity of settlement has occurred. Something which may explain this development is the decline of the medium sized cities as industrial centres following the implementation of NAFTA during the Salinas administration. Small local industries have not survived.</w:t>
      </w:r>
    </w:p>
    <w:p>
      <w:pPr>
        <w:pStyle w:val="BodyText"/>
      </w:pPr>
    </w:p>
    <w:p>
      <w:pPr>
        <w:pStyle w:val="BodyText"/>
        <w:spacing w:before="13"/>
        <w:rPr>
          <w:sz w:val="14"/>
        </w:rPr>
      </w:pPr>
      <w:r>
        <w:rPr/>
        <w:drawing>
          <wp:anchor distT="0" distB="0" distL="0" distR="0" allowOverlap="1" layoutInCell="1" locked="0" behindDoc="0" simplePos="0" relativeHeight="1168">
            <wp:simplePos x="0" y="0"/>
            <wp:positionH relativeFrom="page">
              <wp:posOffset>720000</wp:posOffset>
            </wp:positionH>
            <wp:positionV relativeFrom="paragraph">
              <wp:posOffset>152959</wp:posOffset>
            </wp:positionV>
            <wp:extent cx="4255255" cy="4578572"/>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6" cstate="print"/>
                    <a:stretch>
                      <a:fillRect/>
                    </a:stretch>
                  </pic:blipFill>
                  <pic:spPr>
                    <a:xfrm>
                      <a:off x="0" y="0"/>
                      <a:ext cx="4255255" cy="4578572"/>
                    </a:xfrm>
                    <a:prstGeom prst="rect">
                      <a:avLst/>
                    </a:prstGeom>
                  </pic:spPr>
                </pic:pic>
              </a:graphicData>
            </a:graphic>
          </wp:anchor>
        </w:drawing>
      </w:r>
    </w:p>
    <w:p>
      <w:pPr>
        <w:spacing w:after="0"/>
        <w:rPr>
          <w:sz w:val="14"/>
        </w:rPr>
        <w:sectPr>
          <w:footerReference w:type="even" r:id="rId24"/>
          <w:footerReference w:type="default" r:id="rId25"/>
          <w:pgSz w:w="9640" w:h="13040"/>
          <w:pgMar w:footer="779" w:header="954" w:top="1380" w:bottom="960" w:left="960" w:right="1340"/>
          <w:pgNumType w:start="62"/>
        </w:sectPr>
      </w:pPr>
    </w:p>
    <w:p>
      <w:pPr>
        <w:pStyle w:val="BodyText"/>
      </w:pPr>
    </w:p>
    <w:p>
      <w:pPr>
        <w:pStyle w:val="BodyText"/>
        <w:spacing w:before="5" w:after="1"/>
        <w:rPr>
          <w:sz w:val="15"/>
        </w:rPr>
      </w:pPr>
    </w:p>
    <w:p>
      <w:pPr>
        <w:pStyle w:val="BodyText"/>
        <w:ind w:left="1168"/>
      </w:pPr>
      <w:r>
        <w:rPr/>
        <w:drawing>
          <wp:inline distT="0" distB="0" distL="0" distR="0">
            <wp:extent cx="3244823" cy="4866608"/>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7" cstate="print"/>
                    <a:stretch>
                      <a:fillRect/>
                    </a:stretch>
                  </pic:blipFill>
                  <pic:spPr>
                    <a:xfrm>
                      <a:off x="0" y="0"/>
                      <a:ext cx="3244823" cy="4866608"/>
                    </a:xfrm>
                    <a:prstGeom prst="rect">
                      <a:avLst/>
                    </a:prstGeom>
                  </pic:spPr>
                </pic:pic>
              </a:graphicData>
            </a:graphic>
          </wp:inline>
        </w:drawing>
      </w:r>
      <w:r>
        <w:rPr/>
      </w:r>
    </w:p>
    <w:p>
      <w:pPr>
        <w:pStyle w:val="BodyText"/>
        <w:spacing w:line="240" w:lineRule="exact" w:before="70"/>
        <w:ind w:left="360" w:right="171" w:firstLine="283"/>
        <w:jc w:val="both"/>
      </w:pPr>
      <w:r>
        <w:rPr>
          <w:color w:val="231F20"/>
        </w:rPr>
        <w:t>Table</w:t>
      </w:r>
      <w:r>
        <w:rPr>
          <w:color w:val="231F20"/>
          <w:spacing w:val="-6"/>
        </w:rPr>
        <w:t> </w:t>
      </w:r>
      <w:r>
        <w:rPr>
          <w:color w:val="231F20"/>
        </w:rPr>
        <w:t>3</w:t>
      </w:r>
      <w:r>
        <w:rPr>
          <w:color w:val="231F20"/>
          <w:spacing w:val="-6"/>
        </w:rPr>
        <w:t> </w:t>
      </w:r>
      <w:r>
        <w:rPr>
          <w:color w:val="231F20"/>
        </w:rPr>
        <w:t>and</w:t>
      </w:r>
      <w:r>
        <w:rPr>
          <w:color w:val="231F20"/>
          <w:spacing w:val="-6"/>
        </w:rPr>
        <w:t> </w:t>
      </w:r>
      <w:r>
        <w:rPr>
          <w:color w:val="231F20"/>
        </w:rPr>
        <w:t>Graph</w:t>
      </w:r>
      <w:r>
        <w:rPr>
          <w:color w:val="231F20"/>
          <w:spacing w:val="-6"/>
        </w:rPr>
        <w:t> </w:t>
      </w:r>
      <w:r>
        <w:rPr>
          <w:color w:val="231F20"/>
        </w:rPr>
        <w:t>8</w:t>
      </w:r>
      <w:r>
        <w:rPr>
          <w:color w:val="231F20"/>
          <w:spacing w:val="-6"/>
        </w:rPr>
        <w:t> </w:t>
      </w:r>
      <w:r>
        <w:rPr>
          <w:color w:val="231F20"/>
        </w:rPr>
        <w:t>complement</w:t>
      </w:r>
      <w:r>
        <w:rPr>
          <w:color w:val="231F20"/>
          <w:spacing w:val="-6"/>
        </w:rPr>
        <w:t> </w:t>
      </w:r>
      <w:r>
        <w:rPr>
          <w:color w:val="231F20"/>
        </w:rPr>
        <w:t>Table</w:t>
      </w:r>
      <w:r>
        <w:rPr>
          <w:color w:val="231F20"/>
          <w:spacing w:val="-6"/>
        </w:rPr>
        <w:t> </w:t>
      </w:r>
      <w:r>
        <w:rPr>
          <w:color w:val="231F20"/>
        </w:rPr>
        <w:t>2</w:t>
      </w:r>
      <w:r>
        <w:rPr>
          <w:color w:val="231F20"/>
          <w:spacing w:val="-6"/>
        </w:rPr>
        <w:t> </w:t>
      </w:r>
      <w:r>
        <w:rPr>
          <w:color w:val="231F20"/>
        </w:rPr>
        <w:t>and</w:t>
      </w:r>
      <w:r>
        <w:rPr>
          <w:color w:val="231F20"/>
          <w:spacing w:val="-6"/>
        </w:rPr>
        <w:t> </w:t>
      </w:r>
      <w:r>
        <w:rPr>
          <w:color w:val="231F20"/>
        </w:rPr>
        <w:t>Graphs</w:t>
      </w:r>
      <w:r>
        <w:rPr>
          <w:color w:val="231F20"/>
          <w:spacing w:val="-6"/>
        </w:rPr>
        <w:t> </w:t>
      </w:r>
      <w:r>
        <w:rPr>
          <w:color w:val="231F20"/>
        </w:rPr>
        <w:t>6</w:t>
      </w:r>
      <w:r>
        <w:rPr>
          <w:color w:val="231F20"/>
          <w:spacing w:val="-6"/>
        </w:rPr>
        <w:t> </w:t>
      </w:r>
      <w:r>
        <w:rPr>
          <w:color w:val="231F20"/>
        </w:rPr>
        <w:t>and</w:t>
      </w:r>
      <w:r>
        <w:rPr>
          <w:color w:val="231F20"/>
          <w:spacing w:val="-6"/>
        </w:rPr>
        <w:t> </w:t>
      </w:r>
      <w:r>
        <w:rPr>
          <w:color w:val="231F20"/>
        </w:rPr>
        <w:t>7</w:t>
      </w:r>
      <w:r>
        <w:rPr>
          <w:color w:val="231F20"/>
          <w:spacing w:val="-6"/>
        </w:rPr>
        <w:t> </w:t>
      </w:r>
      <w:r>
        <w:rPr>
          <w:color w:val="231F20"/>
        </w:rPr>
        <w:t>because</w:t>
      </w:r>
      <w:r>
        <w:rPr>
          <w:color w:val="231F20"/>
          <w:spacing w:val="-6"/>
        </w:rPr>
        <w:t> </w:t>
      </w:r>
      <w:r>
        <w:rPr>
          <w:color w:val="231F20"/>
        </w:rPr>
        <w:t>they contain the net migratory balances by size of locality together with the total net balance. As will be appreciated, in both kinds of locality Mexico State shows negative net migratory balances</w:t>
      </w:r>
      <w:r>
        <w:rPr>
          <w:color w:val="231F20"/>
          <w:position w:val="7"/>
          <w:sz w:val="11"/>
        </w:rPr>
        <w:t>1</w:t>
      </w:r>
      <w:r>
        <w:rPr>
          <w:color w:val="231F20"/>
        </w:rPr>
        <w:t>.with Morelos, Baja California, Quin- tana Roo and Baja California Sur. These last two may be considered cases of equilibrium. In the remaining states-except Colima and Nayarit, which may also be considered to be in equilibrium -the net migratory balances are posi- tive. Mexico City is the outstanding example, followed at a great distance, by Guerrero, Guanajuato, Michoacan, Hidalgo,Veracruz and</w:t>
      </w:r>
      <w:r>
        <w:rPr>
          <w:color w:val="231F20"/>
          <w:spacing w:val="-1"/>
        </w:rPr>
        <w:t> </w:t>
      </w:r>
      <w:r>
        <w:rPr>
          <w:color w:val="231F20"/>
        </w:rPr>
        <w:t>Oaxaca.</w:t>
      </w:r>
    </w:p>
    <w:p>
      <w:pPr>
        <w:spacing w:after="0" w:line="240" w:lineRule="exact"/>
        <w:jc w:val="both"/>
        <w:sectPr>
          <w:pgSz w:w="9640" w:h="13040"/>
          <w:pgMar w:header="737" w:footer="779" w:top="920" w:bottom="960" w:left="1340" w:right="960"/>
        </w:sectPr>
      </w:pPr>
    </w:p>
    <w:p>
      <w:pPr>
        <w:pStyle w:val="BodyText"/>
        <w:ind w:left="599"/>
      </w:pPr>
      <w:r>
        <w:rPr/>
        <w:drawing>
          <wp:inline distT="0" distB="0" distL="0" distR="0">
            <wp:extent cx="3751038" cy="6384798"/>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8" cstate="print"/>
                    <a:stretch>
                      <a:fillRect/>
                    </a:stretch>
                  </pic:blipFill>
                  <pic:spPr>
                    <a:xfrm>
                      <a:off x="0" y="0"/>
                      <a:ext cx="3751038" cy="6384798"/>
                    </a:xfrm>
                    <a:prstGeom prst="rect">
                      <a:avLst/>
                    </a:prstGeom>
                  </pic:spPr>
                </pic:pic>
              </a:graphicData>
            </a:graphic>
          </wp:inline>
        </w:drawing>
      </w:r>
      <w:r>
        <w:rPr/>
      </w:r>
    </w:p>
    <w:p>
      <w:pPr>
        <w:spacing w:after="0"/>
        <w:sectPr>
          <w:pgSz w:w="9640" w:h="13040"/>
          <w:pgMar w:header="954" w:footer="779" w:top="1380" w:bottom="960" w:left="960" w:right="1340"/>
        </w:sectPr>
      </w:pPr>
    </w:p>
    <w:p>
      <w:pPr>
        <w:pStyle w:val="BodyText"/>
        <w:spacing w:before="7"/>
        <w:rPr>
          <w:sz w:val="27"/>
        </w:rPr>
      </w:pPr>
    </w:p>
    <w:p>
      <w:pPr>
        <w:pStyle w:val="Heading6"/>
        <w:numPr>
          <w:ilvl w:val="0"/>
          <w:numId w:val="3"/>
        </w:numPr>
        <w:tabs>
          <w:tab w:pos="616" w:val="left" w:leader="none"/>
        </w:tabs>
        <w:spacing w:line="240" w:lineRule="exact" w:before="76" w:after="0"/>
        <w:ind w:left="360" w:right="171" w:firstLine="0"/>
        <w:jc w:val="left"/>
      </w:pPr>
      <w:r>
        <w:rPr>
          <w:i/>
          <w:color w:val="231F20"/>
        </w:rPr>
        <w:t>Patterns of places of origin and places of destination of migration by age </w:t>
      </w:r>
      <w:r>
        <w:rPr>
          <w:color w:val="231F20"/>
        </w:rPr>
        <w:t>group, gender and size of</w:t>
      </w:r>
      <w:r>
        <w:rPr>
          <w:color w:val="231F20"/>
          <w:spacing w:val="-6"/>
        </w:rPr>
        <w:t> </w:t>
      </w:r>
      <w:r>
        <w:rPr>
          <w:color w:val="231F20"/>
        </w:rPr>
        <w:t>locality</w:t>
      </w:r>
    </w:p>
    <w:p>
      <w:pPr>
        <w:pStyle w:val="BodyText"/>
        <w:spacing w:line="240" w:lineRule="exact" w:before="170"/>
        <w:ind w:left="360" w:right="171" w:firstLine="283"/>
        <w:jc w:val="both"/>
      </w:pPr>
      <w:r>
        <w:rPr>
          <w:color w:val="231F20"/>
        </w:rPr>
        <w:t>Table 4 and Graphs 9 and 10 shows the structures of the migrant popula- tion by age group and gender together with two cohorts of localities where they settle. As can be seen, this, apart from being an explanation of Graph 4, is another form of representation of the same phenomena: the migratory pat- tern of the state in the graphs can be seen reflected in the movements of the cohorts to the localities.</w:t>
      </w:r>
    </w:p>
    <w:p>
      <w:pPr>
        <w:pStyle w:val="BodyText"/>
        <w:spacing w:before="2"/>
        <w:rPr>
          <w:sz w:val="9"/>
        </w:rPr>
      </w:pPr>
      <w:r>
        <w:rPr/>
        <w:drawing>
          <wp:anchor distT="0" distB="0" distL="0" distR="0" allowOverlap="1" layoutInCell="1" locked="0" behindDoc="0" simplePos="0" relativeHeight="1192">
            <wp:simplePos x="0" y="0"/>
            <wp:positionH relativeFrom="page">
              <wp:posOffset>1082100</wp:posOffset>
            </wp:positionH>
            <wp:positionV relativeFrom="paragraph">
              <wp:posOffset>103573</wp:posOffset>
            </wp:positionV>
            <wp:extent cx="4320947" cy="3998976"/>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9" cstate="print"/>
                    <a:stretch>
                      <a:fillRect/>
                    </a:stretch>
                  </pic:blipFill>
                  <pic:spPr>
                    <a:xfrm>
                      <a:off x="0" y="0"/>
                      <a:ext cx="4320947" cy="3998976"/>
                    </a:xfrm>
                    <a:prstGeom prst="rect">
                      <a:avLst/>
                    </a:prstGeom>
                  </pic:spPr>
                </pic:pic>
              </a:graphicData>
            </a:graphic>
          </wp:anchor>
        </w:drawing>
      </w:r>
    </w:p>
    <w:p>
      <w:pPr>
        <w:pStyle w:val="BodyText"/>
        <w:rPr>
          <w:sz w:val="17"/>
        </w:rPr>
      </w:pPr>
    </w:p>
    <w:p>
      <w:pPr>
        <w:pStyle w:val="BodyText"/>
        <w:spacing w:line="240" w:lineRule="exact" w:before="1"/>
        <w:ind w:left="360" w:right="171" w:firstLine="283"/>
        <w:jc w:val="both"/>
      </w:pPr>
      <w:r>
        <w:rPr>
          <w:color w:val="231F20"/>
        </w:rPr>
        <w:t>Perfectly defined tendencies can be seen in both graphs, although that which corresponds to localities of 15,000 or more inhabitants is clearer.</w:t>
      </w:r>
    </w:p>
    <w:p>
      <w:pPr>
        <w:spacing w:after="0" w:line="240" w:lineRule="exact"/>
        <w:jc w:val="both"/>
        <w:sectPr>
          <w:pgSz w:w="9640" w:h="13040"/>
          <w:pgMar w:header="737" w:footer="779" w:top="920" w:bottom="960" w:left="1340" w:right="960"/>
        </w:sectPr>
      </w:pPr>
    </w:p>
    <w:p>
      <w:pPr>
        <w:pStyle w:val="BodyText"/>
        <w:spacing w:before="4"/>
        <w:rPr>
          <w:rFonts w:ascii="Times New Roman"/>
          <w:sz w:val="29"/>
        </w:rPr>
      </w:pPr>
    </w:p>
    <w:p>
      <w:pPr>
        <w:pStyle w:val="BodyText"/>
        <w:ind w:left="193"/>
        <w:rPr>
          <w:rFonts w:ascii="Times New Roman"/>
        </w:rPr>
      </w:pPr>
      <w:r>
        <w:rPr>
          <w:rFonts w:ascii="Times New Roman"/>
        </w:rPr>
        <w:drawing>
          <wp:inline distT="0" distB="0" distL="0" distR="0">
            <wp:extent cx="4308458" cy="2737104"/>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0" cstate="print"/>
                    <a:stretch>
                      <a:fillRect/>
                    </a:stretch>
                  </pic:blipFill>
                  <pic:spPr>
                    <a:xfrm>
                      <a:off x="0" y="0"/>
                      <a:ext cx="4308458" cy="2737104"/>
                    </a:xfrm>
                    <a:prstGeom prst="rect">
                      <a:avLst/>
                    </a:prstGeom>
                  </pic:spPr>
                </pic:pic>
              </a:graphicData>
            </a:graphic>
          </wp:inline>
        </w:drawing>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12"/>
        </w:rPr>
      </w:pPr>
      <w:r>
        <w:rPr/>
        <w:drawing>
          <wp:anchor distT="0" distB="0" distL="0" distR="0" allowOverlap="1" layoutInCell="1" locked="0" behindDoc="0" simplePos="0" relativeHeight="1216">
            <wp:simplePos x="0" y="0"/>
            <wp:positionH relativeFrom="page">
              <wp:posOffset>720001</wp:posOffset>
            </wp:positionH>
            <wp:positionV relativeFrom="paragraph">
              <wp:posOffset>113067</wp:posOffset>
            </wp:positionV>
            <wp:extent cx="4253672" cy="2700337"/>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31" cstate="print"/>
                    <a:stretch>
                      <a:fillRect/>
                    </a:stretch>
                  </pic:blipFill>
                  <pic:spPr>
                    <a:xfrm>
                      <a:off x="0" y="0"/>
                      <a:ext cx="4253672" cy="2700337"/>
                    </a:xfrm>
                    <a:prstGeom prst="rect">
                      <a:avLst/>
                    </a:prstGeom>
                  </pic:spPr>
                </pic:pic>
              </a:graphicData>
            </a:graphic>
          </wp:anchor>
        </w:drawing>
      </w:r>
    </w:p>
    <w:p>
      <w:pPr>
        <w:spacing w:after="0"/>
        <w:rPr>
          <w:rFonts w:ascii="Times New Roman"/>
          <w:sz w:val="12"/>
        </w:rPr>
        <w:sectPr>
          <w:pgSz w:w="9640" w:h="13040"/>
          <w:pgMar w:header="954" w:footer="779" w:top="1380" w:bottom="960" w:left="960" w:right="1340"/>
        </w:sectPr>
      </w:pPr>
    </w:p>
    <w:p>
      <w:pPr>
        <w:pStyle w:val="BodyText"/>
        <w:rPr>
          <w:rFonts w:ascii="Times New Roman"/>
        </w:rPr>
      </w:pPr>
    </w:p>
    <w:p>
      <w:pPr>
        <w:pStyle w:val="Heading5"/>
        <w:spacing w:before="173"/>
        <w:ind w:left="360" w:right="43"/>
      </w:pPr>
      <w:r>
        <w:rPr>
          <w:color w:val="231F20"/>
        </w:rPr>
        <w:t>Conclusion and discussion</w:t>
      </w:r>
    </w:p>
    <w:p>
      <w:pPr>
        <w:pStyle w:val="BodyText"/>
        <w:spacing w:line="240" w:lineRule="exact" w:before="203"/>
        <w:ind w:left="360" w:right="171" w:firstLine="283"/>
        <w:jc w:val="both"/>
      </w:pPr>
      <w:r>
        <w:rPr>
          <w:color w:val="231F20"/>
        </w:rPr>
        <w:t>The data presented here, from the Census of 2000 or from its data base, have been used to examine the characteristics of the demography of the state of Mexico which is, at present, the zone which is, at present, the zone of</w:t>
      </w:r>
      <w:r>
        <w:rPr>
          <w:color w:val="231F20"/>
          <w:spacing w:val="-30"/>
        </w:rPr>
        <w:t> </w:t>
      </w:r>
      <w:r>
        <w:rPr>
          <w:color w:val="231F20"/>
        </w:rPr>
        <w:t>grea- test attraction of population in the republic. (There are, of course other such zones</w:t>
      </w:r>
      <w:r>
        <w:rPr>
          <w:color w:val="231F20"/>
          <w:spacing w:val="-10"/>
        </w:rPr>
        <w:t> </w:t>
      </w:r>
      <w:r>
        <w:rPr>
          <w:color w:val="231F20"/>
        </w:rPr>
        <w:t>which</w:t>
      </w:r>
      <w:r>
        <w:rPr>
          <w:color w:val="231F20"/>
          <w:spacing w:val="-10"/>
        </w:rPr>
        <w:t> </w:t>
      </w:r>
      <w:r>
        <w:rPr>
          <w:color w:val="231F20"/>
        </w:rPr>
        <w:t>will</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rPr>
        <w:t>future</w:t>
      </w:r>
      <w:r>
        <w:rPr>
          <w:color w:val="231F20"/>
          <w:spacing w:val="-10"/>
        </w:rPr>
        <w:t> </w:t>
      </w:r>
      <w:r>
        <w:rPr>
          <w:color w:val="231F20"/>
        </w:rPr>
        <w:t>be</w:t>
      </w:r>
      <w:r>
        <w:rPr>
          <w:color w:val="231F20"/>
          <w:spacing w:val="-10"/>
        </w:rPr>
        <w:t> </w:t>
      </w:r>
      <w:r>
        <w:rPr>
          <w:color w:val="231F20"/>
        </w:rPr>
        <w:t>important:</w:t>
      </w:r>
      <w:r>
        <w:rPr>
          <w:color w:val="231F20"/>
          <w:spacing w:val="-10"/>
        </w:rPr>
        <w:t> </w:t>
      </w:r>
      <w:r>
        <w:rPr>
          <w:color w:val="231F20"/>
        </w:rPr>
        <w:t>Baja</w:t>
      </w:r>
      <w:r>
        <w:rPr>
          <w:color w:val="231F20"/>
          <w:spacing w:val="-10"/>
        </w:rPr>
        <w:t> </w:t>
      </w:r>
      <w:r>
        <w:rPr>
          <w:color w:val="231F20"/>
        </w:rPr>
        <w:t>California</w:t>
      </w:r>
      <w:r>
        <w:rPr>
          <w:color w:val="231F20"/>
          <w:spacing w:val="-10"/>
        </w:rPr>
        <w:t> </w:t>
      </w:r>
      <w:r>
        <w:rPr>
          <w:color w:val="231F20"/>
        </w:rPr>
        <w:t>and</w:t>
      </w:r>
      <w:r>
        <w:rPr>
          <w:color w:val="231F20"/>
          <w:spacing w:val="-10"/>
        </w:rPr>
        <w:t> </w:t>
      </w:r>
      <w:r>
        <w:rPr>
          <w:color w:val="231F20"/>
        </w:rPr>
        <w:t>Quintana</w:t>
      </w:r>
      <w:r>
        <w:rPr>
          <w:color w:val="231F20"/>
          <w:spacing w:val="-10"/>
        </w:rPr>
        <w:t> </w:t>
      </w:r>
      <w:r>
        <w:rPr>
          <w:color w:val="231F20"/>
        </w:rPr>
        <w:t>Roo are two</w:t>
      </w:r>
      <w:r>
        <w:rPr>
          <w:color w:val="231F20"/>
          <w:spacing w:val="-1"/>
        </w:rPr>
        <w:t> </w:t>
      </w:r>
      <w:r>
        <w:rPr>
          <w:color w:val="231F20"/>
        </w:rPr>
        <w:t>examples.)</w:t>
      </w:r>
    </w:p>
    <w:p>
      <w:pPr>
        <w:pStyle w:val="Heading6"/>
        <w:spacing w:before="170"/>
        <w:ind w:right="43"/>
        <w:jc w:val="left"/>
      </w:pPr>
      <w:r>
        <w:rPr>
          <w:i/>
          <w:color w:val="231F20"/>
        </w:rPr>
        <w:t>This investigation casts new light on four aspects of Mexican migration </w:t>
      </w:r>
      <w:r>
        <w:rPr>
          <w:color w:val="231F20"/>
        </w:rPr>
        <w:t>studies</w:t>
      </w:r>
    </w:p>
    <w:p>
      <w:pPr>
        <w:pStyle w:val="BodyText"/>
        <w:spacing w:line="240" w:lineRule="exact" w:before="170"/>
        <w:ind w:left="360" w:right="171" w:firstLine="283"/>
        <w:jc w:val="both"/>
      </w:pPr>
      <w:r>
        <w:rPr>
          <w:color w:val="231F20"/>
        </w:rPr>
        <w:t>First,</w:t>
      </w:r>
      <w:r>
        <w:rPr>
          <w:color w:val="231F20"/>
          <w:spacing w:val="-6"/>
        </w:rPr>
        <w:t> </w:t>
      </w:r>
      <w:r>
        <w:rPr>
          <w:color w:val="231F20"/>
        </w:rPr>
        <w:t>it</w:t>
      </w:r>
      <w:r>
        <w:rPr>
          <w:color w:val="231F20"/>
          <w:spacing w:val="-5"/>
        </w:rPr>
        <w:t> </w:t>
      </w:r>
      <w:r>
        <w:rPr>
          <w:color w:val="231F20"/>
        </w:rPr>
        <w:t>demonstrates</w:t>
      </w:r>
      <w:r>
        <w:rPr>
          <w:color w:val="231F20"/>
          <w:spacing w:val="-5"/>
        </w:rPr>
        <w:t> </w:t>
      </w:r>
      <w:r>
        <w:rPr>
          <w:color w:val="231F20"/>
        </w:rPr>
        <w:t>the</w:t>
      </w:r>
      <w:r>
        <w:rPr>
          <w:color w:val="231F20"/>
          <w:spacing w:val="-5"/>
        </w:rPr>
        <w:t> </w:t>
      </w:r>
      <w:r>
        <w:rPr>
          <w:color w:val="231F20"/>
        </w:rPr>
        <w:t>existence</w:t>
      </w:r>
      <w:r>
        <w:rPr>
          <w:color w:val="231F20"/>
          <w:spacing w:val="-5"/>
        </w:rPr>
        <w:t> </w:t>
      </w:r>
      <w:r>
        <w:rPr>
          <w:color w:val="231F20"/>
        </w:rPr>
        <w:t>of</w:t>
      </w:r>
      <w:r>
        <w:rPr>
          <w:color w:val="231F20"/>
          <w:spacing w:val="-5"/>
        </w:rPr>
        <w:t> </w:t>
      </w:r>
      <w:r>
        <w:rPr>
          <w:color w:val="231F20"/>
        </w:rPr>
        <w:t>gender</w:t>
      </w:r>
      <w:r>
        <w:rPr>
          <w:color w:val="231F20"/>
          <w:spacing w:val="-5"/>
        </w:rPr>
        <w:t> </w:t>
      </w:r>
      <w:r>
        <w:rPr>
          <w:color w:val="231F20"/>
        </w:rPr>
        <w:t>selection</w:t>
      </w:r>
      <w:r>
        <w:rPr>
          <w:color w:val="231F20"/>
          <w:spacing w:val="-5"/>
        </w:rPr>
        <w:t> </w:t>
      </w:r>
      <w:r>
        <w:rPr>
          <w:color w:val="231F20"/>
        </w:rPr>
        <w:t>(which</w:t>
      </w:r>
      <w:r>
        <w:rPr>
          <w:color w:val="231F20"/>
          <w:spacing w:val="-5"/>
        </w:rPr>
        <w:t> </w:t>
      </w:r>
      <w:r>
        <w:rPr>
          <w:color w:val="231F20"/>
        </w:rPr>
        <w:t>goes</w:t>
      </w:r>
      <w:r>
        <w:rPr>
          <w:color w:val="231F20"/>
          <w:spacing w:val="-5"/>
        </w:rPr>
        <w:t> </w:t>
      </w:r>
      <w:r>
        <w:rPr>
          <w:color w:val="231F20"/>
        </w:rPr>
        <w:t>against received opinion). Male migration is surpassed by that of females in almost all age groups. Second, it makes a reappraisal of the migration of the young in Mexico State. This does not follow the pattern suggested by</w:t>
      </w:r>
      <w:r>
        <w:rPr>
          <w:color w:val="231F20"/>
          <w:spacing w:val="-26"/>
        </w:rPr>
        <w:t> </w:t>
      </w:r>
      <w:r>
        <w:rPr>
          <w:color w:val="231F20"/>
        </w:rPr>
        <w:t>demographers who</w:t>
      </w:r>
      <w:r>
        <w:rPr>
          <w:color w:val="231F20"/>
          <w:spacing w:val="-6"/>
        </w:rPr>
        <w:t> </w:t>
      </w:r>
      <w:r>
        <w:rPr>
          <w:color w:val="231F20"/>
        </w:rPr>
        <w:t>have</w:t>
      </w:r>
      <w:r>
        <w:rPr>
          <w:color w:val="231F20"/>
          <w:spacing w:val="-6"/>
        </w:rPr>
        <w:t> </w:t>
      </w:r>
      <w:r>
        <w:rPr>
          <w:color w:val="231F20"/>
        </w:rPr>
        <w:t>studied</w:t>
      </w:r>
      <w:r>
        <w:rPr>
          <w:color w:val="231F20"/>
          <w:spacing w:val="-6"/>
        </w:rPr>
        <w:t> </w:t>
      </w:r>
      <w:r>
        <w:rPr>
          <w:color w:val="231F20"/>
        </w:rPr>
        <w:t>the</w:t>
      </w:r>
      <w:r>
        <w:rPr>
          <w:color w:val="231F20"/>
          <w:spacing w:val="-6"/>
        </w:rPr>
        <w:t> </w:t>
      </w:r>
      <w:r>
        <w:rPr>
          <w:color w:val="231F20"/>
        </w:rPr>
        <w:t>phenomenon</w:t>
      </w:r>
      <w:r>
        <w:rPr>
          <w:color w:val="231F20"/>
          <w:spacing w:val="-6"/>
        </w:rPr>
        <w:t> </w:t>
      </w:r>
      <w:r>
        <w:rPr>
          <w:color w:val="231F20"/>
        </w:rPr>
        <w:t>in</w:t>
      </w:r>
      <w:r>
        <w:rPr>
          <w:color w:val="231F20"/>
          <w:spacing w:val="-6"/>
        </w:rPr>
        <w:t> </w:t>
      </w:r>
      <w:r>
        <w:rPr>
          <w:color w:val="231F20"/>
        </w:rPr>
        <w:t>the</w:t>
      </w:r>
      <w:r>
        <w:rPr>
          <w:color w:val="231F20"/>
          <w:spacing w:val="-6"/>
        </w:rPr>
        <w:t> </w:t>
      </w:r>
      <w:r>
        <w:rPr>
          <w:color w:val="231F20"/>
        </w:rPr>
        <w:t>developed</w:t>
      </w:r>
      <w:r>
        <w:rPr>
          <w:color w:val="231F20"/>
          <w:spacing w:val="-7"/>
        </w:rPr>
        <w:t> </w:t>
      </w:r>
      <w:r>
        <w:rPr>
          <w:color w:val="231F20"/>
        </w:rPr>
        <w:t>world</w:t>
      </w:r>
      <w:r>
        <w:rPr>
          <w:color w:val="231F20"/>
          <w:spacing w:val="-6"/>
        </w:rPr>
        <w:t> </w:t>
      </w:r>
      <w:r>
        <w:rPr>
          <w:color w:val="231F20"/>
        </w:rPr>
        <w:t>and</w:t>
      </w:r>
      <w:r>
        <w:rPr>
          <w:color w:val="231F20"/>
          <w:spacing w:val="-6"/>
        </w:rPr>
        <w:t> </w:t>
      </w:r>
      <w:r>
        <w:rPr>
          <w:color w:val="231F20"/>
        </w:rPr>
        <w:t>tried</w:t>
      </w:r>
      <w:r>
        <w:rPr>
          <w:color w:val="231F20"/>
          <w:spacing w:val="-6"/>
        </w:rPr>
        <w:t> </w:t>
      </w:r>
      <w:r>
        <w:rPr>
          <w:color w:val="231F20"/>
        </w:rPr>
        <w:t>to</w:t>
      </w:r>
      <w:r>
        <w:rPr>
          <w:color w:val="231F20"/>
          <w:spacing w:val="-6"/>
        </w:rPr>
        <w:t> </w:t>
      </w:r>
      <w:r>
        <w:rPr>
          <w:color w:val="231F20"/>
        </w:rPr>
        <w:t>gene- ralize their conclusions. The general model of migratory behaviour for each age group established by (Rogers 1975: 146-147) and cited by (Pimienta 1999: 29-32) states that: “The regularities observed in the pattern of migration are unsurprising: young adults show the highest rates of migration because they have fewer ties to their community, their children are not normally at school and they are not, generally, the owners of the places where they live. Rather, they</w:t>
      </w:r>
      <w:r>
        <w:rPr>
          <w:color w:val="231F20"/>
          <w:spacing w:val="-11"/>
        </w:rPr>
        <w:t> </w:t>
      </w:r>
      <w:r>
        <w:rPr>
          <w:color w:val="231F20"/>
        </w:rPr>
        <w:t>tend</w:t>
      </w:r>
      <w:r>
        <w:rPr>
          <w:color w:val="231F20"/>
          <w:spacing w:val="-11"/>
        </w:rPr>
        <w:t> </w:t>
      </w:r>
      <w:r>
        <w:rPr>
          <w:color w:val="231F20"/>
        </w:rPr>
        <w:t>to</w:t>
      </w:r>
      <w:r>
        <w:rPr>
          <w:color w:val="231F20"/>
          <w:spacing w:val="-11"/>
        </w:rPr>
        <w:t> </w:t>
      </w:r>
      <w:r>
        <w:rPr>
          <w:color w:val="231F20"/>
        </w:rPr>
        <w:t>be</w:t>
      </w:r>
      <w:r>
        <w:rPr>
          <w:color w:val="231F20"/>
          <w:spacing w:val="-11"/>
        </w:rPr>
        <w:t> </w:t>
      </w:r>
      <w:r>
        <w:rPr>
          <w:color w:val="231F20"/>
        </w:rPr>
        <w:t>renting</w:t>
      </w:r>
      <w:r>
        <w:rPr>
          <w:color w:val="231F20"/>
          <w:spacing w:val="-11"/>
        </w:rPr>
        <w:t> </w:t>
      </w:r>
      <w:r>
        <w:rPr>
          <w:color w:val="231F20"/>
        </w:rPr>
        <w:t>their</w:t>
      </w:r>
      <w:r>
        <w:rPr>
          <w:color w:val="231F20"/>
          <w:spacing w:val="-11"/>
        </w:rPr>
        <w:t> </w:t>
      </w:r>
      <w:r>
        <w:rPr>
          <w:color w:val="231F20"/>
        </w:rPr>
        <w:t>dwellings</w:t>
      </w:r>
      <w:r>
        <w:rPr>
          <w:color w:val="231F20"/>
          <w:spacing w:val="-11"/>
        </w:rPr>
        <w:t> </w:t>
      </w:r>
      <w:r>
        <w:rPr>
          <w:color w:val="231F20"/>
        </w:rPr>
        <w:t>and</w:t>
      </w:r>
      <w:r>
        <w:rPr>
          <w:color w:val="231F20"/>
          <w:spacing w:val="-11"/>
        </w:rPr>
        <w:t> </w:t>
      </w:r>
      <w:r>
        <w:rPr>
          <w:color w:val="231F20"/>
        </w:rPr>
        <w:t>as</w:t>
      </w:r>
      <w:r>
        <w:rPr>
          <w:color w:val="231F20"/>
          <w:spacing w:val="-11"/>
        </w:rPr>
        <w:t> </w:t>
      </w:r>
      <w:r>
        <w:rPr>
          <w:color w:val="231F20"/>
        </w:rPr>
        <w:t>they</w:t>
      </w:r>
      <w:r>
        <w:rPr>
          <w:color w:val="231F20"/>
          <w:spacing w:val="-11"/>
        </w:rPr>
        <w:t> </w:t>
      </w:r>
      <w:r>
        <w:rPr>
          <w:color w:val="231F20"/>
        </w:rPr>
        <w:t>have</w:t>
      </w:r>
      <w:r>
        <w:rPr>
          <w:color w:val="231F20"/>
          <w:spacing w:val="-11"/>
        </w:rPr>
        <w:t> </w:t>
      </w:r>
      <w:r>
        <w:rPr>
          <w:color w:val="231F20"/>
        </w:rPr>
        <w:t>not</w:t>
      </w:r>
      <w:r>
        <w:rPr>
          <w:color w:val="231F20"/>
          <w:spacing w:val="-11"/>
        </w:rPr>
        <w:t> </w:t>
      </w:r>
      <w:r>
        <w:rPr>
          <w:color w:val="231F20"/>
        </w:rPr>
        <w:t>acquired</w:t>
      </w:r>
      <w:r>
        <w:rPr>
          <w:color w:val="231F20"/>
          <w:spacing w:val="-11"/>
        </w:rPr>
        <w:t> </w:t>
      </w:r>
      <w:r>
        <w:rPr>
          <w:color w:val="231F20"/>
        </w:rPr>
        <w:t>seniority in their workplace, this is not yet an important consideration for them. Given that children move as part of the family, their migratory pattern is a reflec- tion of their parents´pattern. Consequently, as younger parents have smaller children, the geographical mobility of these children is greater than that of adolescents. Finally, the small bump which appears between the ages of 62 and 65 shows migration after retirement”.</w:t>
      </w:r>
    </w:p>
    <w:p>
      <w:pPr>
        <w:pStyle w:val="BodyText"/>
        <w:spacing w:line="240" w:lineRule="exact"/>
        <w:ind w:left="360" w:right="171" w:firstLine="283"/>
        <w:jc w:val="both"/>
      </w:pPr>
      <w:r>
        <w:rPr>
          <w:color w:val="231F20"/>
        </w:rPr>
        <w:t>According to this view, migration in early childhood should be greater than that later in childhood. However, Table 4 and Graphs 9 and 10 show      a completely different situation. In these, migration can be seen as a curve which grows from left to right in childhood, exactly the opposite of the idea suggested in the model. There are three possible explanations of this pheno- menon. One is that what is happening here is permanent migration in which the child migrates with the whole family during the early years of his life. Another is that one of the parents or both migrate without small children as  a strategy to ensure the survival of the family. Still another is that children in their later childhood (probably from the age of 12 onwards) migrate on their own in order to help their parents with the economy of the family.</w:t>
      </w:r>
      <w:r>
        <w:rPr>
          <w:color w:val="231F20"/>
          <w:spacing w:val="-14"/>
        </w:rPr>
        <w:t> </w:t>
      </w:r>
      <w:r>
        <w:rPr>
          <w:color w:val="231F20"/>
        </w:rPr>
        <w:t>(Pimienta, 2001)</w:t>
      </w:r>
    </w:p>
    <w:p>
      <w:pPr>
        <w:spacing w:after="0" w:line="240" w:lineRule="exact"/>
        <w:jc w:val="both"/>
        <w:sectPr>
          <w:pgSz w:w="9640" w:h="13040"/>
          <w:pgMar w:header="737" w:footer="779" w:top="920" w:bottom="960" w:left="1340" w:right="960"/>
        </w:sectPr>
      </w:pPr>
    </w:p>
    <w:p>
      <w:pPr>
        <w:pStyle w:val="BodyText"/>
        <w:spacing w:line="213" w:lineRule="exact"/>
        <w:ind w:left="173" w:firstLine="283"/>
        <w:jc w:val="both"/>
      </w:pPr>
      <w:r>
        <w:rPr>
          <w:color w:val="231F20"/>
        </w:rPr>
        <w:t>Third, it has been shown that most migrants are of working age, both wo-</w:t>
      </w:r>
    </w:p>
    <w:p>
      <w:pPr>
        <w:pStyle w:val="BodyText"/>
        <w:spacing w:line="240" w:lineRule="exact" w:before="3"/>
        <w:ind w:left="173" w:right="358"/>
        <w:jc w:val="both"/>
      </w:pPr>
      <w:r>
        <w:rPr>
          <w:color w:val="231F20"/>
        </w:rPr>
        <w:t>men and men. The former are both more numerous and slightly older than the latter. Many immigrants to the state are in the over-18 age group and this has</w:t>
      </w:r>
      <w:r>
        <w:rPr>
          <w:color w:val="231F20"/>
          <w:spacing w:val="-3"/>
        </w:rPr>
        <w:t> </w:t>
      </w:r>
      <w:r>
        <w:rPr>
          <w:color w:val="231F20"/>
        </w:rPr>
        <w:t>contributed</w:t>
      </w:r>
      <w:r>
        <w:rPr>
          <w:color w:val="231F20"/>
          <w:spacing w:val="-3"/>
        </w:rPr>
        <w:t> </w:t>
      </w:r>
      <w:r>
        <w:rPr>
          <w:color w:val="231F20"/>
        </w:rPr>
        <w:t>to</w:t>
      </w:r>
      <w:r>
        <w:rPr>
          <w:color w:val="231F20"/>
          <w:spacing w:val="-3"/>
        </w:rPr>
        <w:t> </w:t>
      </w:r>
      <w:r>
        <w:rPr>
          <w:color w:val="231F20"/>
        </w:rPr>
        <w:t>a</w:t>
      </w:r>
      <w:r>
        <w:rPr>
          <w:color w:val="231F20"/>
          <w:spacing w:val="-3"/>
        </w:rPr>
        <w:t> </w:t>
      </w:r>
      <w:r>
        <w:rPr>
          <w:color w:val="231F20"/>
        </w:rPr>
        <w:t>relative</w:t>
      </w:r>
      <w:r>
        <w:rPr>
          <w:color w:val="231F20"/>
          <w:spacing w:val="-3"/>
        </w:rPr>
        <w:t> </w:t>
      </w:r>
      <w:r>
        <w:rPr>
          <w:color w:val="231F20"/>
        </w:rPr>
        <w:t>but</w:t>
      </w:r>
      <w:r>
        <w:rPr>
          <w:color w:val="231F20"/>
          <w:spacing w:val="-3"/>
        </w:rPr>
        <w:t> </w:t>
      </w:r>
      <w:r>
        <w:rPr>
          <w:color w:val="231F20"/>
        </w:rPr>
        <w:t>slight</w:t>
      </w:r>
      <w:r>
        <w:rPr>
          <w:color w:val="231F20"/>
          <w:spacing w:val="-3"/>
        </w:rPr>
        <w:t> </w:t>
      </w:r>
      <w:r>
        <w:rPr>
          <w:color w:val="231F20"/>
        </w:rPr>
        <w:t>ageing</w:t>
      </w:r>
      <w:r>
        <w:rPr>
          <w:color w:val="231F20"/>
          <w:spacing w:val="-3"/>
        </w:rPr>
        <w:t> </w:t>
      </w:r>
      <w:r>
        <w:rPr>
          <w:color w:val="231F20"/>
        </w:rPr>
        <w:t>of</w:t>
      </w:r>
      <w:r>
        <w:rPr>
          <w:color w:val="231F20"/>
          <w:spacing w:val="-3"/>
        </w:rPr>
        <w:t> </w:t>
      </w:r>
      <w:r>
        <w:rPr>
          <w:color w:val="231F20"/>
        </w:rPr>
        <w:t>the</w:t>
      </w:r>
      <w:r>
        <w:rPr>
          <w:color w:val="231F20"/>
          <w:spacing w:val="-3"/>
        </w:rPr>
        <w:t> </w:t>
      </w:r>
      <w:r>
        <w:rPr>
          <w:color w:val="231F20"/>
        </w:rPr>
        <w:t>population.</w:t>
      </w:r>
      <w:r>
        <w:rPr>
          <w:color w:val="231F20"/>
          <w:spacing w:val="-3"/>
        </w:rPr>
        <w:t> </w:t>
      </w:r>
      <w:r>
        <w:rPr>
          <w:color w:val="231F20"/>
        </w:rPr>
        <w:t>For</w:t>
      </w:r>
      <w:r>
        <w:rPr>
          <w:color w:val="231F20"/>
          <w:spacing w:val="-3"/>
        </w:rPr>
        <w:t> </w:t>
      </w:r>
      <w:r>
        <w:rPr>
          <w:color w:val="231F20"/>
        </w:rPr>
        <w:t>example, the over 65 age group comprises 3.8% of the total population, 4.5% of immi- grants and 8.5 of emigrants.</w:t>
      </w:r>
    </w:p>
    <w:p>
      <w:pPr>
        <w:pStyle w:val="BodyText"/>
        <w:spacing w:line="240" w:lineRule="exact"/>
        <w:ind w:left="173" w:right="358" w:firstLine="283"/>
        <w:jc w:val="both"/>
      </w:pPr>
      <w:r>
        <w:rPr>
          <w:color w:val="231F20"/>
        </w:rPr>
        <w:t>Graphs 9 and 10 show a very clear pattern of migration which, although comparable in general terms to the theoretical models, does not reproduce them. Some parts of the curves do not display the tendencies the theory pre- dicts. Moreover, the behaviour of the over-65 age group also differs from the expected pattern.</w:t>
      </w:r>
    </w:p>
    <w:p>
      <w:pPr>
        <w:pStyle w:val="BodyText"/>
        <w:spacing w:line="240" w:lineRule="exact"/>
        <w:ind w:left="173" w:right="358" w:firstLine="283"/>
        <w:jc w:val="both"/>
      </w:pPr>
      <w:r>
        <w:rPr>
          <w:color w:val="231F20"/>
        </w:rPr>
        <w:t>Fourth, for some time the idea of a demographic bonus has been under discussion i.e. that the form of the population pyramid follows that of an</w:t>
      </w:r>
      <w:r>
        <w:rPr>
          <w:color w:val="231F20"/>
          <w:spacing w:val="-26"/>
        </w:rPr>
        <w:t> </w:t>
      </w:r>
      <w:r>
        <w:rPr>
          <w:color w:val="231F20"/>
        </w:rPr>
        <w:t>am- phora. This means that most of the population is of working age and there are only a small number of people in the ages of economic dependence i.e. small children and those of retirement age. It could be said that the state of Mexico</w:t>
      </w:r>
      <w:r>
        <w:rPr>
          <w:color w:val="231F20"/>
          <w:spacing w:val="-4"/>
        </w:rPr>
        <w:t> </w:t>
      </w:r>
      <w:r>
        <w:rPr>
          <w:color w:val="231F20"/>
        </w:rPr>
        <w:t>(and</w:t>
      </w:r>
      <w:r>
        <w:rPr>
          <w:color w:val="231F20"/>
          <w:spacing w:val="-4"/>
        </w:rPr>
        <w:t> </w:t>
      </w:r>
      <w:r>
        <w:rPr>
          <w:color w:val="231F20"/>
        </w:rPr>
        <w:t>its</w:t>
      </w:r>
      <w:r>
        <w:rPr>
          <w:color w:val="231F20"/>
          <w:spacing w:val="-4"/>
        </w:rPr>
        <w:t> </w:t>
      </w:r>
      <w:r>
        <w:rPr>
          <w:color w:val="231F20"/>
        </w:rPr>
        <w:t>neighbour</w:t>
      </w:r>
      <w:r>
        <w:rPr>
          <w:color w:val="231F20"/>
          <w:spacing w:val="-4"/>
        </w:rPr>
        <w:t> </w:t>
      </w:r>
      <w:r>
        <w:rPr>
          <w:color w:val="231F20"/>
        </w:rPr>
        <w:t>Mexico</w:t>
      </w:r>
      <w:r>
        <w:rPr>
          <w:color w:val="231F20"/>
          <w:spacing w:val="-4"/>
        </w:rPr>
        <w:t> </w:t>
      </w:r>
      <w:r>
        <w:rPr>
          <w:color w:val="231F20"/>
        </w:rPr>
        <w:t>City)</w:t>
      </w:r>
      <w:r>
        <w:rPr>
          <w:color w:val="231F20"/>
          <w:spacing w:val="-4"/>
        </w:rPr>
        <w:t> </w:t>
      </w:r>
      <w:r>
        <w:rPr>
          <w:color w:val="231F20"/>
        </w:rPr>
        <w:t>were</w:t>
      </w:r>
      <w:r>
        <w:rPr>
          <w:color w:val="231F20"/>
          <w:spacing w:val="-4"/>
        </w:rPr>
        <w:t> </w:t>
      </w:r>
      <w:r>
        <w:rPr>
          <w:color w:val="231F20"/>
        </w:rPr>
        <w:t>early</w:t>
      </w:r>
      <w:r>
        <w:rPr>
          <w:color w:val="231F20"/>
          <w:spacing w:val="-4"/>
        </w:rPr>
        <w:t> </w:t>
      </w:r>
      <w:r>
        <w:rPr>
          <w:color w:val="231F20"/>
        </w:rPr>
        <w:t>beneficiaries</w:t>
      </w:r>
      <w:r>
        <w:rPr>
          <w:color w:val="231F20"/>
          <w:spacing w:val="-4"/>
        </w:rPr>
        <w:t> </w:t>
      </w:r>
      <w:r>
        <w:rPr>
          <w:color w:val="231F20"/>
        </w:rPr>
        <w:t>of</w:t>
      </w:r>
      <w:r>
        <w:rPr>
          <w:color w:val="231F20"/>
          <w:spacing w:val="-4"/>
        </w:rPr>
        <w:t> </w:t>
      </w:r>
      <w:r>
        <w:rPr>
          <w:color w:val="231F20"/>
        </w:rPr>
        <w:t>this</w:t>
      </w:r>
      <w:r>
        <w:rPr>
          <w:color w:val="231F20"/>
          <w:spacing w:val="-4"/>
        </w:rPr>
        <w:t> </w:t>
      </w:r>
      <w:r>
        <w:rPr>
          <w:color w:val="231F20"/>
        </w:rPr>
        <w:t>bonus because most of the migrants to these entities are of working age. It would</w:t>
      </w:r>
      <w:r>
        <w:rPr>
          <w:color w:val="231F20"/>
          <w:spacing w:val="-28"/>
        </w:rPr>
        <w:t> </w:t>
      </w:r>
      <w:r>
        <w:rPr>
          <w:color w:val="231F20"/>
        </w:rPr>
        <w:t>be well worth examining, on another occasion, the demographic symbiosis bet- ween Mexico City and Mexico State. 16 municipalities of Mexico State have such a close relationship to the city that they are considered part of the</w:t>
      </w:r>
      <w:r>
        <w:rPr>
          <w:color w:val="231F20"/>
          <w:spacing w:val="-16"/>
        </w:rPr>
        <w:t> </w:t>
      </w:r>
      <w:r>
        <w:rPr>
          <w:color w:val="231F20"/>
        </w:rPr>
        <w:t>urban zone (esp. “conurbado” ) and the governments of the two adjoining political units</w:t>
      </w:r>
      <w:r>
        <w:rPr>
          <w:color w:val="231F20"/>
          <w:spacing w:val="-5"/>
        </w:rPr>
        <w:t> </w:t>
      </w:r>
      <w:r>
        <w:rPr>
          <w:color w:val="231F20"/>
        </w:rPr>
        <w:t>collaborate</w:t>
      </w:r>
      <w:r>
        <w:rPr>
          <w:color w:val="231F20"/>
          <w:spacing w:val="-5"/>
        </w:rPr>
        <w:t> </w:t>
      </w:r>
      <w:r>
        <w:rPr>
          <w:color w:val="231F20"/>
        </w:rPr>
        <w:t>to</w:t>
      </w:r>
      <w:r>
        <w:rPr>
          <w:color w:val="231F20"/>
          <w:spacing w:val="-5"/>
        </w:rPr>
        <w:t> </w:t>
      </w:r>
      <w:r>
        <w:rPr>
          <w:color w:val="231F20"/>
        </w:rPr>
        <w:t>finance</w:t>
      </w:r>
      <w:r>
        <w:rPr>
          <w:color w:val="231F20"/>
          <w:spacing w:val="-5"/>
        </w:rPr>
        <w:t> </w:t>
      </w:r>
      <w:r>
        <w:rPr>
          <w:color w:val="231F20"/>
        </w:rPr>
        <w:t>and</w:t>
      </w:r>
      <w:r>
        <w:rPr>
          <w:color w:val="231F20"/>
          <w:spacing w:val="-5"/>
        </w:rPr>
        <w:t> </w:t>
      </w:r>
      <w:r>
        <w:rPr>
          <w:color w:val="231F20"/>
        </w:rPr>
        <w:t>built</w:t>
      </w:r>
      <w:r>
        <w:rPr>
          <w:color w:val="231F20"/>
          <w:spacing w:val="-5"/>
        </w:rPr>
        <w:t> </w:t>
      </w:r>
      <w:r>
        <w:rPr>
          <w:color w:val="231F20"/>
        </w:rPr>
        <w:t>infrastructure</w:t>
      </w:r>
      <w:r>
        <w:rPr>
          <w:color w:val="231F20"/>
          <w:spacing w:val="-5"/>
        </w:rPr>
        <w:t> </w:t>
      </w:r>
      <w:r>
        <w:rPr>
          <w:color w:val="231F20"/>
        </w:rPr>
        <w:t>(e.g.</w:t>
      </w:r>
      <w:r>
        <w:rPr>
          <w:color w:val="231F20"/>
          <w:spacing w:val="-5"/>
        </w:rPr>
        <w:t> </w:t>
      </w:r>
      <w:r>
        <w:rPr>
          <w:color w:val="231F20"/>
        </w:rPr>
        <w:t>the</w:t>
      </w:r>
      <w:r>
        <w:rPr>
          <w:color w:val="231F20"/>
          <w:spacing w:val="-5"/>
        </w:rPr>
        <w:t> </w:t>
      </w:r>
      <w:r>
        <w:rPr>
          <w:color w:val="231F20"/>
        </w:rPr>
        <w:t>new</w:t>
      </w:r>
      <w:r>
        <w:rPr>
          <w:color w:val="231F20"/>
          <w:spacing w:val="-5"/>
        </w:rPr>
        <w:t> </w:t>
      </w:r>
      <w:r>
        <w:rPr>
          <w:color w:val="231F20"/>
        </w:rPr>
        <w:t>railway</w:t>
      </w:r>
      <w:r>
        <w:rPr>
          <w:color w:val="231F20"/>
          <w:spacing w:val="-5"/>
        </w:rPr>
        <w:t> </w:t>
      </w:r>
      <w:r>
        <w:rPr>
          <w:color w:val="231F20"/>
        </w:rPr>
        <w:t>line) which will serve the citizens of</w:t>
      </w:r>
      <w:r>
        <w:rPr>
          <w:color w:val="231F20"/>
          <w:spacing w:val="-1"/>
        </w:rPr>
        <w:t> </w:t>
      </w:r>
      <w:r>
        <w:rPr>
          <w:color w:val="231F20"/>
        </w:rPr>
        <w:t>both.</w:t>
      </w:r>
    </w:p>
    <w:p>
      <w:pPr>
        <w:pStyle w:val="BodyText"/>
        <w:spacing w:line="240" w:lineRule="exact"/>
        <w:ind w:left="173" w:right="358" w:firstLine="283"/>
        <w:jc w:val="both"/>
      </w:pPr>
      <w:r>
        <w:rPr>
          <w:color w:val="231F20"/>
        </w:rPr>
        <w:t>The social, economic and public policy implications of this investigation are important. That 41.2% of the present population of Mexico State are im- migrants</w:t>
      </w:r>
      <w:r>
        <w:rPr>
          <w:color w:val="231F20"/>
          <w:spacing w:val="-4"/>
        </w:rPr>
        <w:t> </w:t>
      </w:r>
      <w:r>
        <w:rPr>
          <w:color w:val="231F20"/>
        </w:rPr>
        <w:t>who</w:t>
      </w:r>
      <w:r>
        <w:rPr>
          <w:color w:val="231F20"/>
          <w:spacing w:val="-4"/>
        </w:rPr>
        <w:t> </w:t>
      </w:r>
      <w:r>
        <w:rPr>
          <w:color w:val="231F20"/>
        </w:rPr>
        <w:t>have</w:t>
      </w:r>
      <w:r>
        <w:rPr>
          <w:color w:val="231F20"/>
          <w:spacing w:val="-4"/>
        </w:rPr>
        <w:t> </w:t>
      </w:r>
      <w:r>
        <w:rPr>
          <w:color w:val="231F20"/>
        </w:rPr>
        <w:t>settled</w:t>
      </w:r>
      <w:r>
        <w:rPr>
          <w:color w:val="231F20"/>
          <w:spacing w:val="-4"/>
        </w:rPr>
        <w:t> </w:t>
      </w:r>
      <w:r>
        <w:rPr>
          <w:color w:val="231F20"/>
        </w:rPr>
        <w:t>in</w:t>
      </w:r>
      <w:r>
        <w:rPr>
          <w:color w:val="231F20"/>
          <w:spacing w:val="-4"/>
        </w:rPr>
        <w:t> </w:t>
      </w:r>
      <w:r>
        <w:rPr>
          <w:color w:val="231F20"/>
        </w:rPr>
        <w:t>the</w:t>
      </w:r>
      <w:r>
        <w:rPr>
          <w:color w:val="231F20"/>
          <w:spacing w:val="-4"/>
        </w:rPr>
        <w:t> </w:t>
      </w:r>
      <w:r>
        <w:rPr>
          <w:color w:val="231F20"/>
        </w:rPr>
        <w:t>state</w:t>
      </w:r>
      <w:r>
        <w:rPr>
          <w:color w:val="231F20"/>
          <w:spacing w:val="-4"/>
        </w:rPr>
        <w:t> </w:t>
      </w:r>
      <w:r>
        <w:rPr>
          <w:color w:val="231F20"/>
        </w:rPr>
        <w:t>from</w:t>
      </w:r>
      <w:r>
        <w:rPr>
          <w:color w:val="231F20"/>
          <w:spacing w:val="-4"/>
        </w:rPr>
        <w:t> </w:t>
      </w:r>
      <w:r>
        <w:rPr>
          <w:color w:val="231F20"/>
        </w:rPr>
        <w:t>the</w:t>
      </w:r>
      <w:r>
        <w:rPr>
          <w:color w:val="231F20"/>
          <w:spacing w:val="-4"/>
        </w:rPr>
        <w:t> </w:t>
      </w:r>
      <w:r>
        <w:rPr>
          <w:color w:val="231F20"/>
        </w:rPr>
        <w:t>rest</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republic</w:t>
      </w:r>
      <w:r>
        <w:rPr>
          <w:color w:val="231F20"/>
          <w:spacing w:val="-4"/>
        </w:rPr>
        <w:t> </w:t>
      </w:r>
      <w:r>
        <w:rPr>
          <w:color w:val="231F20"/>
        </w:rPr>
        <w:t>gives</w:t>
      </w:r>
      <w:r>
        <w:rPr>
          <w:color w:val="231F20"/>
          <w:spacing w:val="-4"/>
        </w:rPr>
        <w:t> </w:t>
      </w:r>
      <w:r>
        <w:rPr>
          <w:color w:val="231F20"/>
        </w:rPr>
        <w:t>pau- se for thought. It is of great importance to analyze these population flows which have immense consequences for planning, allocation of resources and the</w:t>
      </w:r>
      <w:r>
        <w:rPr>
          <w:color w:val="231F20"/>
          <w:spacing w:val="-1"/>
        </w:rPr>
        <w:t> </w:t>
      </w:r>
      <w:r>
        <w:rPr>
          <w:color w:val="231F20"/>
        </w:rPr>
        <w:t>welfare.</w:t>
      </w:r>
    </w:p>
    <w:p>
      <w:pPr>
        <w:pStyle w:val="BodyText"/>
        <w:spacing w:line="240" w:lineRule="exact"/>
        <w:ind w:left="173" w:right="358" w:firstLine="283"/>
        <w:jc w:val="both"/>
      </w:pPr>
      <w:r>
        <w:rPr>
          <w:color w:val="231F20"/>
        </w:rPr>
        <w:t>In demography a net migratory balance is defined as the difference, in a given area, between the number of immigrants and the number of</w:t>
      </w:r>
      <w:r>
        <w:rPr>
          <w:color w:val="231F20"/>
          <w:spacing w:val="-22"/>
        </w:rPr>
        <w:t> </w:t>
      </w:r>
      <w:r>
        <w:rPr>
          <w:color w:val="231F20"/>
        </w:rPr>
        <w:t>emigrants. This may be positive or negative. If the number of emigrants is greater than that of immigrants (a positive difference) it is considered a zone of</w:t>
      </w:r>
      <w:r>
        <w:rPr>
          <w:color w:val="231F20"/>
          <w:spacing w:val="-24"/>
        </w:rPr>
        <w:t> </w:t>
      </w:r>
      <w:r>
        <w:rPr>
          <w:color w:val="231F20"/>
        </w:rPr>
        <w:t>expulsion. If the balance is zero. It is considered to be in equilibrium.</w:t>
      </w:r>
    </w:p>
    <w:p>
      <w:pPr>
        <w:pStyle w:val="Heading5"/>
        <w:spacing w:before="167"/>
        <w:ind w:right="43"/>
      </w:pPr>
      <w:r>
        <w:rPr>
          <w:color w:val="231F20"/>
        </w:rPr>
        <w:t>Bibliography</w:t>
      </w:r>
    </w:p>
    <w:p>
      <w:pPr>
        <w:pStyle w:val="BodyText"/>
        <w:spacing w:before="8"/>
        <w:rPr>
          <w:sz w:val="19"/>
        </w:rPr>
      </w:pPr>
    </w:p>
    <w:p>
      <w:pPr>
        <w:spacing w:line="249" w:lineRule="auto" w:before="0"/>
        <w:ind w:left="457" w:right="323" w:hanging="284"/>
        <w:jc w:val="left"/>
        <w:rPr>
          <w:rFonts w:ascii="Arial" w:hAnsi="Arial"/>
          <w:sz w:val="18"/>
        </w:rPr>
      </w:pPr>
      <w:r>
        <w:rPr>
          <w:rFonts w:ascii="Arial" w:hAnsi="Arial"/>
          <w:color w:val="231F20"/>
          <w:sz w:val="18"/>
        </w:rPr>
        <w:t>CONAPO, 1994 a: </w:t>
      </w:r>
      <w:r>
        <w:rPr>
          <w:rFonts w:ascii="Arial" w:hAnsi="Arial"/>
          <w:i/>
          <w:color w:val="231F20"/>
          <w:sz w:val="18"/>
        </w:rPr>
        <w:t>Evolución de las ciudades de México</w:t>
      </w:r>
      <w:r>
        <w:rPr>
          <w:rFonts w:ascii="Arial" w:hAnsi="Arial"/>
          <w:color w:val="231F20"/>
          <w:sz w:val="18"/>
        </w:rPr>
        <w:t>, México: Consejo Nacional de Población.</w:t>
      </w:r>
    </w:p>
    <w:p>
      <w:pPr>
        <w:spacing w:line="249" w:lineRule="auto" w:before="125"/>
        <w:ind w:left="457" w:right="43" w:hanging="284"/>
        <w:jc w:val="left"/>
        <w:rPr>
          <w:rFonts w:ascii="Arial" w:hAnsi="Arial"/>
          <w:sz w:val="18"/>
        </w:rPr>
      </w:pPr>
      <w:r>
        <w:rPr>
          <w:rFonts w:ascii="Arial" w:hAnsi="Arial"/>
          <w:color w:val="231F20"/>
          <w:sz w:val="18"/>
        </w:rPr>
        <w:t>CONAPO, 1994b. </w:t>
      </w:r>
      <w:r>
        <w:rPr>
          <w:rFonts w:ascii="Arial" w:hAnsi="Arial"/>
          <w:i/>
          <w:color w:val="231F20"/>
          <w:sz w:val="18"/>
        </w:rPr>
        <w:t>La población de los municipios de México: 1950-1990</w:t>
      </w:r>
      <w:r>
        <w:rPr>
          <w:rFonts w:ascii="Arial" w:hAnsi="Arial"/>
          <w:color w:val="231F20"/>
          <w:sz w:val="18"/>
        </w:rPr>
        <w:t>. México: Consejo Nacional de Población.</w:t>
      </w:r>
    </w:p>
    <w:p>
      <w:pPr>
        <w:spacing w:after="0" w:line="249" w:lineRule="auto"/>
        <w:jc w:val="left"/>
        <w:rPr>
          <w:rFonts w:ascii="Arial" w:hAnsi="Arial"/>
          <w:sz w:val="18"/>
        </w:rPr>
        <w:sectPr>
          <w:pgSz w:w="9640" w:h="13040"/>
          <w:pgMar w:header="954" w:footer="779" w:top="1380" w:bottom="960" w:left="960" w:right="1340"/>
        </w:sectPr>
      </w:pPr>
    </w:p>
    <w:p>
      <w:pPr>
        <w:pStyle w:val="BodyText"/>
        <w:rPr>
          <w:rFonts w:ascii="Arial"/>
        </w:rPr>
      </w:pPr>
    </w:p>
    <w:p>
      <w:pPr>
        <w:pStyle w:val="BodyText"/>
        <w:spacing w:before="5"/>
        <w:rPr>
          <w:rFonts w:ascii="Arial"/>
          <w:sz w:val="18"/>
        </w:rPr>
      </w:pPr>
    </w:p>
    <w:p>
      <w:pPr>
        <w:spacing w:line="249" w:lineRule="auto" w:before="0"/>
        <w:ind w:left="644" w:right="171" w:hanging="284"/>
        <w:jc w:val="both"/>
        <w:rPr>
          <w:rFonts w:ascii="Arial" w:hAnsi="Arial"/>
          <w:sz w:val="18"/>
        </w:rPr>
      </w:pPr>
      <w:r>
        <w:rPr>
          <w:rFonts w:ascii="Arial" w:hAnsi="Arial"/>
          <w:color w:val="231F20"/>
          <w:sz w:val="18"/>
        </w:rPr>
        <w:t>Secretaría de Fomento y Antonio Peñafiel Editores México; 1903: </w:t>
      </w:r>
      <w:r>
        <w:rPr>
          <w:rFonts w:ascii="Arial" w:hAnsi="Arial"/>
          <w:i/>
          <w:color w:val="231F20"/>
          <w:sz w:val="18"/>
        </w:rPr>
        <w:t>Censo General de </w:t>
      </w:r>
      <w:r>
        <w:rPr>
          <w:rFonts w:ascii="Arial" w:hAnsi="Arial"/>
          <w:i/>
          <w:color w:val="231F20"/>
          <w:sz w:val="18"/>
        </w:rPr>
        <w:t>la República Mexicana verificado el 28 de Octubre de 1900</w:t>
      </w:r>
      <w:r>
        <w:rPr>
          <w:rFonts w:ascii="Arial" w:hAnsi="Arial"/>
          <w:color w:val="231F20"/>
          <w:sz w:val="18"/>
        </w:rPr>
        <w:t>. Dirección General de Estadística.</w:t>
      </w:r>
    </w:p>
    <w:p>
      <w:pPr>
        <w:spacing w:line="249" w:lineRule="auto" w:before="125"/>
        <w:ind w:left="302" w:right="171" w:hanging="1"/>
        <w:jc w:val="right"/>
        <w:rPr>
          <w:rFonts w:ascii="Arial" w:hAnsi="Arial"/>
          <w:sz w:val="18"/>
        </w:rPr>
      </w:pPr>
      <w:r>
        <w:rPr>
          <w:rFonts w:ascii="Arial" w:hAnsi="Arial"/>
          <w:color w:val="231F20"/>
          <w:sz w:val="18"/>
        </w:rPr>
        <w:t>INEGI, 2002: </w:t>
      </w:r>
      <w:r>
        <w:rPr>
          <w:rFonts w:ascii="Arial" w:hAnsi="Arial"/>
          <w:i/>
          <w:color w:val="231F20"/>
          <w:sz w:val="18"/>
        </w:rPr>
        <w:t>Base de datos de la muestra censal del XII Censo General de Población</w:t>
      </w:r>
      <w:r>
        <w:rPr>
          <w:rFonts w:ascii="Arial" w:hAnsi="Arial"/>
          <w:i/>
          <w:color w:val="231F20"/>
          <w:w w:val="99"/>
          <w:sz w:val="18"/>
        </w:rPr>
        <w:t> </w:t>
      </w:r>
      <w:r>
        <w:rPr>
          <w:rFonts w:ascii="Arial" w:hAnsi="Arial"/>
          <w:i/>
          <w:color w:val="231F20"/>
          <w:sz w:val="18"/>
        </w:rPr>
        <w:t>y Vivienda 2000</w:t>
      </w:r>
      <w:r>
        <w:rPr>
          <w:rFonts w:ascii="Arial" w:hAnsi="Arial"/>
          <w:color w:val="231F20"/>
          <w:sz w:val="18"/>
        </w:rPr>
        <w:t>. México: Instituto Nacional de Estadística Geografía e Informática.</w:t>
      </w:r>
    </w:p>
    <w:p>
      <w:pPr>
        <w:spacing w:line="249" w:lineRule="auto" w:before="125"/>
        <w:ind w:left="644" w:right="171" w:hanging="284"/>
        <w:jc w:val="both"/>
        <w:rPr>
          <w:rFonts w:ascii="Arial" w:hAnsi="Arial"/>
          <w:sz w:val="18"/>
        </w:rPr>
      </w:pPr>
      <w:r>
        <w:rPr>
          <w:rFonts w:ascii="Arial" w:hAnsi="Arial"/>
          <w:color w:val="231F20"/>
          <w:sz w:val="18"/>
        </w:rPr>
        <w:t>INEGI,</w:t>
      </w:r>
      <w:r>
        <w:rPr>
          <w:rFonts w:ascii="Arial" w:hAnsi="Arial"/>
          <w:color w:val="231F20"/>
          <w:spacing w:val="-9"/>
          <w:sz w:val="18"/>
        </w:rPr>
        <w:t> </w:t>
      </w:r>
      <w:r>
        <w:rPr>
          <w:rFonts w:ascii="Arial" w:hAnsi="Arial"/>
          <w:color w:val="231F20"/>
          <w:sz w:val="18"/>
        </w:rPr>
        <w:t>1930-2000:</w:t>
      </w:r>
      <w:r>
        <w:rPr>
          <w:rFonts w:ascii="Arial" w:hAnsi="Arial"/>
          <w:color w:val="231F20"/>
          <w:spacing w:val="-9"/>
          <w:sz w:val="18"/>
        </w:rPr>
        <w:t> </w:t>
      </w:r>
      <w:r>
        <w:rPr>
          <w:rFonts w:ascii="Arial" w:hAnsi="Arial"/>
          <w:i/>
          <w:color w:val="231F20"/>
          <w:sz w:val="18"/>
        </w:rPr>
        <w:t>Censos</w:t>
      </w:r>
      <w:r>
        <w:rPr>
          <w:rFonts w:ascii="Arial" w:hAnsi="Arial"/>
          <w:i/>
          <w:color w:val="231F20"/>
          <w:spacing w:val="-9"/>
          <w:sz w:val="18"/>
        </w:rPr>
        <w:t> </w:t>
      </w:r>
      <w:r>
        <w:rPr>
          <w:rFonts w:ascii="Arial" w:hAnsi="Arial"/>
          <w:i/>
          <w:color w:val="231F20"/>
          <w:sz w:val="18"/>
        </w:rPr>
        <w:t>Generales</w:t>
      </w:r>
      <w:r>
        <w:rPr>
          <w:rFonts w:ascii="Arial" w:hAnsi="Arial"/>
          <w:i/>
          <w:color w:val="231F20"/>
          <w:spacing w:val="-9"/>
          <w:sz w:val="18"/>
        </w:rPr>
        <w:t> </w:t>
      </w:r>
      <w:r>
        <w:rPr>
          <w:rFonts w:ascii="Arial" w:hAnsi="Arial"/>
          <w:i/>
          <w:color w:val="231F20"/>
          <w:sz w:val="18"/>
        </w:rPr>
        <w:t>de</w:t>
      </w:r>
      <w:r>
        <w:rPr>
          <w:rFonts w:ascii="Arial" w:hAnsi="Arial"/>
          <w:i/>
          <w:color w:val="231F20"/>
          <w:spacing w:val="-9"/>
          <w:sz w:val="18"/>
        </w:rPr>
        <w:t> </w:t>
      </w:r>
      <w:r>
        <w:rPr>
          <w:rFonts w:ascii="Arial" w:hAnsi="Arial"/>
          <w:i/>
          <w:color w:val="231F20"/>
          <w:sz w:val="18"/>
        </w:rPr>
        <w:t>Población</w:t>
      </w:r>
      <w:r>
        <w:rPr>
          <w:rFonts w:ascii="Arial" w:hAnsi="Arial"/>
          <w:i/>
          <w:color w:val="231F20"/>
          <w:spacing w:val="-9"/>
          <w:sz w:val="18"/>
        </w:rPr>
        <w:t> </w:t>
      </w:r>
      <w:r>
        <w:rPr>
          <w:rFonts w:ascii="Arial" w:hAnsi="Arial"/>
          <w:i/>
          <w:color w:val="231F20"/>
          <w:sz w:val="18"/>
        </w:rPr>
        <w:t>y</w:t>
      </w:r>
      <w:r>
        <w:rPr>
          <w:rFonts w:ascii="Arial" w:hAnsi="Arial"/>
          <w:i/>
          <w:color w:val="231F20"/>
          <w:spacing w:val="-9"/>
          <w:sz w:val="18"/>
        </w:rPr>
        <w:t> </w:t>
      </w:r>
      <w:r>
        <w:rPr>
          <w:rFonts w:ascii="Arial" w:hAnsi="Arial"/>
          <w:i/>
          <w:color w:val="231F20"/>
          <w:sz w:val="18"/>
        </w:rPr>
        <w:t>Vivienda</w:t>
      </w:r>
      <w:r>
        <w:rPr>
          <w:rFonts w:ascii="Arial" w:hAnsi="Arial"/>
          <w:color w:val="231F20"/>
          <w:sz w:val="18"/>
        </w:rPr>
        <w:t>,</w:t>
      </w:r>
      <w:r>
        <w:rPr>
          <w:rFonts w:ascii="Arial" w:hAnsi="Arial"/>
          <w:color w:val="231F20"/>
          <w:spacing w:val="-9"/>
          <w:sz w:val="18"/>
        </w:rPr>
        <w:t> </w:t>
      </w:r>
      <w:r>
        <w:rPr>
          <w:rFonts w:ascii="Arial" w:hAnsi="Arial"/>
          <w:color w:val="231F20"/>
          <w:sz w:val="18"/>
        </w:rPr>
        <w:t>México:</w:t>
      </w:r>
      <w:r>
        <w:rPr>
          <w:rFonts w:ascii="Arial" w:hAnsi="Arial"/>
          <w:color w:val="231F20"/>
          <w:spacing w:val="-9"/>
          <w:sz w:val="18"/>
        </w:rPr>
        <w:t> </w:t>
      </w:r>
      <w:r>
        <w:rPr>
          <w:rFonts w:ascii="Arial" w:hAnsi="Arial"/>
          <w:color w:val="231F20"/>
          <w:sz w:val="18"/>
        </w:rPr>
        <w:t>Dirección</w:t>
      </w:r>
      <w:r>
        <w:rPr>
          <w:rFonts w:ascii="Arial" w:hAnsi="Arial"/>
          <w:color w:val="231F20"/>
          <w:spacing w:val="-9"/>
          <w:sz w:val="18"/>
        </w:rPr>
        <w:t> </w:t>
      </w:r>
      <w:r>
        <w:rPr>
          <w:rFonts w:ascii="Arial" w:hAnsi="Arial"/>
          <w:color w:val="231F20"/>
          <w:sz w:val="18"/>
        </w:rPr>
        <w:t>Ge- neral de</w:t>
      </w:r>
      <w:r>
        <w:rPr>
          <w:rFonts w:ascii="Arial" w:hAnsi="Arial"/>
          <w:color w:val="231F20"/>
          <w:spacing w:val="-1"/>
          <w:sz w:val="18"/>
        </w:rPr>
        <w:t> </w:t>
      </w:r>
      <w:r>
        <w:rPr>
          <w:rFonts w:ascii="Arial" w:hAnsi="Arial"/>
          <w:color w:val="231F20"/>
          <w:sz w:val="18"/>
        </w:rPr>
        <w:t>Estadística.</w:t>
      </w:r>
    </w:p>
    <w:p>
      <w:pPr>
        <w:spacing w:line="249" w:lineRule="auto" w:before="125"/>
        <w:ind w:left="644" w:right="172" w:hanging="284"/>
        <w:jc w:val="both"/>
        <w:rPr>
          <w:rFonts w:ascii="Arial" w:hAnsi="Arial"/>
          <w:sz w:val="18"/>
        </w:rPr>
      </w:pPr>
      <w:r>
        <w:rPr>
          <w:rFonts w:ascii="Arial" w:hAnsi="Arial"/>
          <w:color w:val="231F20"/>
          <w:sz w:val="18"/>
        </w:rPr>
        <w:t>Pimienta Lastra Rodrigo (2000). Dinámica Migratoria Interestatal en la República Mexicana, El Colegio Mexiquense Editores, Toluca, México.</w:t>
      </w:r>
    </w:p>
    <w:p>
      <w:pPr>
        <w:spacing w:line="249" w:lineRule="auto" w:before="125"/>
        <w:ind w:left="644" w:right="171" w:hanging="284"/>
        <w:jc w:val="both"/>
        <w:rPr>
          <w:rFonts w:ascii="Arial" w:hAnsi="Arial"/>
          <w:sz w:val="18"/>
        </w:rPr>
      </w:pPr>
      <w:r>
        <w:rPr>
          <w:rFonts w:ascii="Arial" w:hAnsi="Arial"/>
          <w:color w:val="231F20"/>
          <w:sz w:val="18"/>
        </w:rPr>
        <w:t>Pimienta L., Rodrigo, 1999: “Análisis multirregional de los patrones por edad y sexo de la migración interna: El Caso de México”, Tesis de Doctorado en Estudios de Población, El Colegio de México, México.</w:t>
      </w:r>
    </w:p>
    <w:p>
      <w:pPr>
        <w:spacing w:line="249" w:lineRule="auto" w:before="125"/>
        <w:ind w:left="644" w:right="171" w:hanging="284"/>
        <w:jc w:val="both"/>
        <w:rPr>
          <w:rFonts w:ascii="Arial" w:hAnsi="Arial"/>
          <w:sz w:val="18"/>
        </w:rPr>
      </w:pPr>
      <w:r>
        <w:rPr>
          <w:rFonts w:ascii="Arial" w:hAnsi="Arial"/>
          <w:color w:val="231F20"/>
          <w:sz w:val="18"/>
        </w:rPr>
        <w:t>Pimienta L., Rodrigo, 2001: “Migración interna infantil en México” en </w:t>
      </w:r>
      <w:r>
        <w:rPr>
          <w:rFonts w:ascii="Arial" w:hAnsi="Arial"/>
          <w:i/>
          <w:color w:val="231F20"/>
          <w:sz w:val="18"/>
        </w:rPr>
        <w:t>Sociológica, </w:t>
      </w:r>
      <w:r>
        <w:rPr>
          <w:rFonts w:ascii="Arial" w:hAnsi="Arial"/>
          <w:color w:val="231F20"/>
          <w:sz w:val="18"/>
        </w:rPr>
        <w:t>Mé- xico: División de Ciencias Sociales y Humanidades de la UAM-Azcapotzalco, pp. 121-146.</w:t>
      </w:r>
    </w:p>
    <w:p>
      <w:pPr>
        <w:spacing w:line="249" w:lineRule="auto" w:before="125"/>
        <w:ind w:left="644" w:right="171" w:hanging="284"/>
        <w:jc w:val="both"/>
        <w:rPr>
          <w:rFonts w:ascii="Arial"/>
          <w:sz w:val="18"/>
        </w:rPr>
      </w:pPr>
      <w:r>
        <w:rPr>
          <w:rFonts w:ascii="Arial"/>
          <w:color w:val="231F20"/>
          <w:sz w:val="18"/>
        </w:rPr>
        <w:t>Rogers, Andrei, 1975: S</w:t>
      </w:r>
      <w:r>
        <w:rPr>
          <w:rFonts w:ascii="Arial"/>
          <w:i/>
          <w:color w:val="231F20"/>
          <w:sz w:val="18"/>
        </w:rPr>
        <w:t>patial Migration Expectancies</w:t>
      </w:r>
      <w:r>
        <w:rPr>
          <w:rFonts w:ascii="Arial"/>
          <w:color w:val="231F20"/>
          <w:sz w:val="18"/>
        </w:rPr>
        <w:t>, Laxenburg, Austria: Interna- tional Institute for Applied Systems Analysis Editors.</w:t>
      </w:r>
    </w:p>
    <w:p>
      <w:pPr>
        <w:spacing w:line="249" w:lineRule="auto" w:before="125"/>
        <w:ind w:left="644" w:right="171" w:hanging="284"/>
        <w:jc w:val="both"/>
        <w:rPr>
          <w:rFonts w:ascii="Arial" w:hAnsi="Arial"/>
          <w:sz w:val="18"/>
        </w:rPr>
      </w:pPr>
      <w:r>
        <w:rPr>
          <w:rFonts w:ascii="Arial" w:hAnsi="Arial"/>
          <w:color w:val="231F20"/>
          <w:sz w:val="18"/>
        </w:rPr>
        <w:t>Castro Luis and Andrei Rogers, 1984: “What the Age Composition of Migrants can Tell Us”, Laxenburg, Austria: International Institute for Applied Systems Analysis, Editors.</w:t>
      </w:r>
    </w:p>
    <w:p>
      <w:pPr>
        <w:spacing w:line="249" w:lineRule="auto" w:before="125"/>
        <w:ind w:left="0" w:right="171" w:firstLine="0"/>
        <w:jc w:val="right"/>
        <w:rPr>
          <w:rFonts w:ascii="Arial" w:hAnsi="Arial"/>
          <w:sz w:val="18"/>
        </w:rPr>
      </w:pPr>
      <w:r>
        <w:rPr>
          <w:rFonts w:ascii="Arial" w:hAnsi="Arial"/>
          <w:color w:val="231F20"/>
          <w:sz w:val="18"/>
        </w:rPr>
        <w:t>Rogers, Andrei et al., 1978: “Model Migration Schedules and Their Applications”. Lax-</w:t>
      </w:r>
      <w:r>
        <w:rPr>
          <w:rFonts w:ascii="Arial" w:hAnsi="Arial"/>
          <w:color w:val="231F20"/>
          <w:w w:val="99"/>
          <w:sz w:val="18"/>
        </w:rPr>
        <w:t> </w:t>
      </w:r>
      <w:r>
        <w:rPr>
          <w:rFonts w:ascii="Arial" w:hAnsi="Arial"/>
          <w:color w:val="231F20"/>
          <w:sz w:val="18"/>
        </w:rPr>
        <w:t>enburg, Austria: Migration and Settlement: Selected Essays, Andrei Rogers Editor.</w:t>
      </w:r>
    </w:p>
    <w:p>
      <w:pPr>
        <w:spacing w:before="125"/>
        <w:ind w:left="0" w:right="171" w:firstLine="0"/>
        <w:jc w:val="right"/>
        <w:rPr>
          <w:rFonts w:ascii="Arial" w:hAnsi="Arial"/>
          <w:sz w:val="18"/>
        </w:rPr>
      </w:pPr>
      <w:r>
        <w:rPr>
          <w:rFonts w:ascii="Arial" w:hAnsi="Arial"/>
          <w:color w:val="231F20"/>
          <w:sz w:val="18"/>
        </w:rPr>
        <w:t>Todaro, Michael P., 1976: “Internal Migration in Developing Countries”, Geneva, Swit-</w:t>
      </w:r>
    </w:p>
    <w:p>
      <w:pPr>
        <w:spacing w:before="9"/>
        <w:ind w:left="644" w:right="43" w:firstLine="0"/>
        <w:jc w:val="left"/>
        <w:rPr>
          <w:rFonts w:ascii="Arial"/>
          <w:sz w:val="18"/>
        </w:rPr>
      </w:pPr>
      <w:r>
        <w:rPr>
          <w:rFonts w:ascii="Arial"/>
          <w:color w:val="231F20"/>
          <w:sz w:val="18"/>
        </w:rPr>
        <w:t>zerland: International Labour Office Editor.</w:t>
      </w:r>
    </w:p>
    <w:p>
      <w:pPr>
        <w:spacing w:line="249" w:lineRule="auto" w:before="133"/>
        <w:ind w:left="644" w:right="171" w:hanging="284"/>
        <w:jc w:val="both"/>
        <w:rPr>
          <w:rFonts w:ascii="Arial" w:hAnsi="Arial"/>
          <w:sz w:val="18"/>
        </w:rPr>
      </w:pPr>
      <w:r>
        <w:rPr>
          <w:rFonts w:ascii="Arial" w:hAnsi="Arial"/>
          <w:color w:val="231F20"/>
          <w:sz w:val="18"/>
        </w:rPr>
        <w:t>Unikel, S. Luís, 1976: </w:t>
      </w:r>
      <w:r>
        <w:rPr>
          <w:rFonts w:ascii="Arial" w:hAnsi="Arial"/>
          <w:i/>
          <w:color w:val="231F20"/>
          <w:sz w:val="18"/>
        </w:rPr>
        <w:t>El desarrollo urbano de México: Diagnóstico e implicaciones </w:t>
      </w:r>
      <w:r>
        <w:rPr>
          <w:rFonts w:ascii="Arial" w:hAnsi="Arial"/>
          <w:i/>
          <w:color w:val="231F20"/>
          <w:sz w:val="18"/>
        </w:rPr>
        <w:t>futuras, </w:t>
      </w:r>
      <w:r>
        <w:rPr>
          <w:rFonts w:ascii="Arial" w:hAnsi="Arial"/>
          <w:color w:val="231F20"/>
          <w:sz w:val="18"/>
        </w:rPr>
        <w:t>México: Centro de Estudios Económicos y Demográficos de El Colegio  de</w:t>
      </w:r>
      <w:r>
        <w:rPr>
          <w:rFonts w:ascii="Arial" w:hAnsi="Arial"/>
          <w:color w:val="231F20"/>
          <w:spacing w:val="-1"/>
          <w:sz w:val="18"/>
        </w:rPr>
        <w:t> </w:t>
      </w:r>
      <w:r>
        <w:rPr>
          <w:rFonts w:ascii="Arial" w:hAnsi="Arial"/>
          <w:color w:val="231F20"/>
          <w:sz w:val="18"/>
        </w:rPr>
        <w:t>México.</w:t>
      </w:r>
    </w:p>
    <w:p>
      <w:pPr>
        <w:spacing w:after="0" w:line="249" w:lineRule="auto"/>
        <w:jc w:val="both"/>
        <w:rPr>
          <w:rFonts w:ascii="Arial" w:hAnsi="Arial"/>
          <w:sz w:val="18"/>
        </w:rPr>
        <w:sectPr>
          <w:pgSz w:w="9640" w:h="13040"/>
          <w:pgMar w:header="737" w:footer="779" w:top="920" w:bottom="960" w:left="1340" w:right="960"/>
        </w:sectPr>
      </w:pPr>
    </w:p>
    <w:p>
      <w:pPr>
        <w:pStyle w:val="BodyText"/>
        <w:spacing w:before="4"/>
        <w:rPr>
          <w:rFonts w:ascii="Times New Roman"/>
          <w:sz w:val="17"/>
        </w:rPr>
      </w:pPr>
    </w:p>
    <w:p>
      <w:pPr>
        <w:spacing w:after="0"/>
        <w:rPr>
          <w:rFonts w:ascii="Times New Roman"/>
          <w:sz w:val="17"/>
        </w:rPr>
        <w:sectPr>
          <w:footerReference w:type="even" r:id="rId32"/>
          <w:pgSz w:w="9640" w:h="13040"/>
          <w:pgMar w:footer="779" w:header="954" w:top="1380" w:bottom="960" w:left="960" w:right="1340"/>
        </w:sectPr>
      </w:pPr>
    </w:p>
    <w:p>
      <w:pPr>
        <w:spacing w:line="240" w:lineRule="exact" w:before="33"/>
        <w:ind w:left="196" w:right="307" w:firstLine="0"/>
        <w:jc w:val="left"/>
        <w:rPr>
          <w:rFonts w:ascii="Calibri" w:hAnsi="Calibri"/>
          <w:i/>
          <w:sz w:val="20"/>
        </w:rPr>
      </w:pPr>
      <w:r>
        <w:rPr>
          <w:rFonts w:ascii="Calibri" w:hAnsi="Calibri"/>
          <w:i/>
          <w:color w:val="231F20"/>
          <w:w w:val="105"/>
          <w:sz w:val="20"/>
        </w:rPr>
        <w:t>Juan Roberto Calderón Maya, Verónica Miranda Rosales y Teresa Becerril </w:t>
      </w:r>
      <w:r>
        <w:rPr>
          <w:rFonts w:ascii="Calibri" w:hAnsi="Calibri"/>
          <w:i/>
          <w:color w:val="231F20"/>
          <w:w w:val="105"/>
          <w:sz w:val="20"/>
        </w:rPr>
        <w:t>Sánchez</w:t>
      </w: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spacing w:before="7"/>
        <w:rPr>
          <w:rFonts w:ascii="Calibri"/>
          <w:i/>
          <w:sz w:val="29"/>
        </w:rPr>
      </w:pPr>
    </w:p>
    <w:p>
      <w:pPr>
        <w:pStyle w:val="Heading5"/>
        <w:ind w:left="112" w:right="307"/>
        <w:rPr>
          <w:rFonts w:ascii="Calibri"/>
        </w:rPr>
      </w:pPr>
      <w:r>
        <w:rPr>
          <w:rFonts w:ascii="Calibri"/>
          <w:color w:val="231F20"/>
        </w:rPr>
        <w:t>264</w:t>
      </w:r>
    </w:p>
    <w:p>
      <w:pPr>
        <w:spacing w:after="0"/>
        <w:rPr>
          <w:rFonts w:ascii="Calibri"/>
        </w:rPr>
        <w:sectPr>
          <w:headerReference w:type="default" r:id="rId33"/>
          <w:footerReference w:type="default" r:id="rId34"/>
          <w:pgSz w:w="9640" w:h="13040"/>
          <w:pgMar w:header="0" w:footer="0" w:top="620" w:bottom="280" w:left="900" w:right="1340"/>
        </w:sectPr>
      </w:pPr>
    </w:p>
    <w:p>
      <w:pPr>
        <w:pStyle w:val="BodyText"/>
        <w:rPr>
          <w:rFonts w:ascii="Calibri"/>
        </w:rPr>
      </w:pPr>
      <w:r>
        <w:rPr>
          <w:rFonts w:ascii="Calibri"/>
        </w:rPr>
        <w:drawing>
          <wp:inline distT="0" distB="0" distL="0" distR="0">
            <wp:extent cx="6141026" cy="8155019"/>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7" cstate="print"/>
                    <a:stretch>
                      <a:fillRect/>
                    </a:stretch>
                  </pic:blipFill>
                  <pic:spPr>
                    <a:xfrm>
                      <a:off x="0" y="0"/>
                      <a:ext cx="6141026" cy="8155019"/>
                    </a:xfrm>
                    <a:prstGeom prst="rect">
                      <a:avLst/>
                    </a:prstGeom>
                  </pic:spPr>
                </pic:pic>
              </a:graphicData>
            </a:graphic>
          </wp:inline>
        </w:drawing>
      </w:r>
      <w:r>
        <w:rPr>
          <w:rFonts w:ascii="Calibri"/>
        </w:rPr>
      </w:r>
    </w:p>
    <w:sectPr>
      <w:headerReference w:type="even" r:id="rId35"/>
      <w:footerReference w:type="even" r:id="rId36"/>
      <w:pgSz w:w="9830" w:h="1305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414.280212pt;margin-top:602.000488pt;width:16.2pt;height:14pt;mso-position-horizontal-relative:page;mso-position-vertical-relative:page;z-index:-15088" type="#_x0000_t202" filled="false" stroked="false">
          <v:textbox inset="0,0,0,0">
            <w:txbxContent>
              <w:p>
                <w:pPr>
                  <w:spacing w:line="264" w:lineRule="exact" w:before="0"/>
                  <w:ind w:left="40" w:right="0" w:firstLine="0"/>
                  <w:jc w:val="left"/>
                  <w:rPr>
                    <w:rFonts w:ascii="Calibri"/>
                    <w:sz w:val="24"/>
                  </w:rPr>
                </w:pPr>
                <w:r>
                  <w:rPr/>
                  <w:fldChar w:fldCharType="begin"/>
                </w:r>
                <w:r>
                  <w:rPr>
                    <w:rFonts w:ascii="Calibri"/>
                    <w:color w:val="231F20"/>
                    <w:sz w:val="24"/>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1.681702pt;margin-top:602.000488pt;width:16.2pt;height:14pt;mso-position-horizontal-relative:page;mso-position-vertical-relative:page;z-index:-15064" type="#_x0000_t202" filled="false" stroked="false">
          <v:textbox inset="0,0,0,0">
            <w:txbxContent>
              <w:p>
                <w:pPr>
                  <w:spacing w:line="264" w:lineRule="exact" w:before="0"/>
                  <w:ind w:left="40" w:right="0" w:firstLine="0"/>
                  <w:jc w:val="left"/>
                  <w:rPr>
                    <w:rFonts w:ascii="Calibri"/>
                    <w:sz w:val="24"/>
                  </w:rPr>
                </w:pPr>
                <w:r>
                  <w:rPr/>
                  <w:fldChar w:fldCharType="begin"/>
                </w:r>
                <w:r>
                  <w:rPr>
                    <w:rFonts w:ascii="Calibri"/>
                    <w:color w:val="231F20"/>
                    <w:sz w:val="24"/>
                  </w:rPr>
                  <w:instrText> PAGE </w:instrText>
                </w:r>
                <w:r>
                  <w:rPr/>
                  <w:fldChar w:fldCharType="separate"/>
                </w:r>
                <w:r>
                  <w:rPr/>
                  <w:t>52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681702pt;margin-top:602.000488pt;width:14.2pt;height:14pt;mso-position-horizontal-relative:page;mso-position-vertical-relative:page;z-index:-14992" type="#_x0000_t202" filled="false" stroked="false">
          <v:textbox inset="0,0,0,0">
            <w:txbxContent>
              <w:p>
                <w:pPr>
                  <w:spacing w:line="264" w:lineRule="exact" w:before="0"/>
                  <w:ind w:left="20" w:right="0" w:firstLine="0"/>
                  <w:jc w:val="left"/>
                  <w:rPr>
                    <w:rFonts w:ascii="Calibri"/>
                    <w:sz w:val="24"/>
                  </w:rPr>
                </w:pPr>
                <w:r>
                  <w:rPr>
                    <w:rFonts w:ascii="Calibri"/>
                    <w:color w:val="231F20"/>
                    <w:sz w:val="24"/>
                  </w:rPr>
                  <w:t>60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5.280212pt;margin-top:602.000488pt;width:14.2pt;height:14pt;mso-position-horizontal-relative:page;mso-position-vertical-relative:page;z-index:-14968" type="#_x0000_t202" filled="false" stroked="false">
          <v:textbox inset="0,0,0,0">
            <w:txbxContent>
              <w:p>
                <w:pPr>
                  <w:spacing w:line="264" w:lineRule="exact" w:before="0"/>
                  <w:ind w:left="20" w:right="0" w:firstLine="0"/>
                  <w:jc w:val="left"/>
                  <w:rPr>
                    <w:rFonts w:ascii="Calibri"/>
                    <w:sz w:val="24"/>
                  </w:rPr>
                </w:pPr>
                <w:r>
                  <w:rPr>
                    <w:rFonts w:ascii="Calibri"/>
                    <w:color w:val="231F20"/>
                    <w:sz w:val="24"/>
                  </w:rPr>
                  <w:t>61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1.681702pt;margin-top:602.000488pt;width:16.2pt;height:14pt;mso-position-horizontal-relative:page;mso-position-vertical-relative:page;z-index:-14944" type="#_x0000_t202" filled="false" stroked="false">
          <v:textbox inset="0,0,0,0">
            <w:txbxContent>
              <w:p>
                <w:pPr>
                  <w:spacing w:line="264" w:lineRule="exact" w:before="0"/>
                  <w:ind w:left="40" w:right="0" w:firstLine="0"/>
                  <w:jc w:val="left"/>
                  <w:rPr>
                    <w:rFonts w:ascii="Calibri"/>
                    <w:sz w:val="24"/>
                  </w:rPr>
                </w:pPr>
                <w:r>
                  <w:rPr/>
                  <w:fldChar w:fldCharType="begin"/>
                </w:r>
                <w:r>
                  <w:rPr>
                    <w:rFonts w:ascii="Calibri"/>
                    <w:color w:val="231F20"/>
                    <w:sz w:val="24"/>
                  </w:rPr>
                  <w:instrText> PAGE </w:instrText>
                </w:r>
                <w:r>
                  <w:rPr/>
                  <w:fldChar w:fldCharType="separate"/>
                </w:r>
                <w:r>
                  <w:rPr/>
                  <w:t>62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4.280212pt;margin-top:602.000488pt;width:16.2pt;height:14pt;mso-position-horizontal-relative:page;mso-position-vertical-relative:page;z-index:-14920" type="#_x0000_t202" filled="false" stroked="false">
          <v:textbox inset="0,0,0,0">
            <w:txbxContent>
              <w:p>
                <w:pPr>
                  <w:spacing w:line="264" w:lineRule="exact" w:before="0"/>
                  <w:ind w:left="40" w:right="0" w:firstLine="0"/>
                  <w:jc w:val="left"/>
                  <w:rPr>
                    <w:rFonts w:ascii="Calibri"/>
                    <w:sz w:val="24"/>
                  </w:rPr>
                </w:pPr>
                <w:r>
                  <w:rPr/>
                  <w:fldChar w:fldCharType="begin"/>
                </w:r>
                <w:r>
                  <w:rPr>
                    <w:rFonts w:ascii="Calibri"/>
                    <w:color w:val="231F20"/>
                    <w:sz w:val="24"/>
                  </w:rPr>
                  <w:instrText> PAGE </w:instrText>
                </w:r>
                <w:r>
                  <w:rPr/>
                  <w:fldChar w:fldCharType="separate"/>
                </w:r>
                <w:r>
                  <w:rPr/>
                  <w:t>63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681702pt;margin-top:602.000488pt;width:14.2pt;height:14pt;mso-position-horizontal-relative:page;mso-position-vertical-relative:page;z-index:-14896" type="#_x0000_t202" filled="false" stroked="false">
          <v:textbox inset="0,0,0,0">
            <w:txbxContent>
              <w:p>
                <w:pPr>
                  <w:spacing w:line="264" w:lineRule="exact" w:before="0"/>
                  <w:ind w:left="20" w:right="0" w:firstLine="0"/>
                  <w:jc w:val="left"/>
                  <w:rPr>
                    <w:rFonts w:ascii="Calibri"/>
                    <w:sz w:val="24"/>
                  </w:rPr>
                </w:pPr>
                <w:r>
                  <w:rPr>
                    <w:rFonts w:ascii="Calibri"/>
                    <w:color w:val="231F20"/>
                    <w:sz w:val="24"/>
                  </w:rPr>
                  <w:t>70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8032pt;margin-top:46.716995pt;width:294.850pt;height:24pt;mso-position-horizontal-relative:page;mso-position-vertical-relative:page;z-index:-15040" type="#_x0000_t202" filled="false" stroked="false">
          <v:textbox inset="0,0,0,0">
            <w:txbxContent>
              <w:p>
                <w:pPr>
                  <w:spacing w:line="222" w:lineRule="exact" w:before="0"/>
                  <w:ind w:left="20" w:right="0" w:firstLine="0"/>
                  <w:jc w:val="left"/>
                  <w:rPr>
                    <w:rFonts w:ascii="Calibri" w:hAnsi="Calibri"/>
                    <w:i/>
                    <w:sz w:val="20"/>
                  </w:rPr>
                </w:pPr>
                <w:r>
                  <w:rPr>
                    <w:rFonts w:ascii="Calibri" w:hAnsi="Calibri"/>
                    <w:i/>
                    <w:color w:val="231F20"/>
                    <w:w w:val="105"/>
                    <w:sz w:val="20"/>
                  </w:rPr>
                  <w:t>Rodrigo Pimienta Lastra, Martha Vera Bolaños, Michael Shea y Elena</w:t>
                </w:r>
              </w:p>
              <w:p>
                <w:pPr>
                  <w:spacing w:line="242" w:lineRule="exact" w:before="0"/>
                  <w:ind w:left="20" w:right="0" w:firstLine="0"/>
                  <w:jc w:val="left"/>
                  <w:rPr>
                    <w:rFonts w:ascii="Calibri" w:hAnsi="Calibri"/>
                    <w:i/>
                    <w:sz w:val="20"/>
                  </w:rPr>
                </w:pPr>
                <w:r>
                  <w:rPr>
                    <w:rFonts w:ascii="Calibri" w:hAnsi="Calibri"/>
                    <w:i/>
                    <w:color w:val="231F20"/>
                    <w:w w:val="105"/>
                    <w:sz w:val="20"/>
                  </w:rPr>
                  <w:t>M.Gutiérrez Cárdenas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7.568298pt;margin-top:35.850895pt;width:329.3pt;height:12pt;mso-position-horizontal-relative:page;mso-position-vertical-relative:page;z-index:-15016" type="#_x0000_t202" filled="false" stroked="false">
          <v:textbox inset="0,0,0,0">
            <w:txbxContent>
              <w:p>
                <w:pPr>
                  <w:spacing w:line="224" w:lineRule="exact" w:before="0"/>
                  <w:ind w:left="20" w:right="0" w:firstLine="0"/>
                  <w:jc w:val="left"/>
                  <w:rPr>
                    <w:rFonts w:ascii="Calibri"/>
                    <w:i/>
                    <w:sz w:val="20"/>
                  </w:rPr>
                </w:pPr>
                <w:r>
                  <w:rPr>
                    <w:rFonts w:ascii="Calibri"/>
                    <w:i/>
                    <w:color w:val="231F20"/>
                    <w:w w:val="110"/>
                    <w:sz w:val="20"/>
                  </w:rPr>
                  <w:t>An</w:t>
                </w:r>
                <w:r>
                  <w:rPr>
                    <w:rFonts w:ascii="Calibri"/>
                    <w:i/>
                    <w:color w:val="231F20"/>
                    <w:spacing w:val="-10"/>
                    <w:w w:val="110"/>
                    <w:sz w:val="20"/>
                  </w:rPr>
                  <w:t> </w:t>
                </w:r>
                <w:r>
                  <w:rPr>
                    <w:rFonts w:ascii="Calibri"/>
                    <w:i/>
                    <w:color w:val="231F20"/>
                    <w:spacing w:val="-3"/>
                    <w:w w:val="110"/>
                    <w:sz w:val="20"/>
                  </w:rPr>
                  <w:t>analysis</w:t>
                </w:r>
                <w:r>
                  <w:rPr>
                    <w:rFonts w:ascii="Calibri"/>
                    <w:i/>
                    <w:color w:val="231F20"/>
                    <w:spacing w:val="-10"/>
                    <w:w w:val="110"/>
                    <w:sz w:val="20"/>
                  </w:rPr>
                  <w:t> </w:t>
                </w:r>
                <w:r>
                  <w:rPr>
                    <w:rFonts w:ascii="Calibri"/>
                    <w:i/>
                    <w:color w:val="231F20"/>
                    <w:w w:val="110"/>
                    <w:sz w:val="20"/>
                  </w:rPr>
                  <w:t>of</w:t>
                </w:r>
                <w:r>
                  <w:rPr>
                    <w:rFonts w:ascii="Calibri"/>
                    <w:i/>
                    <w:color w:val="231F20"/>
                    <w:spacing w:val="-10"/>
                    <w:w w:val="110"/>
                    <w:sz w:val="20"/>
                  </w:rPr>
                  <w:t> </w:t>
                </w:r>
                <w:r>
                  <w:rPr>
                    <w:rFonts w:ascii="Calibri"/>
                    <w:i/>
                    <w:color w:val="231F20"/>
                    <w:w w:val="110"/>
                    <w:sz w:val="20"/>
                  </w:rPr>
                  <w:t>the</w:t>
                </w:r>
                <w:r>
                  <w:rPr>
                    <w:rFonts w:ascii="Calibri"/>
                    <w:i/>
                    <w:color w:val="231F20"/>
                    <w:spacing w:val="-10"/>
                    <w:w w:val="110"/>
                    <w:sz w:val="20"/>
                  </w:rPr>
                  <w:t> </w:t>
                </w:r>
                <w:r>
                  <w:rPr>
                    <w:rFonts w:ascii="Calibri"/>
                    <w:i/>
                    <w:color w:val="231F20"/>
                    <w:w w:val="110"/>
                    <w:sz w:val="20"/>
                  </w:rPr>
                  <w:t>internal</w:t>
                </w:r>
                <w:r>
                  <w:rPr>
                    <w:rFonts w:ascii="Calibri"/>
                    <w:i/>
                    <w:color w:val="231F20"/>
                    <w:spacing w:val="-10"/>
                    <w:w w:val="110"/>
                    <w:sz w:val="20"/>
                  </w:rPr>
                  <w:t> </w:t>
                </w:r>
                <w:r>
                  <w:rPr>
                    <w:rFonts w:ascii="Calibri"/>
                    <w:i/>
                    <w:color w:val="231F20"/>
                    <w:spacing w:val="-3"/>
                    <w:w w:val="110"/>
                    <w:sz w:val="20"/>
                  </w:rPr>
                  <w:t>migratory</w:t>
                </w:r>
                <w:r>
                  <w:rPr>
                    <w:rFonts w:ascii="Calibri"/>
                    <w:i/>
                    <w:color w:val="231F20"/>
                    <w:spacing w:val="-10"/>
                    <w:w w:val="110"/>
                    <w:sz w:val="20"/>
                  </w:rPr>
                  <w:t> </w:t>
                </w:r>
                <w:r>
                  <w:rPr>
                    <w:rFonts w:ascii="Calibri"/>
                    <w:i/>
                    <w:color w:val="231F20"/>
                    <w:w w:val="110"/>
                    <w:sz w:val="20"/>
                  </w:rPr>
                  <w:t>flows</w:t>
                </w:r>
                <w:r>
                  <w:rPr>
                    <w:rFonts w:ascii="Calibri"/>
                    <w:i/>
                    <w:color w:val="231F20"/>
                    <w:spacing w:val="-10"/>
                    <w:w w:val="110"/>
                    <w:sz w:val="20"/>
                  </w:rPr>
                  <w:t> </w:t>
                </w:r>
                <w:r>
                  <w:rPr>
                    <w:rFonts w:ascii="Calibri"/>
                    <w:i/>
                    <w:color w:val="231F20"/>
                    <w:w w:val="110"/>
                    <w:sz w:val="20"/>
                  </w:rPr>
                  <w:t>which</w:t>
                </w:r>
                <w:r>
                  <w:rPr>
                    <w:rFonts w:ascii="Calibri"/>
                    <w:i/>
                    <w:color w:val="231F20"/>
                    <w:spacing w:val="-10"/>
                    <w:w w:val="110"/>
                    <w:sz w:val="20"/>
                  </w:rPr>
                  <w:t> </w:t>
                </w:r>
                <w:r>
                  <w:rPr>
                    <w:rFonts w:ascii="Calibri"/>
                    <w:i/>
                    <w:color w:val="231F20"/>
                    <w:w w:val="110"/>
                    <w:sz w:val="20"/>
                  </w:rPr>
                  <w:t>transformed</w:t>
                </w:r>
                <w:r>
                  <w:rPr>
                    <w:rFonts w:ascii="Calibri"/>
                    <w:i/>
                    <w:color w:val="231F20"/>
                    <w:spacing w:val="-10"/>
                    <w:w w:val="110"/>
                    <w:sz w:val="20"/>
                  </w:rPr>
                  <w:t> </w:t>
                </w:r>
                <w:r>
                  <w:rPr>
                    <w:rFonts w:ascii="Calibri"/>
                    <w:i/>
                    <w:color w:val="231F20"/>
                    <w:w w:val="110"/>
                    <w:sz w:val="20"/>
                  </w:rPr>
                  <w:t>Mexico</w:t>
                </w:r>
                <w:r>
                  <w:rPr>
                    <w:rFonts w:ascii="Calibri"/>
                    <w:i/>
                    <w:color w:val="231F20"/>
                    <w:spacing w:val="-10"/>
                    <w:w w:val="110"/>
                    <w:sz w:val="20"/>
                  </w:rPr>
                  <w:t> </w:t>
                </w:r>
                <w:r>
                  <w:rPr>
                    <w:rFonts w:ascii="Calibri"/>
                    <w:i/>
                    <w:color w:val="231F20"/>
                    <w:spacing w:val="-6"/>
                    <w:w w:val="110"/>
                    <w:sz w:val="20"/>
                  </w:rPr>
                  <w:t>State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lowerLetter"/>
      <w:lvlText w:val="%1)"/>
      <w:lvlJc w:val="left"/>
      <w:pPr>
        <w:ind w:left="173" w:hanging="297"/>
        <w:jc w:val="right"/>
      </w:pPr>
      <w:rPr>
        <w:rFonts w:hint="default" w:ascii="Palatino Linotype" w:hAnsi="Palatino Linotype" w:eastAsia="Palatino Linotype" w:cs="Palatino Linotype"/>
        <w:i/>
        <w:color w:val="231F20"/>
        <w:spacing w:val="-1"/>
        <w:w w:val="100"/>
        <w:sz w:val="22"/>
        <w:szCs w:val="22"/>
      </w:rPr>
    </w:lvl>
    <w:lvl w:ilvl="1">
      <w:start w:val="1"/>
      <w:numFmt w:val="bullet"/>
      <w:lvlText w:val="•"/>
      <w:lvlJc w:val="left"/>
      <w:pPr>
        <w:ind w:left="895" w:hanging="297"/>
      </w:pPr>
      <w:rPr>
        <w:rFonts w:hint="default"/>
      </w:rPr>
    </w:lvl>
    <w:lvl w:ilvl="2">
      <w:start w:val="1"/>
      <w:numFmt w:val="bullet"/>
      <w:lvlText w:val="•"/>
      <w:lvlJc w:val="left"/>
      <w:pPr>
        <w:ind w:left="1611" w:hanging="297"/>
      </w:pPr>
      <w:rPr>
        <w:rFonts w:hint="default"/>
      </w:rPr>
    </w:lvl>
    <w:lvl w:ilvl="3">
      <w:start w:val="1"/>
      <w:numFmt w:val="bullet"/>
      <w:lvlText w:val="•"/>
      <w:lvlJc w:val="left"/>
      <w:pPr>
        <w:ind w:left="2327" w:hanging="297"/>
      </w:pPr>
      <w:rPr>
        <w:rFonts w:hint="default"/>
      </w:rPr>
    </w:lvl>
    <w:lvl w:ilvl="4">
      <w:start w:val="1"/>
      <w:numFmt w:val="bullet"/>
      <w:lvlText w:val="•"/>
      <w:lvlJc w:val="left"/>
      <w:pPr>
        <w:ind w:left="3043" w:hanging="297"/>
      </w:pPr>
      <w:rPr>
        <w:rFonts w:hint="default"/>
      </w:rPr>
    </w:lvl>
    <w:lvl w:ilvl="5">
      <w:start w:val="1"/>
      <w:numFmt w:val="bullet"/>
      <w:lvlText w:val="•"/>
      <w:lvlJc w:val="left"/>
      <w:pPr>
        <w:ind w:left="3758" w:hanging="297"/>
      </w:pPr>
      <w:rPr>
        <w:rFonts w:hint="default"/>
      </w:rPr>
    </w:lvl>
    <w:lvl w:ilvl="6">
      <w:start w:val="1"/>
      <w:numFmt w:val="bullet"/>
      <w:lvlText w:val="•"/>
      <w:lvlJc w:val="left"/>
      <w:pPr>
        <w:ind w:left="4474" w:hanging="297"/>
      </w:pPr>
      <w:rPr>
        <w:rFonts w:hint="default"/>
      </w:rPr>
    </w:lvl>
    <w:lvl w:ilvl="7">
      <w:start w:val="1"/>
      <w:numFmt w:val="bullet"/>
      <w:lvlText w:val="•"/>
      <w:lvlJc w:val="left"/>
      <w:pPr>
        <w:ind w:left="5190" w:hanging="297"/>
      </w:pPr>
      <w:rPr>
        <w:rFonts w:hint="default"/>
      </w:rPr>
    </w:lvl>
    <w:lvl w:ilvl="8">
      <w:start w:val="1"/>
      <w:numFmt w:val="bullet"/>
      <w:lvlText w:val="•"/>
      <w:lvlJc w:val="left"/>
      <w:pPr>
        <w:ind w:left="5906" w:hanging="297"/>
      </w:pPr>
      <w:rPr>
        <w:rFonts w:hint="default"/>
      </w:rPr>
    </w:lvl>
  </w:abstractNum>
  <w:abstractNum w:abstractNumId="1">
    <w:multiLevelType w:val="hybridMultilevel"/>
    <w:lvl w:ilvl="0">
      <w:start w:val="9"/>
      <w:numFmt w:val="decimal"/>
      <w:lvlText w:val="%1"/>
      <w:lvlJc w:val="left"/>
      <w:pPr>
        <w:ind w:left="173" w:hanging="299"/>
        <w:jc w:val="left"/>
      </w:pPr>
      <w:rPr>
        <w:rFonts w:hint="default"/>
      </w:rPr>
    </w:lvl>
    <w:lvl w:ilvl="1">
      <w:start w:val="4"/>
      <w:numFmt w:val="decimal"/>
      <w:lvlText w:val="%1.%2"/>
      <w:lvlJc w:val="left"/>
      <w:pPr>
        <w:ind w:left="173" w:hanging="299"/>
        <w:jc w:val="left"/>
      </w:pPr>
      <w:rPr>
        <w:rFonts w:hint="default" w:ascii="Palatino Linotype" w:hAnsi="Palatino Linotype" w:eastAsia="Palatino Linotype" w:cs="Palatino Linotype"/>
        <w:color w:val="231F20"/>
        <w:w w:val="100"/>
        <w:sz w:val="20"/>
        <w:szCs w:val="20"/>
      </w:rPr>
    </w:lvl>
    <w:lvl w:ilvl="2">
      <w:start w:val="1"/>
      <w:numFmt w:val="lowerLetter"/>
      <w:lvlText w:val="(%3)"/>
      <w:lvlJc w:val="left"/>
      <w:pPr>
        <w:ind w:left="360" w:hanging="288"/>
        <w:jc w:val="left"/>
      </w:pPr>
      <w:rPr>
        <w:rFonts w:hint="default" w:ascii="Palatino Linotype" w:hAnsi="Palatino Linotype" w:eastAsia="Palatino Linotype" w:cs="Palatino Linotype"/>
        <w:color w:val="231F20"/>
        <w:w w:val="99"/>
        <w:sz w:val="20"/>
        <w:szCs w:val="20"/>
      </w:rPr>
    </w:lvl>
    <w:lvl w:ilvl="3">
      <w:start w:val="1"/>
      <w:numFmt w:val="bullet"/>
      <w:lvlText w:val="•"/>
      <w:lvlJc w:val="left"/>
      <w:pPr>
        <w:ind w:left="1826" w:hanging="288"/>
      </w:pPr>
      <w:rPr>
        <w:rFonts w:hint="default"/>
      </w:rPr>
    </w:lvl>
    <w:lvl w:ilvl="4">
      <w:start w:val="1"/>
      <w:numFmt w:val="bullet"/>
      <w:lvlText w:val="•"/>
      <w:lvlJc w:val="left"/>
      <w:pPr>
        <w:ind w:left="2559" w:hanging="288"/>
      </w:pPr>
      <w:rPr>
        <w:rFonts w:hint="default"/>
      </w:rPr>
    </w:lvl>
    <w:lvl w:ilvl="5">
      <w:start w:val="1"/>
      <w:numFmt w:val="bullet"/>
      <w:lvlText w:val="•"/>
      <w:lvlJc w:val="left"/>
      <w:pPr>
        <w:ind w:left="3292" w:hanging="288"/>
      </w:pPr>
      <w:rPr>
        <w:rFonts w:hint="default"/>
      </w:rPr>
    </w:lvl>
    <w:lvl w:ilvl="6">
      <w:start w:val="1"/>
      <w:numFmt w:val="bullet"/>
      <w:lvlText w:val="•"/>
      <w:lvlJc w:val="left"/>
      <w:pPr>
        <w:ind w:left="4025" w:hanging="288"/>
      </w:pPr>
      <w:rPr>
        <w:rFonts w:hint="default"/>
      </w:rPr>
    </w:lvl>
    <w:lvl w:ilvl="7">
      <w:start w:val="1"/>
      <w:numFmt w:val="bullet"/>
      <w:lvlText w:val="•"/>
      <w:lvlJc w:val="left"/>
      <w:pPr>
        <w:ind w:left="4758" w:hanging="288"/>
      </w:pPr>
      <w:rPr>
        <w:rFonts w:hint="default"/>
      </w:rPr>
    </w:lvl>
    <w:lvl w:ilvl="8">
      <w:start w:val="1"/>
      <w:numFmt w:val="bullet"/>
      <w:lvlText w:val="•"/>
      <w:lvlJc w:val="left"/>
      <w:pPr>
        <w:ind w:left="5491" w:hanging="288"/>
      </w:pPr>
      <w:rPr>
        <w:rFonts w:hint="default"/>
      </w:rPr>
    </w:lvl>
  </w:abstractNum>
  <w:abstractNum w:abstractNumId="0">
    <w:multiLevelType w:val="hybridMultilevel"/>
    <w:lvl w:ilvl="0">
      <w:start w:val="1"/>
      <w:numFmt w:val="decimal"/>
      <w:lvlText w:val="%1"/>
      <w:lvlJc w:val="left"/>
      <w:pPr>
        <w:ind w:left="644" w:hanging="284"/>
        <w:jc w:val="left"/>
      </w:pPr>
      <w:rPr>
        <w:rFonts w:hint="default" w:ascii="Arial" w:hAnsi="Arial" w:eastAsia="Arial" w:cs="Arial"/>
        <w:color w:val="231F20"/>
        <w:w w:val="99"/>
        <w:sz w:val="14"/>
        <w:szCs w:val="14"/>
      </w:rPr>
    </w:lvl>
    <w:lvl w:ilvl="1">
      <w:start w:val="1"/>
      <w:numFmt w:val="bullet"/>
      <w:lvlText w:val="•"/>
      <w:lvlJc w:val="left"/>
      <w:pPr>
        <w:ind w:left="1309" w:hanging="284"/>
      </w:pPr>
      <w:rPr>
        <w:rFonts w:hint="default"/>
      </w:rPr>
    </w:lvl>
    <w:lvl w:ilvl="2">
      <w:start w:val="1"/>
      <w:numFmt w:val="bullet"/>
      <w:lvlText w:val="•"/>
      <w:lvlJc w:val="left"/>
      <w:pPr>
        <w:ind w:left="1979" w:hanging="284"/>
      </w:pPr>
      <w:rPr>
        <w:rFonts w:hint="default"/>
      </w:rPr>
    </w:lvl>
    <w:lvl w:ilvl="3">
      <w:start w:val="1"/>
      <w:numFmt w:val="bullet"/>
      <w:lvlText w:val="•"/>
      <w:lvlJc w:val="left"/>
      <w:pPr>
        <w:ind w:left="2649" w:hanging="284"/>
      </w:pPr>
      <w:rPr>
        <w:rFonts w:hint="default"/>
      </w:rPr>
    </w:lvl>
    <w:lvl w:ilvl="4">
      <w:start w:val="1"/>
      <w:numFmt w:val="bullet"/>
      <w:lvlText w:val="•"/>
      <w:lvlJc w:val="left"/>
      <w:pPr>
        <w:ind w:left="3319" w:hanging="284"/>
      </w:pPr>
      <w:rPr>
        <w:rFonts w:hint="default"/>
      </w:rPr>
    </w:lvl>
    <w:lvl w:ilvl="5">
      <w:start w:val="1"/>
      <w:numFmt w:val="bullet"/>
      <w:lvlText w:val="•"/>
      <w:lvlJc w:val="left"/>
      <w:pPr>
        <w:ind w:left="3988" w:hanging="284"/>
      </w:pPr>
      <w:rPr>
        <w:rFonts w:hint="default"/>
      </w:rPr>
    </w:lvl>
    <w:lvl w:ilvl="6">
      <w:start w:val="1"/>
      <w:numFmt w:val="bullet"/>
      <w:lvlText w:val="•"/>
      <w:lvlJc w:val="left"/>
      <w:pPr>
        <w:ind w:left="4658" w:hanging="284"/>
      </w:pPr>
      <w:rPr>
        <w:rFonts w:hint="default"/>
      </w:rPr>
    </w:lvl>
    <w:lvl w:ilvl="7">
      <w:start w:val="1"/>
      <w:numFmt w:val="bullet"/>
      <w:lvlText w:val="•"/>
      <w:lvlJc w:val="left"/>
      <w:pPr>
        <w:ind w:left="5328" w:hanging="284"/>
      </w:pPr>
      <w:rPr>
        <w:rFonts w:hint="default"/>
      </w:rPr>
    </w:lvl>
    <w:lvl w:ilvl="8">
      <w:start w:val="1"/>
      <w:numFmt w:val="bullet"/>
      <w:lvlText w:val="•"/>
      <w:lvlJc w:val="left"/>
      <w:pPr>
        <w:ind w:left="5998" w:hanging="284"/>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20"/>
      <w:szCs w:val="20"/>
    </w:rPr>
  </w:style>
  <w:style w:styleId="Heading1" w:type="paragraph">
    <w:name w:val="Heading 1"/>
    <w:basedOn w:val="Normal"/>
    <w:uiPriority w:val="1"/>
    <w:qFormat/>
    <w:pPr>
      <w:spacing w:before="44"/>
      <w:ind w:left="423" w:right="97"/>
      <w:jc w:val="center"/>
      <w:outlineLvl w:val="1"/>
    </w:pPr>
    <w:rPr>
      <w:rFonts w:ascii="Arial" w:hAnsi="Arial" w:eastAsia="Arial" w:cs="Arial"/>
      <w:sz w:val="44"/>
      <w:szCs w:val="44"/>
    </w:rPr>
  </w:style>
  <w:style w:styleId="Heading2" w:type="paragraph">
    <w:name w:val="Heading 2"/>
    <w:basedOn w:val="Normal"/>
    <w:uiPriority w:val="1"/>
    <w:qFormat/>
    <w:pPr>
      <w:spacing w:line="510" w:lineRule="exact"/>
      <w:ind w:left="360"/>
      <w:outlineLvl w:val="2"/>
    </w:pPr>
    <w:rPr>
      <w:rFonts w:ascii="Palatino Linotype" w:hAnsi="Palatino Linotype" w:eastAsia="Palatino Linotype" w:cs="Palatino Linotype"/>
      <w:sz w:val="40"/>
      <w:szCs w:val="40"/>
    </w:rPr>
  </w:style>
  <w:style w:styleId="Heading3" w:type="paragraph">
    <w:name w:val="Heading 3"/>
    <w:basedOn w:val="Normal"/>
    <w:uiPriority w:val="1"/>
    <w:qFormat/>
    <w:pPr>
      <w:ind w:left="113"/>
      <w:outlineLvl w:val="3"/>
    </w:pPr>
    <w:rPr>
      <w:rFonts w:ascii="Calibri" w:hAnsi="Calibri" w:eastAsia="Calibri" w:cs="Calibri"/>
      <w:sz w:val="28"/>
      <w:szCs w:val="28"/>
    </w:rPr>
  </w:style>
  <w:style w:styleId="Heading4" w:type="paragraph">
    <w:name w:val="Heading 4"/>
    <w:basedOn w:val="Normal"/>
    <w:uiPriority w:val="1"/>
    <w:qFormat/>
    <w:pPr>
      <w:ind w:left="1483" w:right="1236"/>
      <w:jc w:val="center"/>
      <w:outlineLvl w:val="4"/>
    </w:pPr>
    <w:rPr>
      <w:rFonts w:ascii="Calibri" w:hAnsi="Calibri" w:eastAsia="Calibri" w:cs="Calibri"/>
      <w:sz w:val="26"/>
      <w:szCs w:val="26"/>
    </w:rPr>
  </w:style>
  <w:style w:styleId="Heading5" w:type="paragraph">
    <w:name w:val="Heading 5"/>
    <w:basedOn w:val="Normal"/>
    <w:uiPriority w:val="1"/>
    <w:qFormat/>
    <w:pPr>
      <w:ind w:left="173"/>
      <w:outlineLvl w:val="5"/>
    </w:pPr>
    <w:rPr>
      <w:rFonts w:ascii="Palatino Linotype" w:hAnsi="Palatino Linotype" w:eastAsia="Palatino Linotype" w:cs="Palatino Linotype"/>
      <w:sz w:val="24"/>
      <w:szCs w:val="24"/>
    </w:rPr>
  </w:style>
  <w:style w:styleId="Heading6" w:type="paragraph">
    <w:name w:val="Heading 6"/>
    <w:basedOn w:val="Normal"/>
    <w:uiPriority w:val="1"/>
    <w:qFormat/>
    <w:pPr>
      <w:spacing w:before="131" w:line="240" w:lineRule="exact"/>
      <w:ind w:left="360"/>
      <w:jc w:val="both"/>
      <w:outlineLvl w:val="6"/>
    </w:pPr>
    <w:rPr>
      <w:rFonts w:ascii="Palatino Linotype" w:hAnsi="Palatino Linotype" w:eastAsia="Palatino Linotype" w:cs="Palatino Linotype"/>
      <w:i/>
      <w:sz w:val="22"/>
      <w:szCs w:val="22"/>
    </w:rPr>
  </w:style>
  <w:style w:styleId="ListParagraph" w:type="paragraph">
    <w:name w:val="List Paragraph"/>
    <w:basedOn w:val="Normal"/>
    <w:uiPriority w:val="1"/>
    <w:qFormat/>
    <w:pPr>
      <w:spacing w:line="240" w:lineRule="exact"/>
      <w:ind w:left="644" w:hanging="284"/>
    </w:pPr>
    <w:rPr>
      <w:rFonts w:ascii="Palatino Linotype" w:hAnsi="Palatino Linotype" w:eastAsia="Palatino Linotype" w:cs="Palatino Linotype"/>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yperlink" Target="mailto:plrd6334@correo.xoc.uam.mx" TargetMode="External"/><Relationship Id="rId9" Type="http://schemas.openxmlformats.org/officeDocument/2006/relationships/hyperlink" Target="mailto:vera@alestra.net.mx" TargetMode="External"/><Relationship Id="rId10" Type="http://schemas.openxmlformats.org/officeDocument/2006/relationships/hyperlink" Target="mailto:quill24@hotmail.com" TargetMode="External"/><Relationship Id="rId11" Type="http://schemas.openxmlformats.org/officeDocument/2006/relationships/hyperlink" Target="mailto:emcard@correo.xoc.uam.mx" TargetMode="Externa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image" Target="media/image8.jpeg"/><Relationship Id="rId23" Type="http://schemas.openxmlformats.org/officeDocument/2006/relationships/image" Target="media/image9.jpeg"/><Relationship Id="rId24" Type="http://schemas.openxmlformats.org/officeDocument/2006/relationships/footer" Target="footer5.xml"/><Relationship Id="rId25" Type="http://schemas.openxmlformats.org/officeDocument/2006/relationships/footer" Target="footer6.xml"/><Relationship Id="rId26" Type="http://schemas.openxmlformats.org/officeDocument/2006/relationships/image" Target="media/image10.jpeg"/><Relationship Id="rId27" Type="http://schemas.openxmlformats.org/officeDocument/2006/relationships/image" Target="media/image11.jpeg"/><Relationship Id="rId28" Type="http://schemas.openxmlformats.org/officeDocument/2006/relationships/image" Target="media/image12.jpeg"/><Relationship Id="rId29" Type="http://schemas.openxmlformats.org/officeDocument/2006/relationships/image" Target="media/image13.jpeg"/><Relationship Id="rId30" Type="http://schemas.openxmlformats.org/officeDocument/2006/relationships/image" Target="media/image14.jpeg"/><Relationship Id="rId31" Type="http://schemas.openxmlformats.org/officeDocument/2006/relationships/image" Target="media/image15.jpeg"/><Relationship Id="rId32" Type="http://schemas.openxmlformats.org/officeDocument/2006/relationships/footer" Target="footer7.xml"/><Relationship Id="rId33" Type="http://schemas.openxmlformats.org/officeDocument/2006/relationships/header" Target="header3.xml"/><Relationship Id="rId34" Type="http://schemas.openxmlformats.org/officeDocument/2006/relationships/footer" Target="footer8.xml"/><Relationship Id="rId35" Type="http://schemas.openxmlformats.org/officeDocument/2006/relationships/header" Target="header4.xml"/><Relationship Id="rId36" Type="http://schemas.openxmlformats.org/officeDocument/2006/relationships/footer" Target="footer9.xml"/><Relationship Id="rId37" Type="http://schemas.openxmlformats.org/officeDocument/2006/relationships/image" Target="media/image16.jpeg"/><Relationship Id="rId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2017-05-23T20:42:53Z</dcterms:created>
  <dcterms:modified xsi:type="dcterms:W3CDTF">2017-05-23T20:42:53Z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2014-02-24T00:00:00Z</vt:filetime>
  </property>
  <property fmtid="{D5CDD505-2E9C-101B-9397-08002B2CF9AE}" pid="3" name="Creator">
    <vt:lpwstr>Adobe InDesign CS5 (7.0.4)</vt:lpwstr>
  </property>
  <property fmtid="{D5CDD505-2E9C-101B-9397-08002B2CF9AE}" pid="4" name="LastSaved">
    <vt:filetime>2017-05-23T00:00:00Z</vt:filetime>
  </property>
</Properties>
</file>